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E9DA9" w14:textId="77777777" w:rsidR="003D4B6F" w:rsidRDefault="003D4B6F" w:rsidP="00624029">
      <w:pPr>
        <w:rPr>
          <w:rFonts w:eastAsia="Times New Roman"/>
          <w:lang w:eastAsia="en-GB"/>
        </w:rPr>
      </w:pPr>
      <w:bookmarkStart w:id="0" w:name="_Hlk98919577"/>
    </w:p>
    <w:p w14:paraId="60C9E27E" w14:textId="77777777" w:rsidR="003D4B6F" w:rsidRDefault="003D4B6F" w:rsidP="00624029">
      <w:pPr>
        <w:rPr>
          <w:rFonts w:eastAsia="Times New Roman"/>
          <w:lang w:eastAsia="en-GB"/>
        </w:rPr>
      </w:pPr>
    </w:p>
    <w:p w14:paraId="53F7B7A3" w14:textId="77777777" w:rsidR="003D4B6F" w:rsidRDefault="003D4B6F" w:rsidP="00624029">
      <w:pPr>
        <w:rPr>
          <w:rFonts w:eastAsia="Times New Roman"/>
          <w:lang w:eastAsia="en-GB"/>
        </w:rPr>
      </w:pPr>
    </w:p>
    <w:p w14:paraId="5A4A12E9" w14:textId="77777777" w:rsidR="003D4B6F" w:rsidRDefault="003D4B6F" w:rsidP="00624029">
      <w:pPr>
        <w:rPr>
          <w:rFonts w:eastAsia="Times New Roman"/>
          <w:lang w:eastAsia="en-GB"/>
        </w:rPr>
      </w:pPr>
    </w:p>
    <w:p w14:paraId="52B461EE" w14:textId="77777777" w:rsidR="00624029" w:rsidRDefault="00624029" w:rsidP="00624029">
      <w:pPr>
        <w:rPr>
          <w:rFonts w:eastAsia="Times New Roman"/>
          <w:lang w:eastAsia="en-GB"/>
        </w:rPr>
      </w:pPr>
    </w:p>
    <w:p w14:paraId="28E9A005" w14:textId="77777777" w:rsidR="00624029" w:rsidRDefault="00624029" w:rsidP="00624029">
      <w:pPr>
        <w:rPr>
          <w:rFonts w:eastAsia="Times New Roman"/>
          <w:lang w:eastAsia="en-GB"/>
        </w:rPr>
      </w:pPr>
    </w:p>
    <w:p w14:paraId="69422E6A" w14:textId="77777777" w:rsidR="00624029" w:rsidRDefault="00624029" w:rsidP="00624029">
      <w:pPr>
        <w:rPr>
          <w:rFonts w:eastAsia="Times New Roman"/>
          <w:lang w:eastAsia="en-GB"/>
        </w:rPr>
      </w:pPr>
    </w:p>
    <w:p w14:paraId="0FB9DFD4" w14:textId="77777777" w:rsidR="00624029" w:rsidRDefault="00624029" w:rsidP="00624029">
      <w:pPr>
        <w:rPr>
          <w:rFonts w:eastAsia="Times New Roman"/>
          <w:lang w:eastAsia="en-GB"/>
        </w:rPr>
      </w:pPr>
    </w:p>
    <w:p w14:paraId="09708E04" w14:textId="77777777" w:rsidR="00624029" w:rsidRDefault="00624029" w:rsidP="00624029">
      <w:pPr>
        <w:rPr>
          <w:rFonts w:eastAsia="Times New Roman"/>
          <w:lang w:eastAsia="en-GB"/>
        </w:rPr>
      </w:pPr>
    </w:p>
    <w:p w14:paraId="5C999519" w14:textId="77777777" w:rsidR="00624029" w:rsidRDefault="00624029" w:rsidP="00624029">
      <w:pPr>
        <w:rPr>
          <w:rFonts w:eastAsia="Times New Roman"/>
          <w:lang w:eastAsia="en-GB"/>
        </w:rPr>
      </w:pPr>
    </w:p>
    <w:p w14:paraId="2A1C1BDF" w14:textId="77777777" w:rsidR="00624029" w:rsidRDefault="00624029" w:rsidP="00624029">
      <w:pPr>
        <w:rPr>
          <w:rFonts w:eastAsia="Times New Roman"/>
          <w:lang w:eastAsia="en-GB"/>
        </w:rPr>
      </w:pPr>
    </w:p>
    <w:p w14:paraId="4D7EEA97" w14:textId="77777777" w:rsidR="00624029" w:rsidRDefault="00624029" w:rsidP="00624029">
      <w:pPr>
        <w:rPr>
          <w:rFonts w:eastAsia="Times New Roman"/>
          <w:lang w:eastAsia="en-GB"/>
        </w:rPr>
      </w:pPr>
    </w:p>
    <w:p w14:paraId="5FDBA450" w14:textId="77777777" w:rsidR="00624029" w:rsidRDefault="00624029" w:rsidP="00624029">
      <w:pPr>
        <w:rPr>
          <w:rFonts w:eastAsia="Times New Roman"/>
          <w:lang w:eastAsia="en-GB"/>
        </w:rPr>
      </w:pPr>
    </w:p>
    <w:p w14:paraId="6CD6D6B0" w14:textId="77777777" w:rsidR="00624029" w:rsidRDefault="00624029" w:rsidP="00624029">
      <w:pPr>
        <w:rPr>
          <w:rFonts w:eastAsia="Times New Roman"/>
          <w:lang w:eastAsia="en-GB"/>
        </w:rPr>
      </w:pPr>
    </w:p>
    <w:p w14:paraId="14F531DC" w14:textId="77777777" w:rsidR="003D4B6F" w:rsidRDefault="003D4B6F" w:rsidP="00624029">
      <w:pPr>
        <w:rPr>
          <w:rFonts w:eastAsia="Times New Roman"/>
          <w:lang w:eastAsia="en-GB"/>
        </w:rPr>
      </w:pPr>
    </w:p>
    <w:p w14:paraId="5A8CD90B" w14:textId="77777777" w:rsidR="00624029" w:rsidRDefault="00624029" w:rsidP="00624029">
      <w:pPr>
        <w:rPr>
          <w:rFonts w:eastAsia="Times New Roman"/>
          <w:lang w:eastAsia="en-GB"/>
        </w:rPr>
      </w:pPr>
    </w:p>
    <w:p w14:paraId="11FC8895" w14:textId="77777777" w:rsidR="00624029" w:rsidRDefault="00624029" w:rsidP="00624029">
      <w:pPr>
        <w:rPr>
          <w:rFonts w:eastAsia="Times New Roman"/>
          <w:lang w:eastAsia="en-GB"/>
        </w:rPr>
      </w:pPr>
    </w:p>
    <w:p w14:paraId="4091A1F1" w14:textId="77777777" w:rsidR="003D4B6F" w:rsidRPr="008E3BC2" w:rsidRDefault="003D4B6F" w:rsidP="00624029">
      <w:pPr>
        <w:rPr>
          <w:rFonts w:eastAsia="Times New Roman"/>
          <w:lang w:eastAsia="en-GB"/>
        </w:rPr>
      </w:pPr>
    </w:p>
    <w:p w14:paraId="2FA235C7" w14:textId="529AC801" w:rsidR="002555AF" w:rsidRDefault="00517EC2" w:rsidP="008E3BC2">
      <w:pPr>
        <w:pStyle w:val="Title"/>
        <w:jc w:val="center"/>
        <w:rPr>
          <w:rFonts w:eastAsia="Times New Roman" w:cs="Arial"/>
          <w:b/>
          <w:bCs/>
          <w:sz w:val="40"/>
          <w:szCs w:val="40"/>
          <w:lang w:eastAsia="en-GB"/>
        </w:rPr>
      </w:pPr>
      <w:r>
        <w:rPr>
          <w:rFonts w:eastAsia="Times New Roman" w:cs="Arial"/>
          <w:b/>
          <w:bCs/>
          <w:sz w:val="40"/>
          <w:szCs w:val="40"/>
          <w:lang w:eastAsia="en-GB"/>
        </w:rPr>
        <w:t xml:space="preserve">BUDGET SHARE GUIDANCE </w:t>
      </w:r>
      <w:r w:rsidR="002B2F54">
        <w:rPr>
          <w:rFonts w:eastAsia="Times New Roman" w:cs="Arial"/>
          <w:b/>
          <w:bCs/>
          <w:sz w:val="40"/>
          <w:szCs w:val="40"/>
          <w:lang w:eastAsia="en-GB"/>
        </w:rPr>
        <w:t>2026/27</w:t>
      </w:r>
    </w:p>
    <w:p w14:paraId="2B741390" w14:textId="77777777" w:rsidR="00517EC2" w:rsidRDefault="00517EC2" w:rsidP="00517EC2">
      <w:pPr>
        <w:jc w:val="center"/>
        <w:rPr>
          <w:lang w:eastAsia="en-GB"/>
        </w:rPr>
      </w:pPr>
    </w:p>
    <w:p w14:paraId="708909D0" w14:textId="77777777" w:rsidR="00517EC2" w:rsidRDefault="00517EC2" w:rsidP="00517EC2">
      <w:pPr>
        <w:jc w:val="center"/>
        <w:rPr>
          <w:lang w:eastAsia="en-GB"/>
        </w:rPr>
      </w:pPr>
    </w:p>
    <w:p w14:paraId="13F6E861" w14:textId="77777777" w:rsidR="00137002" w:rsidRDefault="00517EC2" w:rsidP="00137002">
      <w:pPr>
        <w:jc w:val="center"/>
        <w:rPr>
          <w:b/>
          <w:bCs/>
          <w:sz w:val="36"/>
          <w:szCs w:val="36"/>
          <w:lang w:eastAsia="en-GB"/>
        </w:rPr>
      </w:pPr>
      <w:r w:rsidRPr="00517EC2">
        <w:rPr>
          <w:b/>
          <w:bCs/>
          <w:sz w:val="36"/>
          <w:szCs w:val="36"/>
          <w:lang w:eastAsia="en-GB"/>
        </w:rPr>
        <w:t xml:space="preserve">INFANT, JUNIOR, PRIMARY, </w:t>
      </w:r>
      <w:r w:rsidR="00137002">
        <w:rPr>
          <w:b/>
          <w:bCs/>
          <w:sz w:val="36"/>
          <w:szCs w:val="36"/>
          <w:lang w:eastAsia="en-GB"/>
        </w:rPr>
        <w:t xml:space="preserve">SECONDARY </w:t>
      </w:r>
    </w:p>
    <w:p w14:paraId="0D860833" w14:textId="089695A1" w:rsidR="00517EC2" w:rsidRPr="00517EC2" w:rsidRDefault="00137002" w:rsidP="00137002">
      <w:pPr>
        <w:jc w:val="center"/>
        <w:rPr>
          <w:b/>
          <w:bCs/>
          <w:sz w:val="36"/>
          <w:szCs w:val="36"/>
          <w:lang w:eastAsia="en-GB"/>
        </w:rPr>
      </w:pPr>
      <w:r>
        <w:rPr>
          <w:b/>
          <w:bCs/>
          <w:sz w:val="36"/>
          <w:szCs w:val="36"/>
          <w:lang w:eastAsia="en-GB"/>
        </w:rPr>
        <w:t xml:space="preserve">AND </w:t>
      </w:r>
      <w:r w:rsidR="00517EC2" w:rsidRPr="00517EC2">
        <w:rPr>
          <w:b/>
          <w:bCs/>
          <w:sz w:val="36"/>
          <w:szCs w:val="36"/>
          <w:lang w:eastAsia="en-GB"/>
        </w:rPr>
        <w:t>ALL-THROUGH SCHOOLS</w:t>
      </w:r>
    </w:p>
    <w:p w14:paraId="7EC3BD67" w14:textId="2DE00897" w:rsidR="003D4B6F" w:rsidRPr="009D6B1A" w:rsidRDefault="003D4B6F" w:rsidP="009D6B1A">
      <w:pPr>
        <w:pStyle w:val="Title"/>
        <w:jc w:val="center"/>
        <w:rPr>
          <w:rFonts w:eastAsia="Times New Roman" w:cs="Arial"/>
          <w:b/>
          <w:bCs/>
          <w:sz w:val="40"/>
          <w:szCs w:val="40"/>
          <w:lang w:eastAsia="en-GB"/>
        </w:rPr>
      </w:pPr>
    </w:p>
    <w:p w14:paraId="34F4FDE8" w14:textId="3399C71A" w:rsidR="003D4B6F" w:rsidRDefault="003D4B6F" w:rsidP="00C24F66">
      <w:pPr>
        <w:spacing w:after="160" w:line="259" w:lineRule="auto"/>
        <w:rPr>
          <w:rFonts w:ascii="Calibri" w:eastAsia="Times New Roman" w:hAnsi="Calibri" w:cs="Helvetica"/>
          <w:color w:val="000000"/>
          <w:lang w:eastAsia="en-GB"/>
        </w:rPr>
      </w:pPr>
      <w:r>
        <w:rPr>
          <w:rFonts w:ascii="Calibri" w:eastAsia="Times New Roman" w:hAnsi="Calibri" w:cs="Helvetica"/>
          <w:color w:val="000000"/>
          <w:lang w:eastAsia="en-GB"/>
        </w:rPr>
        <w:br w:type="page"/>
      </w:r>
    </w:p>
    <w:sdt>
      <w:sdtPr>
        <w:rPr>
          <w:rFonts w:eastAsiaTheme="minorEastAsia" w:cstheme="minorBidi"/>
          <w:sz w:val="36"/>
          <w:szCs w:val="36"/>
          <w:lang w:val="en-GB"/>
        </w:rPr>
        <w:id w:val="-1358196218"/>
        <w:docPartObj>
          <w:docPartGallery w:val="Table of Contents"/>
          <w:docPartUnique/>
        </w:docPartObj>
      </w:sdtPr>
      <w:sdtEndPr>
        <w:rPr>
          <w:b/>
          <w:bCs/>
          <w:noProof/>
          <w:sz w:val="24"/>
          <w:szCs w:val="24"/>
        </w:rPr>
      </w:sdtEndPr>
      <w:sdtContent>
        <w:p w14:paraId="4719620F" w14:textId="72C3AB0D" w:rsidR="008E3BC2" w:rsidRPr="00235E0E" w:rsidRDefault="008E3BC2">
          <w:pPr>
            <w:pStyle w:val="TOCHeading"/>
            <w:rPr>
              <w:rFonts w:cs="Arial"/>
              <w:b/>
              <w:bCs/>
              <w:sz w:val="28"/>
              <w:szCs w:val="28"/>
            </w:rPr>
          </w:pPr>
          <w:r w:rsidRPr="00235E0E">
            <w:rPr>
              <w:rFonts w:cs="Arial"/>
              <w:b/>
              <w:bCs/>
              <w:sz w:val="28"/>
              <w:szCs w:val="28"/>
            </w:rPr>
            <w:t>Contents</w:t>
          </w:r>
        </w:p>
        <w:p w14:paraId="204A2F89" w14:textId="77777777" w:rsidR="008E3BC2" w:rsidRPr="008E3BC2" w:rsidRDefault="008E3BC2" w:rsidP="008E3BC2">
          <w:pPr>
            <w:rPr>
              <w:lang w:val="en-US"/>
            </w:rPr>
          </w:pPr>
        </w:p>
        <w:p w14:paraId="478E22AB" w14:textId="577DFD2A" w:rsidR="003D1EBA" w:rsidRDefault="00332213">
          <w:pPr>
            <w:pStyle w:val="TOC1"/>
            <w:rPr>
              <w:rFonts w:asciiTheme="minorHAnsi" w:hAnsiTheme="minorHAnsi"/>
              <w:noProof/>
              <w:kern w:val="2"/>
              <w:lang w:eastAsia="en-GB"/>
              <w14:ligatures w14:val="standardContextual"/>
            </w:rPr>
          </w:pPr>
          <w:r>
            <w:fldChar w:fldCharType="begin"/>
          </w:r>
          <w:r>
            <w:instrText xml:space="preserve"> TOC \o "1-2" \h \z \u </w:instrText>
          </w:r>
          <w:r>
            <w:fldChar w:fldCharType="separate"/>
          </w:r>
          <w:hyperlink w:anchor="_Toc222494835" w:history="1">
            <w:r w:rsidR="003D1EBA" w:rsidRPr="00A81E55">
              <w:rPr>
                <w:rStyle w:val="Hyperlink"/>
                <w:rFonts w:eastAsia="Times New Roman" w:cs="Arial"/>
                <w:b/>
                <w:bCs/>
                <w:noProof/>
                <w:lang w:eastAsia="en-GB"/>
              </w:rPr>
              <w:t>Introduction</w:t>
            </w:r>
            <w:r w:rsidR="003D1EBA">
              <w:rPr>
                <w:noProof/>
                <w:webHidden/>
              </w:rPr>
              <w:tab/>
            </w:r>
            <w:r w:rsidR="003D1EBA">
              <w:rPr>
                <w:noProof/>
                <w:webHidden/>
              </w:rPr>
              <w:fldChar w:fldCharType="begin"/>
            </w:r>
            <w:r w:rsidR="003D1EBA">
              <w:rPr>
                <w:noProof/>
                <w:webHidden/>
              </w:rPr>
              <w:instrText xml:space="preserve"> PAGEREF _Toc222494835 \h </w:instrText>
            </w:r>
            <w:r w:rsidR="003D1EBA">
              <w:rPr>
                <w:noProof/>
                <w:webHidden/>
              </w:rPr>
            </w:r>
            <w:r w:rsidR="003D1EBA">
              <w:rPr>
                <w:noProof/>
                <w:webHidden/>
              </w:rPr>
              <w:fldChar w:fldCharType="separate"/>
            </w:r>
            <w:r w:rsidR="003D1EBA">
              <w:rPr>
                <w:noProof/>
                <w:webHidden/>
              </w:rPr>
              <w:t>3</w:t>
            </w:r>
            <w:r w:rsidR="003D1EBA">
              <w:rPr>
                <w:noProof/>
                <w:webHidden/>
              </w:rPr>
              <w:fldChar w:fldCharType="end"/>
            </w:r>
          </w:hyperlink>
        </w:p>
        <w:p w14:paraId="32D4CB7F" w14:textId="3FF8951C" w:rsidR="003D1EBA" w:rsidRDefault="003D1EBA">
          <w:pPr>
            <w:pStyle w:val="TOC1"/>
            <w:rPr>
              <w:rFonts w:asciiTheme="minorHAnsi" w:hAnsiTheme="minorHAnsi"/>
              <w:noProof/>
              <w:kern w:val="2"/>
              <w:lang w:eastAsia="en-GB"/>
              <w14:ligatures w14:val="standardContextual"/>
            </w:rPr>
          </w:pPr>
          <w:hyperlink w:anchor="_Toc222494836" w:history="1">
            <w:r w:rsidRPr="00A81E55">
              <w:rPr>
                <w:rStyle w:val="Hyperlink"/>
                <w:rFonts w:eastAsia="Times New Roman" w:cs="Arial"/>
                <w:b/>
                <w:bCs/>
                <w:noProof/>
                <w:lang w:eastAsia="en-GB"/>
              </w:rPr>
              <w:t>Changes for 2026/27</w:t>
            </w:r>
            <w:r>
              <w:rPr>
                <w:noProof/>
                <w:webHidden/>
              </w:rPr>
              <w:tab/>
            </w:r>
            <w:r>
              <w:rPr>
                <w:noProof/>
                <w:webHidden/>
              </w:rPr>
              <w:fldChar w:fldCharType="begin"/>
            </w:r>
            <w:r>
              <w:rPr>
                <w:noProof/>
                <w:webHidden/>
              </w:rPr>
              <w:instrText xml:space="preserve"> PAGEREF _Toc222494836 \h </w:instrText>
            </w:r>
            <w:r>
              <w:rPr>
                <w:noProof/>
                <w:webHidden/>
              </w:rPr>
            </w:r>
            <w:r>
              <w:rPr>
                <w:noProof/>
                <w:webHidden/>
              </w:rPr>
              <w:fldChar w:fldCharType="separate"/>
            </w:r>
            <w:r>
              <w:rPr>
                <w:noProof/>
                <w:webHidden/>
              </w:rPr>
              <w:t>3</w:t>
            </w:r>
            <w:r>
              <w:rPr>
                <w:noProof/>
                <w:webHidden/>
              </w:rPr>
              <w:fldChar w:fldCharType="end"/>
            </w:r>
          </w:hyperlink>
        </w:p>
        <w:p w14:paraId="288F84A8" w14:textId="62B34394" w:rsidR="003D1EBA" w:rsidRDefault="003D1EBA">
          <w:pPr>
            <w:pStyle w:val="TOC1"/>
            <w:rPr>
              <w:rFonts w:asciiTheme="minorHAnsi" w:hAnsiTheme="minorHAnsi"/>
              <w:noProof/>
              <w:kern w:val="2"/>
              <w:lang w:eastAsia="en-GB"/>
              <w14:ligatures w14:val="standardContextual"/>
            </w:rPr>
          </w:pPr>
          <w:hyperlink w:anchor="_Toc222494837" w:history="1">
            <w:r w:rsidRPr="00A81E55">
              <w:rPr>
                <w:rStyle w:val="Hyperlink"/>
                <w:rFonts w:eastAsia="Times New Roman" w:cs="Arial"/>
                <w:b/>
                <w:bCs/>
                <w:noProof/>
                <w:lang w:eastAsia="en-GB"/>
              </w:rPr>
              <w:t>Funding Factors</w:t>
            </w:r>
            <w:r>
              <w:rPr>
                <w:noProof/>
                <w:webHidden/>
              </w:rPr>
              <w:tab/>
            </w:r>
            <w:r>
              <w:rPr>
                <w:noProof/>
                <w:webHidden/>
              </w:rPr>
              <w:fldChar w:fldCharType="begin"/>
            </w:r>
            <w:r>
              <w:rPr>
                <w:noProof/>
                <w:webHidden/>
              </w:rPr>
              <w:instrText xml:space="preserve"> PAGEREF _Toc222494837 \h </w:instrText>
            </w:r>
            <w:r>
              <w:rPr>
                <w:noProof/>
                <w:webHidden/>
              </w:rPr>
            </w:r>
            <w:r>
              <w:rPr>
                <w:noProof/>
                <w:webHidden/>
              </w:rPr>
              <w:fldChar w:fldCharType="separate"/>
            </w:r>
            <w:r>
              <w:rPr>
                <w:noProof/>
                <w:webHidden/>
              </w:rPr>
              <w:t>4</w:t>
            </w:r>
            <w:r>
              <w:rPr>
                <w:noProof/>
                <w:webHidden/>
              </w:rPr>
              <w:fldChar w:fldCharType="end"/>
            </w:r>
          </w:hyperlink>
        </w:p>
        <w:p w14:paraId="24E0D961" w14:textId="02D85B8A" w:rsidR="003D1EBA" w:rsidRDefault="003D1EBA">
          <w:pPr>
            <w:pStyle w:val="TOC2"/>
            <w:tabs>
              <w:tab w:val="right" w:leader="dot" w:pos="9019"/>
            </w:tabs>
            <w:rPr>
              <w:rFonts w:asciiTheme="minorHAnsi" w:hAnsiTheme="minorHAnsi"/>
              <w:noProof/>
              <w:kern w:val="2"/>
              <w:lang w:eastAsia="en-GB"/>
              <w14:ligatures w14:val="standardContextual"/>
            </w:rPr>
          </w:pPr>
          <w:hyperlink w:anchor="_Toc222494838" w:history="1">
            <w:r w:rsidRPr="00A81E55">
              <w:rPr>
                <w:rStyle w:val="Hyperlink"/>
                <w:rFonts w:eastAsia="Times New Roman"/>
                <w:b/>
                <w:bCs/>
                <w:noProof/>
                <w:lang w:eastAsia="en-GB"/>
              </w:rPr>
              <w:t>Basic Entitlement – Age Weighted Pupil Unit (AWPU)</w:t>
            </w:r>
            <w:r>
              <w:rPr>
                <w:noProof/>
                <w:webHidden/>
              </w:rPr>
              <w:tab/>
            </w:r>
            <w:r>
              <w:rPr>
                <w:noProof/>
                <w:webHidden/>
              </w:rPr>
              <w:fldChar w:fldCharType="begin"/>
            </w:r>
            <w:r>
              <w:rPr>
                <w:noProof/>
                <w:webHidden/>
              </w:rPr>
              <w:instrText xml:space="preserve"> PAGEREF _Toc222494838 \h </w:instrText>
            </w:r>
            <w:r>
              <w:rPr>
                <w:noProof/>
                <w:webHidden/>
              </w:rPr>
            </w:r>
            <w:r>
              <w:rPr>
                <w:noProof/>
                <w:webHidden/>
              </w:rPr>
              <w:fldChar w:fldCharType="separate"/>
            </w:r>
            <w:r>
              <w:rPr>
                <w:noProof/>
                <w:webHidden/>
              </w:rPr>
              <w:t>4</w:t>
            </w:r>
            <w:r>
              <w:rPr>
                <w:noProof/>
                <w:webHidden/>
              </w:rPr>
              <w:fldChar w:fldCharType="end"/>
            </w:r>
          </w:hyperlink>
        </w:p>
        <w:p w14:paraId="6100287E" w14:textId="455D11FF" w:rsidR="003D1EBA" w:rsidRDefault="003D1EBA">
          <w:pPr>
            <w:pStyle w:val="TOC2"/>
            <w:tabs>
              <w:tab w:val="right" w:leader="dot" w:pos="9019"/>
            </w:tabs>
            <w:rPr>
              <w:rFonts w:asciiTheme="minorHAnsi" w:hAnsiTheme="minorHAnsi"/>
              <w:noProof/>
              <w:kern w:val="2"/>
              <w:lang w:eastAsia="en-GB"/>
              <w14:ligatures w14:val="standardContextual"/>
            </w:rPr>
          </w:pPr>
          <w:hyperlink w:anchor="_Toc222494839" w:history="1">
            <w:r w:rsidRPr="00A81E55">
              <w:rPr>
                <w:rStyle w:val="Hyperlink"/>
                <w:rFonts w:eastAsia="Times New Roman"/>
                <w:b/>
                <w:bCs/>
                <w:noProof/>
                <w:lang w:eastAsia="en-GB"/>
              </w:rPr>
              <w:t>Deprivation</w:t>
            </w:r>
            <w:r>
              <w:rPr>
                <w:noProof/>
                <w:webHidden/>
              </w:rPr>
              <w:tab/>
            </w:r>
            <w:r>
              <w:rPr>
                <w:noProof/>
                <w:webHidden/>
              </w:rPr>
              <w:fldChar w:fldCharType="begin"/>
            </w:r>
            <w:r>
              <w:rPr>
                <w:noProof/>
                <w:webHidden/>
              </w:rPr>
              <w:instrText xml:space="preserve"> PAGEREF _Toc222494839 \h </w:instrText>
            </w:r>
            <w:r>
              <w:rPr>
                <w:noProof/>
                <w:webHidden/>
              </w:rPr>
            </w:r>
            <w:r>
              <w:rPr>
                <w:noProof/>
                <w:webHidden/>
              </w:rPr>
              <w:fldChar w:fldCharType="separate"/>
            </w:r>
            <w:r>
              <w:rPr>
                <w:noProof/>
                <w:webHidden/>
              </w:rPr>
              <w:t>5</w:t>
            </w:r>
            <w:r>
              <w:rPr>
                <w:noProof/>
                <w:webHidden/>
              </w:rPr>
              <w:fldChar w:fldCharType="end"/>
            </w:r>
          </w:hyperlink>
        </w:p>
        <w:p w14:paraId="5E1E43D6" w14:textId="6949DE68" w:rsidR="003D1EBA" w:rsidRDefault="003D1EBA">
          <w:pPr>
            <w:pStyle w:val="TOC2"/>
            <w:tabs>
              <w:tab w:val="right" w:leader="dot" w:pos="9019"/>
            </w:tabs>
            <w:rPr>
              <w:rFonts w:asciiTheme="minorHAnsi" w:hAnsiTheme="minorHAnsi"/>
              <w:noProof/>
              <w:kern w:val="2"/>
              <w:lang w:eastAsia="en-GB"/>
              <w14:ligatures w14:val="standardContextual"/>
            </w:rPr>
          </w:pPr>
          <w:hyperlink w:anchor="_Toc222494840" w:history="1">
            <w:r w:rsidRPr="00A81E55">
              <w:rPr>
                <w:rStyle w:val="Hyperlink"/>
                <w:rFonts w:eastAsia="Times New Roman"/>
                <w:b/>
                <w:bCs/>
                <w:noProof/>
                <w:lang w:eastAsia="en-GB"/>
              </w:rPr>
              <w:t>English as an Additional Language (EAL)</w:t>
            </w:r>
            <w:r>
              <w:rPr>
                <w:noProof/>
                <w:webHidden/>
              </w:rPr>
              <w:tab/>
            </w:r>
            <w:r>
              <w:rPr>
                <w:noProof/>
                <w:webHidden/>
              </w:rPr>
              <w:fldChar w:fldCharType="begin"/>
            </w:r>
            <w:r>
              <w:rPr>
                <w:noProof/>
                <w:webHidden/>
              </w:rPr>
              <w:instrText xml:space="preserve"> PAGEREF _Toc222494840 \h </w:instrText>
            </w:r>
            <w:r>
              <w:rPr>
                <w:noProof/>
                <w:webHidden/>
              </w:rPr>
            </w:r>
            <w:r>
              <w:rPr>
                <w:noProof/>
                <w:webHidden/>
              </w:rPr>
              <w:fldChar w:fldCharType="separate"/>
            </w:r>
            <w:r>
              <w:rPr>
                <w:noProof/>
                <w:webHidden/>
              </w:rPr>
              <w:t>5</w:t>
            </w:r>
            <w:r>
              <w:rPr>
                <w:noProof/>
                <w:webHidden/>
              </w:rPr>
              <w:fldChar w:fldCharType="end"/>
            </w:r>
          </w:hyperlink>
        </w:p>
        <w:p w14:paraId="4A1D4F52" w14:textId="07395400" w:rsidR="003D1EBA" w:rsidRDefault="003D1EBA">
          <w:pPr>
            <w:pStyle w:val="TOC2"/>
            <w:tabs>
              <w:tab w:val="right" w:leader="dot" w:pos="9019"/>
            </w:tabs>
            <w:rPr>
              <w:rFonts w:asciiTheme="minorHAnsi" w:hAnsiTheme="minorHAnsi"/>
              <w:noProof/>
              <w:kern w:val="2"/>
              <w:lang w:eastAsia="en-GB"/>
              <w14:ligatures w14:val="standardContextual"/>
            </w:rPr>
          </w:pPr>
          <w:hyperlink w:anchor="_Toc222494841" w:history="1">
            <w:r w:rsidRPr="00A81E55">
              <w:rPr>
                <w:rStyle w:val="Hyperlink"/>
                <w:rFonts w:eastAsia="Times New Roman"/>
                <w:b/>
                <w:bCs/>
                <w:noProof/>
                <w:lang w:eastAsia="en-GB"/>
              </w:rPr>
              <w:t>Mobility</w:t>
            </w:r>
            <w:r>
              <w:rPr>
                <w:noProof/>
                <w:webHidden/>
              </w:rPr>
              <w:tab/>
            </w:r>
            <w:r>
              <w:rPr>
                <w:noProof/>
                <w:webHidden/>
              </w:rPr>
              <w:fldChar w:fldCharType="begin"/>
            </w:r>
            <w:r>
              <w:rPr>
                <w:noProof/>
                <w:webHidden/>
              </w:rPr>
              <w:instrText xml:space="preserve"> PAGEREF _Toc222494841 \h </w:instrText>
            </w:r>
            <w:r>
              <w:rPr>
                <w:noProof/>
                <w:webHidden/>
              </w:rPr>
            </w:r>
            <w:r>
              <w:rPr>
                <w:noProof/>
                <w:webHidden/>
              </w:rPr>
              <w:fldChar w:fldCharType="separate"/>
            </w:r>
            <w:r>
              <w:rPr>
                <w:noProof/>
                <w:webHidden/>
              </w:rPr>
              <w:t>5</w:t>
            </w:r>
            <w:r>
              <w:rPr>
                <w:noProof/>
                <w:webHidden/>
              </w:rPr>
              <w:fldChar w:fldCharType="end"/>
            </w:r>
          </w:hyperlink>
        </w:p>
        <w:p w14:paraId="6178C9D0" w14:textId="7CDF0EC8" w:rsidR="003D1EBA" w:rsidRDefault="003D1EBA">
          <w:pPr>
            <w:pStyle w:val="TOC2"/>
            <w:tabs>
              <w:tab w:val="right" w:leader="dot" w:pos="9019"/>
            </w:tabs>
            <w:rPr>
              <w:rFonts w:asciiTheme="minorHAnsi" w:hAnsiTheme="minorHAnsi"/>
              <w:noProof/>
              <w:kern w:val="2"/>
              <w:lang w:eastAsia="en-GB"/>
              <w14:ligatures w14:val="standardContextual"/>
            </w:rPr>
          </w:pPr>
          <w:hyperlink w:anchor="_Toc222494842" w:history="1">
            <w:r w:rsidRPr="00A81E55">
              <w:rPr>
                <w:rStyle w:val="Hyperlink"/>
                <w:rFonts w:eastAsia="Times New Roman"/>
                <w:b/>
                <w:bCs/>
                <w:noProof/>
                <w:lang w:eastAsia="en-GB"/>
              </w:rPr>
              <w:t>Lower Prior Attainment (LPA)</w:t>
            </w:r>
            <w:r>
              <w:rPr>
                <w:noProof/>
                <w:webHidden/>
              </w:rPr>
              <w:tab/>
            </w:r>
            <w:r>
              <w:rPr>
                <w:noProof/>
                <w:webHidden/>
              </w:rPr>
              <w:fldChar w:fldCharType="begin"/>
            </w:r>
            <w:r>
              <w:rPr>
                <w:noProof/>
                <w:webHidden/>
              </w:rPr>
              <w:instrText xml:space="preserve"> PAGEREF _Toc222494842 \h </w:instrText>
            </w:r>
            <w:r>
              <w:rPr>
                <w:noProof/>
                <w:webHidden/>
              </w:rPr>
            </w:r>
            <w:r>
              <w:rPr>
                <w:noProof/>
                <w:webHidden/>
              </w:rPr>
              <w:fldChar w:fldCharType="separate"/>
            </w:r>
            <w:r>
              <w:rPr>
                <w:noProof/>
                <w:webHidden/>
              </w:rPr>
              <w:t>6</w:t>
            </w:r>
            <w:r>
              <w:rPr>
                <w:noProof/>
                <w:webHidden/>
              </w:rPr>
              <w:fldChar w:fldCharType="end"/>
            </w:r>
          </w:hyperlink>
        </w:p>
        <w:p w14:paraId="71E32646" w14:textId="041AAACB" w:rsidR="003D1EBA" w:rsidRDefault="003D1EBA">
          <w:pPr>
            <w:pStyle w:val="TOC2"/>
            <w:tabs>
              <w:tab w:val="right" w:leader="dot" w:pos="9019"/>
            </w:tabs>
            <w:rPr>
              <w:rFonts w:asciiTheme="minorHAnsi" w:hAnsiTheme="minorHAnsi"/>
              <w:noProof/>
              <w:kern w:val="2"/>
              <w:lang w:eastAsia="en-GB"/>
              <w14:ligatures w14:val="standardContextual"/>
            </w:rPr>
          </w:pPr>
          <w:hyperlink w:anchor="_Toc222494843" w:history="1">
            <w:r w:rsidRPr="00A81E55">
              <w:rPr>
                <w:rStyle w:val="Hyperlink"/>
                <w:rFonts w:eastAsia="Times New Roman"/>
                <w:b/>
                <w:bCs/>
                <w:noProof/>
                <w:lang w:eastAsia="en-GB"/>
              </w:rPr>
              <w:t>Lump Sum</w:t>
            </w:r>
            <w:r>
              <w:rPr>
                <w:noProof/>
                <w:webHidden/>
              </w:rPr>
              <w:tab/>
            </w:r>
            <w:r>
              <w:rPr>
                <w:noProof/>
                <w:webHidden/>
              </w:rPr>
              <w:fldChar w:fldCharType="begin"/>
            </w:r>
            <w:r>
              <w:rPr>
                <w:noProof/>
                <w:webHidden/>
              </w:rPr>
              <w:instrText xml:space="preserve"> PAGEREF _Toc222494843 \h </w:instrText>
            </w:r>
            <w:r>
              <w:rPr>
                <w:noProof/>
                <w:webHidden/>
              </w:rPr>
            </w:r>
            <w:r>
              <w:rPr>
                <w:noProof/>
                <w:webHidden/>
              </w:rPr>
              <w:fldChar w:fldCharType="separate"/>
            </w:r>
            <w:r>
              <w:rPr>
                <w:noProof/>
                <w:webHidden/>
              </w:rPr>
              <w:t>7</w:t>
            </w:r>
            <w:r>
              <w:rPr>
                <w:noProof/>
                <w:webHidden/>
              </w:rPr>
              <w:fldChar w:fldCharType="end"/>
            </w:r>
          </w:hyperlink>
        </w:p>
        <w:p w14:paraId="324032FB" w14:textId="2123DE5A" w:rsidR="003D1EBA" w:rsidRDefault="003D1EBA">
          <w:pPr>
            <w:pStyle w:val="TOC2"/>
            <w:tabs>
              <w:tab w:val="right" w:leader="dot" w:pos="9019"/>
            </w:tabs>
            <w:rPr>
              <w:rFonts w:asciiTheme="minorHAnsi" w:hAnsiTheme="minorHAnsi"/>
              <w:noProof/>
              <w:kern w:val="2"/>
              <w:lang w:eastAsia="en-GB"/>
              <w14:ligatures w14:val="standardContextual"/>
            </w:rPr>
          </w:pPr>
          <w:hyperlink w:anchor="_Toc222494844" w:history="1">
            <w:r w:rsidRPr="00A81E55">
              <w:rPr>
                <w:rStyle w:val="Hyperlink"/>
                <w:rFonts w:eastAsia="Times New Roman"/>
                <w:b/>
                <w:bCs/>
                <w:noProof/>
                <w:lang w:eastAsia="en-GB"/>
              </w:rPr>
              <w:t>Sparsity</w:t>
            </w:r>
            <w:r>
              <w:rPr>
                <w:noProof/>
                <w:webHidden/>
              </w:rPr>
              <w:tab/>
            </w:r>
            <w:r>
              <w:rPr>
                <w:noProof/>
                <w:webHidden/>
              </w:rPr>
              <w:fldChar w:fldCharType="begin"/>
            </w:r>
            <w:r>
              <w:rPr>
                <w:noProof/>
                <w:webHidden/>
              </w:rPr>
              <w:instrText xml:space="preserve"> PAGEREF _Toc222494844 \h </w:instrText>
            </w:r>
            <w:r>
              <w:rPr>
                <w:noProof/>
                <w:webHidden/>
              </w:rPr>
            </w:r>
            <w:r>
              <w:rPr>
                <w:noProof/>
                <w:webHidden/>
              </w:rPr>
              <w:fldChar w:fldCharType="separate"/>
            </w:r>
            <w:r>
              <w:rPr>
                <w:noProof/>
                <w:webHidden/>
              </w:rPr>
              <w:t>7</w:t>
            </w:r>
            <w:r>
              <w:rPr>
                <w:noProof/>
                <w:webHidden/>
              </w:rPr>
              <w:fldChar w:fldCharType="end"/>
            </w:r>
          </w:hyperlink>
        </w:p>
        <w:p w14:paraId="63F0A238" w14:textId="7BDCA417" w:rsidR="003D1EBA" w:rsidRDefault="003D1EBA">
          <w:pPr>
            <w:pStyle w:val="TOC2"/>
            <w:tabs>
              <w:tab w:val="right" w:leader="dot" w:pos="9019"/>
            </w:tabs>
            <w:rPr>
              <w:rFonts w:asciiTheme="minorHAnsi" w:hAnsiTheme="minorHAnsi"/>
              <w:noProof/>
              <w:kern w:val="2"/>
              <w:lang w:eastAsia="en-GB"/>
              <w14:ligatures w14:val="standardContextual"/>
            </w:rPr>
          </w:pPr>
          <w:hyperlink w:anchor="_Toc222494845" w:history="1">
            <w:r w:rsidRPr="00A81E55">
              <w:rPr>
                <w:rStyle w:val="Hyperlink"/>
                <w:rFonts w:eastAsia="Times New Roman"/>
                <w:b/>
                <w:bCs/>
                <w:noProof/>
                <w:lang w:eastAsia="en-GB"/>
              </w:rPr>
              <w:t>Fringe Payments</w:t>
            </w:r>
            <w:r>
              <w:rPr>
                <w:noProof/>
                <w:webHidden/>
              </w:rPr>
              <w:tab/>
            </w:r>
            <w:r>
              <w:rPr>
                <w:noProof/>
                <w:webHidden/>
              </w:rPr>
              <w:fldChar w:fldCharType="begin"/>
            </w:r>
            <w:r>
              <w:rPr>
                <w:noProof/>
                <w:webHidden/>
              </w:rPr>
              <w:instrText xml:space="preserve"> PAGEREF _Toc222494845 \h </w:instrText>
            </w:r>
            <w:r>
              <w:rPr>
                <w:noProof/>
                <w:webHidden/>
              </w:rPr>
            </w:r>
            <w:r>
              <w:rPr>
                <w:noProof/>
                <w:webHidden/>
              </w:rPr>
              <w:fldChar w:fldCharType="separate"/>
            </w:r>
            <w:r>
              <w:rPr>
                <w:noProof/>
                <w:webHidden/>
              </w:rPr>
              <w:t>8</w:t>
            </w:r>
            <w:r>
              <w:rPr>
                <w:noProof/>
                <w:webHidden/>
              </w:rPr>
              <w:fldChar w:fldCharType="end"/>
            </w:r>
          </w:hyperlink>
        </w:p>
        <w:p w14:paraId="218C32C9" w14:textId="5F2DD22A" w:rsidR="003D1EBA" w:rsidRDefault="003D1EBA">
          <w:pPr>
            <w:pStyle w:val="TOC2"/>
            <w:tabs>
              <w:tab w:val="right" w:leader="dot" w:pos="9019"/>
            </w:tabs>
            <w:rPr>
              <w:rFonts w:asciiTheme="minorHAnsi" w:hAnsiTheme="minorHAnsi"/>
              <w:noProof/>
              <w:kern w:val="2"/>
              <w:lang w:eastAsia="en-GB"/>
              <w14:ligatures w14:val="standardContextual"/>
            </w:rPr>
          </w:pPr>
          <w:hyperlink w:anchor="_Toc222494846" w:history="1">
            <w:r w:rsidRPr="00A81E55">
              <w:rPr>
                <w:rStyle w:val="Hyperlink"/>
                <w:rFonts w:eastAsia="Times New Roman"/>
                <w:b/>
                <w:bCs/>
                <w:noProof/>
                <w:lang w:eastAsia="en-GB"/>
              </w:rPr>
              <w:t>Split Sites</w:t>
            </w:r>
            <w:r>
              <w:rPr>
                <w:noProof/>
                <w:webHidden/>
              </w:rPr>
              <w:tab/>
            </w:r>
            <w:r>
              <w:rPr>
                <w:noProof/>
                <w:webHidden/>
              </w:rPr>
              <w:fldChar w:fldCharType="begin"/>
            </w:r>
            <w:r>
              <w:rPr>
                <w:noProof/>
                <w:webHidden/>
              </w:rPr>
              <w:instrText xml:space="preserve"> PAGEREF _Toc222494846 \h </w:instrText>
            </w:r>
            <w:r>
              <w:rPr>
                <w:noProof/>
                <w:webHidden/>
              </w:rPr>
            </w:r>
            <w:r>
              <w:rPr>
                <w:noProof/>
                <w:webHidden/>
              </w:rPr>
              <w:fldChar w:fldCharType="separate"/>
            </w:r>
            <w:r>
              <w:rPr>
                <w:noProof/>
                <w:webHidden/>
              </w:rPr>
              <w:t>8</w:t>
            </w:r>
            <w:r>
              <w:rPr>
                <w:noProof/>
                <w:webHidden/>
              </w:rPr>
              <w:fldChar w:fldCharType="end"/>
            </w:r>
          </w:hyperlink>
        </w:p>
        <w:p w14:paraId="1A8506D7" w14:textId="0830251B" w:rsidR="003D1EBA" w:rsidRDefault="003D1EBA">
          <w:pPr>
            <w:pStyle w:val="TOC2"/>
            <w:tabs>
              <w:tab w:val="right" w:leader="dot" w:pos="9019"/>
            </w:tabs>
            <w:rPr>
              <w:rFonts w:asciiTheme="minorHAnsi" w:hAnsiTheme="minorHAnsi"/>
              <w:noProof/>
              <w:kern w:val="2"/>
              <w:lang w:eastAsia="en-GB"/>
              <w14:ligatures w14:val="standardContextual"/>
            </w:rPr>
          </w:pPr>
          <w:hyperlink w:anchor="_Toc222494847" w:history="1">
            <w:r w:rsidRPr="00A81E55">
              <w:rPr>
                <w:rStyle w:val="Hyperlink"/>
                <w:rFonts w:eastAsia="Times New Roman"/>
                <w:b/>
                <w:bCs/>
                <w:noProof/>
                <w:lang w:eastAsia="en-GB"/>
              </w:rPr>
              <w:t>Business Rates</w:t>
            </w:r>
            <w:r>
              <w:rPr>
                <w:noProof/>
                <w:webHidden/>
              </w:rPr>
              <w:tab/>
            </w:r>
            <w:r>
              <w:rPr>
                <w:noProof/>
                <w:webHidden/>
              </w:rPr>
              <w:fldChar w:fldCharType="begin"/>
            </w:r>
            <w:r>
              <w:rPr>
                <w:noProof/>
                <w:webHidden/>
              </w:rPr>
              <w:instrText xml:space="preserve"> PAGEREF _Toc222494847 \h </w:instrText>
            </w:r>
            <w:r>
              <w:rPr>
                <w:noProof/>
                <w:webHidden/>
              </w:rPr>
            </w:r>
            <w:r>
              <w:rPr>
                <w:noProof/>
                <w:webHidden/>
              </w:rPr>
              <w:fldChar w:fldCharType="separate"/>
            </w:r>
            <w:r>
              <w:rPr>
                <w:noProof/>
                <w:webHidden/>
              </w:rPr>
              <w:t>8</w:t>
            </w:r>
            <w:r>
              <w:rPr>
                <w:noProof/>
                <w:webHidden/>
              </w:rPr>
              <w:fldChar w:fldCharType="end"/>
            </w:r>
          </w:hyperlink>
        </w:p>
        <w:p w14:paraId="7C6413F5" w14:textId="03B30F05" w:rsidR="003D1EBA" w:rsidRDefault="003D1EBA">
          <w:pPr>
            <w:pStyle w:val="TOC2"/>
            <w:tabs>
              <w:tab w:val="right" w:leader="dot" w:pos="9019"/>
            </w:tabs>
            <w:rPr>
              <w:rFonts w:asciiTheme="minorHAnsi" w:hAnsiTheme="minorHAnsi"/>
              <w:noProof/>
              <w:kern w:val="2"/>
              <w:lang w:eastAsia="en-GB"/>
              <w14:ligatures w14:val="standardContextual"/>
            </w:rPr>
          </w:pPr>
          <w:hyperlink w:anchor="_Toc222494848" w:history="1">
            <w:r w:rsidRPr="00A81E55">
              <w:rPr>
                <w:rStyle w:val="Hyperlink"/>
                <w:rFonts w:eastAsia="Times New Roman"/>
                <w:b/>
                <w:bCs/>
                <w:noProof/>
                <w:lang w:eastAsia="en-GB"/>
              </w:rPr>
              <w:t>Private Finance Initiatives (PFI) Contracts</w:t>
            </w:r>
            <w:r>
              <w:rPr>
                <w:noProof/>
                <w:webHidden/>
              </w:rPr>
              <w:tab/>
            </w:r>
            <w:r>
              <w:rPr>
                <w:noProof/>
                <w:webHidden/>
              </w:rPr>
              <w:fldChar w:fldCharType="begin"/>
            </w:r>
            <w:r>
              <w:rPr>
                <w:noProof/>
                <w:webHidden/>
              </w:rPr>
              <w:instrText xml:space="preserve"> PAGEREF _Toc222494848 \h </w:instrText>
            </w:r>
            <w:r>
              <w:rPr>
                <w:noProof/>
                <w:webHidden/>
              </w:rPr>
            </w:r>
            <w:r>
              <w:rPr>
                <w:noProof/>
                <w:webHidden/>
              </w:rPr>
              <w:fldChar w:fldCharType="separate"/>
            </w:r>
            <w:r>
              <w:rPr>
                <w:noProof/>
                <w:webHidden/>
              </w:rPr>
              <w:t>9</w:t>
            </w:r>
            <w:r>
              <w:rPr>
                <w:noProof/>
                <w:webHidden/>
              </w:rPr>
              <w:fldChar w:fldCharType="end"/>
            </w:r>
          </w:hyperlink>
        </w:p>
        <w:p w14:paraId="265EA481" w14:textId="37636C2E" w:rsidR="003D1EBA" w:rsidRDefault="003D1EBA">
          <w:pPr>
            <w:pStyle w:val="TOC2"/>
            <w:tabs>
              <w:tab w:val="right" w:leader="dot" w:pos="9019"/>
            </w:tabs>
            <w:rPr>
              <w:rFonts w:asciiTheme="minorHAnsi" w:hAnsiTheme="minorHAnsi"/>
              <w:noProof/>
              <w:kern w:val="2"/>
              <w:lang w:eastAsia="en-GB"/>
              <w14:ligatures w14:val="standardContextual"/>
            </w:rPr>
          </w:pPr>
          <w:hyperlink w:anchor="_Toc222494849" w:history="1">
            <w:r w:rsidRPr="00A81E55">
              <w:rPr>
                <w:rStyle w:val="Hyperlink"/>
                <w:rFonts w:eastAsia="Times New Roman"/>
                <w:b/>
                <w:bCs/>
                <w:noProof/>
                <w:lang w:eastAsia="en-GB"/>
              </w:rPr>
              <w:t>Minimum Per Pupil Funding</w:t>
            </w:r>
            <w:r>
              <w:rPr>
                <w:noProof/>
                <w:webHidden/>
              </w:rPr>
              <w:tab/>
            </w:r>
            <w:r>
              <w:rPr>
                <w:noProof/>
                <w:webHidden/>
              </w:rPr>
              <w:fldChar w:fldCharType="begin"/>
            </w:r>
            <w:r>
              <w:rPr>
                <w:noProof/>
                <w:webHidden/>
              </w:rPr>
              <w:instrText xml:space="preserve"> PAGEREF _Toc222494849 \h </w:instrText>
            </w:r>
            <w:r>
              <w:rPr>
                <w:noProof/>
                <w:webHidden/>
              </w:rPr>
            </w:r>
            <w:r>
              <w:rPr>
                <w:noProof/>
                <w:webHidden/>
              </w:rPr>
              <w:fldChar w:fldCharType="separate"/>
            </w:r>
            <w:r>
              <w:rPr>
                <w:noProof/>
                <w:webHidden/>
              </w:rPr>
              <w:t>9</w:t>
            </w:r>
            <w:r>
              <w:rPr>
                <w:noProof/>
                <w:webHidden/>
              </w:rPr>
              <w:fldChar w:fldCharType="end"/>
            </w:r>
          </w:hyperlink>
        </w:p>
        <w:p w14:paraId="17D99E24" w14:textId="555F5B23" w:rsidR="003D1EBA" w:rsidRDefault="003D1EBA">
          <w:pPr>
            <w:pStyle w:val="TOC2"/>
            <w:tabs>
              <w:tab w:val="right" w:leader="dot" w:pos="9019"/>
            </w:tabs>
            <w:rPr>
              <w:rFonts w:asciiTheme="minorHAnsi" w:hAnsiTheme="minorHAnsi"/>
              <w:noProof/>
              <w:kern w:val="2"/>
              <w:lang w:eastAsia="en-GB"/>
              <w14:ligatures w14:val="standardContextual"/>
            </w:rPr>
          </w:pPr>
          <w:hyperlink w:anchor="_Toc222494850" w:history="1">
            <w:r w:rsidRPr="00A81E55">
              <w:rPr>
                <w:rStyle w:val="Hyperlink"/>
                <w:rFonts w:eastAsia="Times New Roman"/>
                <w:b/>
                <w:bCs/>
                <w:noProof/>
                <w:lang w:eastAsia="en-GB"/>
              </w:rPr>
              <w:t>Minimum Funding Guarantee (MFG)</w:t>
            </w:r>
            <w:r>
              <w:rPr>
                <w:noProof/>
                <w:webHidden/>
              </w:rPr>
              <w:tab/>
            </w:r>
            <w:r>
              <w:rPr>
                <w:noProof/>
                <w:webHidden/>
              </w:rPr>
              <w:fldChar w:fldCharType="begin"/>
            </w:r>
            <w:r>
              <w:rPr>
                <w:noProof/>
                <w:webHidden/>
              </w:rPr>
              <w:instrText xml:space="preserve"> PAGEREF _Toc222494850 \h </w:instrText>
            </w:r>
            <w:r>
              <w:rPr>
                <w:noProof/>
                <w:webHidden/>
              </w:rPr>
            </w:r>
            <w:r>
              <w:rPr>
                <w:noProof/>
                <w:webHidden/>
              </w:rPr>
              <w:fldChar w:fldCharType="separate"/>
            </w:r>
            <w:r>
              <w:rPr>
                <w:noProof/>
                <w:webHidden/>
              </w:rPr>
              <w:t>10</w:t>
            </w:r>
            <w:r>
              <w:rPr>
                <w:noProof/>
                <w:webHidden/>
              </w:rPr>
              <w:fldChar w:fldCharType="end"/>
            </w:r>
          </w:hyperlink>
        </w:p>
        <w:p w14:paraId="1294842D" w14:textId="76042537" w:rsidR="003D1EBA" w:rsidRDefault="003D1EBA">
          <w:pPr>
            <w:pStyle w:val="TOC1"/>
            <w:rPr>
              <w:rFonts w:asciiTheme="minorHAnsi" w:hAnsiTheme="minorHAnsi"/>
              <w:noProof/>
              <w:kern w:val="2"/>
              <w:lang w:eastAsia="en-GB"/>
              <w14:ligatures w14:val="standardContextual"/>
            </w:rPr>
          </w:pPr>
          <w:hyperlink w:anchor="_Toc222494851" w:history="1">
            <w:r w:rsidRPr="00A81E55">
              <w:rPr>
                <w:rStyle w:val="Hyperlink"/>
                <w:rFonts w:eastAsia="Times New Roman" w:cs="Arial"/>
                <w:b/>
                <w:bCs/>
                <w:noProof/>
                <w:lang w:eastAsia="en-GB"/>
              </w:rPr>
              <w:t>De-delegation</w:t>
            </w:r>
            <w:r>
              <w:rPr>
                <w:noProof/>
                <w:webHidden/>
              </w:rPr>
              <w:tab/>
            </w:r>
            <w:r>
              <w:rPr>
                <w:noProof/>
                <w:webHidden/>
              </w:rPr>
              <w:fldChar w:fldCharType="begin"/>
            </w:r>
            <w:r>
              <w:rPr>
                <w:noProof/>
                <w:webHidden/>
              </w:rPr>
              <w:instrText xml:space="preserve"> PAGEREF _Toc222494851 \h </w:instrText>
            </w:r>
            <w:r>
              <w:rPr>
                <w:noProof/>
                <w:webHidden/>
              </w:rPr>
            </w:r>
            <w:r>
              <w:rPr>
                <w:noProof/>
                <w:webHidden/>
              </w:rPr>
              <w:fldChar w:fldCharType="separate"/>
            </w:r>
            <w:r>
              <w:rPr>
                <w:noProof/>
                <w:webHidden/>
              </w:rPr>
              <w:t>10</w:t>
            </w:r>
            <w:r>
              <w:rPr>
                <w:noProof/>
                <w:webHidden/>
              </w:rPr>
              <w:fldChar w:fldCharType="end"/>
            </w:r>
          </w:hyperlink>
        </w:p>
        <w:p w14:paraId="669F758E" w14:textId="6DC2221C" w:rsidR="003D1EBA" w:rsidRDefault="003D1EBA">
          <w:pPr>
            <w:pStyle w:val="TOC1"/>
            <w:rPr>
              <w:rFonts w:asciiTheme="minorHAnsi" w:hAnsiTheme="minorHAnsi"/>
              <w:noProof/>
              <w:kern w:val="2"/>
              <w:lang w:eastAsia="en-GB"/>
              <w14:ligatures w14:val="standardContextual"/>
            </w:rPr>
          </w:pPr>
          <w:hyperlink w:anchor="_Toc222494852" w:history="1">
            <w:r w:rsidRPr="00A81E55">
              <w:rPr>
                <w:rStyle w:val="Hyperlink"/>
                <w:rFonts w:eastAsia="Times New Roman" w:cs="Arial"/>
                <w:b/>
                <w:bCs/>
                <w:noProof/>
                <w:lang w:eastAsia="en-GB"/>
              </w:rPr>
              <w:t>Additional Information</w:t>
            </w:r>
            <w:r>
              <w:rPr>
                <w:noProof/>
                <w:webHidden/>
              </w:rPr>
              <w:tab/>
            </w:r>
            <w:r>
              <w:rPr>
                <w:noProof/>
                <w:webHidden/>
              </w:rPr>
              <w:fldChar w:fldCharType="begin"/>
            </w:r>
            <w:r>
              <w:rPr>
                <w:noProof/>
                <w:webHidden/>
              </w:rPr>
              <w:instrText xml:space="preserve"> PAGEREF _Toc222494852 \h </w:instrText>
            </w:r>
            <w:r>
              <w:rPr>
                <w:noProof/>
                <w:webHidden/>
              </w:rPr>
            </w:r>
            <w:r>
              <w:rPr>
                <w:noProof/>
                <w:webHidden/>
              </w:rPr>
              <w:fldChar w:fldCharType="separate"/>
            </w:r>
            <w:r>
              <w:rPr>
                <w:noProof/>
                <w:webHidden/>
              </w:rPr>
              <w:t>11</w:t>
            </w:r>
            <w:r>
              <w:rPr>
                <w:noProof/>
                <w:webHidden/>
              </w:rPr>
              <w:fldChar w:fldCharType="end"/>
            </w:r>
          </w:hyperlink>
        </w:p>
        <w:p w14:paraId="0E6DC62B" w14:textId="5B0DFEE7" w:rsidR="003D1EBA" w:rsidRDefault="003D1EBA">
          <w:pPr>
            <w:pStyle w:val="TOC1"/>
            <w:rPr>
              <w:rFonts w:asciiTheme="minorHAnsi" w:hAnsiTheme="minorHAnsi"/>
              <w:noProof/>
              <w:kern w:val="2"/>
              <w:lang w:eastAsia="en-GB"/>
              <w14:ligatures w14:val="standardContextual"/>
            </w:rPr>
          </w:pPr>
          <w:hyperlink w:anchor="_Toc222494853" w:history="1">
            <w:r w:rsidRPr="00A81E55">
              <w:rPr>
                <w:rStyle w:val="Hyperlink"/>
                <w:rFonts w:eastAsia="Times New Roman" w:cs="Arial"/>
                <w:b/>
                <w:bCs/>
                <w:noProof/>
                <w:lang w:eastAsia="en-GB"/>
              </w:rPr>
              <w:t>Appendix 1: School Budget Factor Values</w:t>
            </w:r>
            <w:r>
              <w:rPr>
                <w:noProof/>
                <w:webHidden/>
              </w:rPr>
              <w:tab/>
            </w:r>
            <w:r>
              <w:rPr>
                <w:noProof/>
                <w:webHidden/>
              </w:rPr>
              <w:fldChar w:fldCharType="begin"/>
            </w:r>
            <w:r>
              <w:rPr>
                <w:noProof/>
                <w:webHidden/>
              </w:rPr>
              <w:instrText xml:space="preserve"> PAGEREF _Toc222494853 \h </w:instrText>
            </w:r>
            <w:r>
              <w:rPr>
                <w:noProof/>
                <w:webHidden/>
              </w:rPr>
            </w:r>
            <w:r>
              <w:rPr>
                <w:noProof/>
                <w:webHidden/>
              </w:rPr>
              <w:fldChar w:fldCharType="separate"/>
            </w:r>
            <w:r>
              <w:rPr>
                <w:noProof/>
                <w:webHidden/>
              </w:rPr>
              <w:t>14</w:t>
            </w:r>
            <w:r>
              <w:rPr>
                <w:noProof/>
                <w:webHidden/>
              </w:rPr>
              <w:fldChar w:fldCharType="end"/>
            </w:r>
          </w:hyperlink>
        </w:p>
        <w:p w14:paraId="1EA5986D" w14:textId="24582395" w:rsidR="007054EB" w:rsidRDefault="00332213" w:rsidP="007054EB">
          <w:pPr>
            <w:rPr>
              <w:b/>
              <w:bCs/>
              <w:noProof/>
            </w:rPr>
          </w:pPr>
          <w:r>
            <w:fldChar w:fldCharType="end"/>
          </w:r>
        </w:p>
      </w:sdtContent>
    </w:sdt>
    <w:p w14:paraId="418B523B" w14:textId="52D05DA6" w:rsidR="003D4B6F" w:rsidRPr="007054EB" w:rsidRDefault="003D4B6F" w:rsidP="007054EB">
      <w:r>
        <w:rPr>
          <w:rFonts w:ascii="Calibri" w:eastAsia="Times New Roman" w:hAnsi="Calibri" w:cs="Helvetica"/>
          <w:color w:val="000000"/>
          <w:lang w:eastAsia="en-GB"/>
        </w:rPr>
        <w:br w:type="page"/>
      </w:r>
    </w:p>
    <w:p w14:paraId="0E4F5B80" w14:textId="42E016DE" w:rsidR="00EB30C7" w:rsidRDefault="00EB30C7" w:rsidP="00DC4E5D">
      <w:pPr>
        <w:pStyle w:val="Heading1"/>
        <w:rPr>
          <w:rFonts w:eastAsia="Times New Roman" w:cs="Arial"/>
          <w:b/>
          <w:bCs/>
          <w:sz w:val="28"/>
          <w:szCs w:val="28"/>
          <w:lang w:eastAsia="en-GB"/>
        </w:rPr>
      </w:pPr>
      <w:bookmarkStart w:id="1" w:name="_Toc222494835"/>
      <w:r>
        <w:rPr>
          <w:rFonts w:eastAsia="Times New Roman" w:cs="Arial"/>
          <w:b/>
          <w:bCs/>
          <w:sz w:val="28"/>
          <w:szCs w:val="28"/>
          <w:lang w:eastAsia="en-GB"/>
        </w:rPr>
        <w:lastRenderedPageBreak/>
        <w:t>Introduction</w:t>
      </w:r>
      <w:bookmarkEnd w:id="1"/>
    </w:p>
    <w:p w14:paraId="5FAA72E9" w14:textId="0CFADEC2" w:rsidR="00AD412E" w:rsidRDefault="00AD412E" w:rsidP="00D02583">
      <w:pPr>
        <w:jc w:val="both"/>
        <w:rPr>
          <w:rFonts w:eastAsia="Times New Roman"/>
          <w:lang w:eastAsia="en-GB"/>
        </w:rPr>
      </w:pPr>
    </w:p>
    <w:p w14:paraId="770BADC3" w14:textId="39A54516" w:rsidR="00517EC2" w:rsidRDefault="00517EC2" w:rsidP="00D02583">
      <w:pPr>
        <w:jc w:val="both"/>
        <w:rPr>
          <w:rFonts w:eastAsia="Times New Roman"/>
          <w:lang w:eastAsia="en-GB"/>
        </w:rPr>
      </w:pPr>
      <w:r>
        <w:rPr>
          <w:rFonts w:eastAsia="Times New Roman"/>
          <w:lang w:eastAsia="en-GB"/>
        </w:rPr>
        <w:t xml:space="preserve">The Department for Education (DfE) published the National Funding Formula (NFF) for schools in December 2025. </w:t>
      </w:r>
      <w:r w:rsidR="00A6316F">
        <w:rPr>
          <w:rFonts w:eastAsia="Times New Roman"/>
          <w:lang w:eastAsia="en-GB"/>
        </w:rPr>
        <w:t xml:space="preserve">NFF changes </w:t>
      </w:r>
      <w:r w:rsidR="001E1BE1">
        <w:rPr>
          <w:rFonts w:eastAsia="Times New Roman"/>
          <w:lang w:eastAsia="en-GB"/>
        </w:rPr>
        <w:t>that will</w:t>
      </w:r>
      <w:r w:rsidR="00A6316F">
        <w:rPr>
          <w:rFonts w:eastAsia="Times New Roman"/>
          <w:lang w:eastAsia="en-GB"/>
        </w:rPr>
        <w:t xml:space="preserve"> affect local formulae arrangements are covered in this guidance along with details of funding factors and the basis of their calculation. </w:t>
      </w:r>
    </w:p>
    <w:p w14:paraId="495C359B" w14:textId="77777777" w:rsidR="00A6316F" w:rsidRDefault="00A6316F" w:rsidP="00D02583">
      <w:pPr>
        <w:jc w:val="both"/>
        <w:rPr>
          <w:rFonts w:eastAsia="Times New Roman"/>
          <w:lang w:eastAsia="en-GB"/>
        </w:rPr>
      </w:pPr>
    </w:p>
    <w:p w14:paraId="0C38E720" w14:textId="35193029" w:rsidR="00A6316F" w:rsidRDefault="00A6316F" w:rsidP="00D02583">
      <w:pPr>
        <w:jc w:val="both"/>
        <w:rPr>
          <w:rFonts w:eastAsia="Times New Roman"/>
          <w:lang w:eastAsia="en-GB"/>
        </w:rPr>
      </w:pPr>
      <w:r>
        <w:rPr>
          <w:rFonts w:eastAsia="Times New Roman"/>
          <w:lang w:eastAsia="en-GB"/>
        </w:rPr>
        <w:t>Each year, Birmingham City Council (BCC) sets the budget for mainstream schools under the NFF. This includes:</w:t>
      </w:r>
    </w:p>
    <w:p w14:paraId="3E87091B" w14:textId="77777777" w:rsidR="00963F34" w:rsidRDefault="00963F34" w:rsidP="00D02583">
      <w:pPr>
        <w:jc w:val="both"/>
        <w:rPr>
          <w:rFonts w:eastAsia="Times New Roman"/>
          <w:lang w:eastAsia="en-GB"/>
        </w:rPr>
      </w:pPr>
    </w:p>
    <w:p w14:paraId="5839DF2A" w14:textId="1DE5D22E" w:rsidR="00A6316F" w:rsidRDefault="00A6316F" w:rsidP="00A6316F">
      <w:pPr>
        <w:pStyle w:val="ListParagraph"/>
        <w:numPr>
          <w:ilvl w:val="0"/>
          <w:numId w:val="34"/>
        </w:numPr>
        <w:jc w:val="both"/>
        <w:rPr>
          <w:rFonts w:eastAsia="Times New Roman"/>
          <w:lang w:eastAsia="en-GB"/>
        </w:rPr>
      </w:pPr>
      <w:r>
        <w:rPr>
          <w:rFonts w:eastAsia="Times New Roman"/>
          <w:lang w:eastAsia="en-GB"/>
        </w:rPr>
        <w:t>Infants</w:t>
      </w:r>
    </w:p>
    <w:p w14:paraId="2D693B2C" w14:textId="37CEFB94" w:rsidR="00A6316F" w:rsidRDefault="00A6316F" w:rsidP="00A6316F">
      <w:pPr>
        <w:pStyle w:val="ListParagraph"/>
        <w:numPr>
          <w:ilvl w:val="0"/>
          <w:numId w:val="34"/>
        </w:numPr>
        <w:jc w:val="both"/>
        <w:rPr>
          <w:rFonts w:eastAsia="Times New Roman"/>
          <w:lang w:eastAsia="en-GB"/>
        </w:rPr>
      </w:pPr>
      <w:r>
        <w:rPr>
          <w:rFonts w:eastAsia="Times New Roman"/>
          <w:lang w:eastAsia="en-GB"/>
        </w:rPr>
        <w:t>Juniors</w:t>
      </w:r>
    </w:p>
    <w:p w14:paraId="1151D79F" w14:textId="16A913DD" w:rsidR="00A6316F" w:rsidRDefault="00A6316F" w:rsidP="00A6316F">
      <w:pPr>
        <w:pStyle w:val="ListParagraph"/>
        <w:numPr>
          <w:ilvl w:val="0"/>
          <w:numId w:val="34"/>
        </w:numPr>
        <w:jc w:val="both"/>
        <w:rPr>
          <w:rFonts w:eastAsia="Times New Roman"/>
          <w:lang w:eastAsia="en-GB"/>
        </w:rPr>
      </w:pPr>
      <w:r>
        <w:rPr>
          <w:rFonts w:eastAsia="Times New Roman"/>
          <w:lang w:eastAsia="en-GB"/>
        </w:rPr>
        <w:t xml:space="preserve">Primary </w:t>
      </w:r>
      <w:r w:rsidR="00963F34">
        <w:rPr>
          <w:rFonts w:eastAsia="Times New Roman"/>
          <w:lang w:eastAsia="en-GB"/>
        </w:rPr>
        <w:t>s</w:t>
      </w:r>
      <w:r>
        <w:rPr>
          <w:rFonts w:eastAsia="Times New Roman"/>
          <w:lang w:eastAsia="en-GB"/>
        </w:rPr>
        <w:t>chools</w:t>
      </w:r>
    </w:p>
    <w:p w14:paraId="05F2EF06" w14:textId="140BD1F6" w:rsidR="00963F34" w:rsidRDefault="00963F34" w:rsidP="00A6316F">
      <w:pPr>
        <w:pStyle w:val="ListParagraph"/>
        <w:numPr>
          <w:ilvl w:val="0"/>
          <w:numId w:val="34"/>
        </w:numPr>
        <w:jc w:val="both"/>
        <w:rPr>
          <w:rFonts w:eastAsia="Times New Roman"/>
          <w:lang w:eastAsia="en-GB"/>
        </w:rPr>
      </w:pPr>
      <w:r>
        <w:rPr>
          <w:rFonts w:eastAsia="Times New Roman"/>
          <w:lang w:eastAsia="en-GB"/>
        </w:rPr>
        <w:t>Secondary schools</w:t>
      </w:r>
    </w:p>
    <w:p w14:paraId="0258ED47" w14:textId="20897ED1" w:rsidR="00963F34" w:rsidRPr="00A6316F" w:rsidRDefault="00963F34" w:rsidP="00A6316F">
      <w:pPr>
        <w:pStyle w:val="ListParagraph"/>
        <w:numPr>
          <w:ilvl w:val="0"/>
          <w:numId w:val="34"/>
        </w:numPr>
        <w:jc w:val="both"/>
        <w:rPr>
          <w:rFonts w:eastAsia="Times New Roman"/>
          <w:lang w:eastAsia="en-GB"/>
        </w:rPr>
      </w:pPr>
      <w:r>
        <w:rPr>
          <w:rFonts w:eastAsia="Times New Roman"/>
          <w:lang w:eastAsia="en-GB"/>
        </w:rPr>
        <w:t>All-through schools</w:t>
      </w:r>
    </w:p>
    <w:p w14:paraId="63AE708F" w14:textId="77777777" w:rsidR="00517EC2" w:rsidRDefault="00517EC2" w:rsidP="00D02583">
      <w:pPr>
        <w:jc w:val="both"/>
        <w:rPr>
          <w:rFonts w:eastAsia="Times New Roman"/>
          <w:lang w:eastAsia="en-GB"/>
        </w:rPr>
      </w:pPr>
    </w:p>
    <w:p w14:paraId="710949F6" w14:textId="2A3A3551" w:rsidR="00963F34" w:rsidRDefault="00963F34" w:rsidP="00D02583">
      <w:pPr>
        <w:jc w:val="both"/>
        <w:rPr>
          <w:rFonts w:eastAsia="Times New Roman"/>
          <w:lang w:eastAsia="en-GB"/>
        </w:rPr>
      </w:pPr>
      <w:r>
        <w:rPr>
          <w:rFonts w:eastAsia="Times New Roman"/>
          <w:lang w:eastAsia="en-GB"/>
        </w:rPr>
        <w:t xml:space="preserve">The Local Authority (LA) must publish information about the individual budgets by 28 February each year. </w:t>
      </w:r>
    </w:p>
    <w:p w14:paraId="2B8EC9BE" w14:textId="77777777" w:rsidR="00F10792" w:rsidRDefault="00F10792" w:rsidP="00D02583">
      <w:pPr>
        <w:jc w:val="both"/>
        <w:rPr>
          <w:rFonts w:eastAsia="Times New Roman"/>
          <w:lang w:eastAsia="en-GB"/>
        </w:rPr>
      </w:pPr>
    </w:p>
    <w:p w14:paraId="5327CD9C" w14:textId="0FB32FA2" w:rsidR="00F10792" w:rsidRPr="004D6260" w:rsidRDefault="00F10792" w:rsidP="004D6260">
      <w:pPr>
        <w:rPr>
          <w:rFonts w:eastAsia="Times New Roman"/>
          <w:b/>
          <w:bCs/>
          <w:lang w:eastAsia="en-GB"/>
        </w:rPr>
      </w:pPr>
      <w:r w:rsidRPr="004D6260">
        <w:rPr>
          <w:rFonts w:eastAsia="Times New Roman"/>
          <w:b/>
          <w:bCs/>
          <w:lang w:eastAsia="en-GB"/>
        </w:rPr>
        <w:t>Contacts/Queries</w:t>
      </w:r>
    </w:p>
    <w:p w14:paraId="12E2C8B4" w14:textId="12D15EB8" w:rsidR="00F10792" w:rsidRDefault="00F10792" w:rsidP="00D02583">
      <w:pPr>
        <w:jc w:val="both"/>
        <w:rPr>
          <w:rFonts w:eastAsia="Times New Roman"/>
          <w:lang w:eastAsia="en-GB"/>
        </w:rPr>
      </w:pPr>
      <w:r>
        <w:rPr>
          <w:rFonts w:eastAsia="Times New Roman"/>
          <w:lang w:eastAsia="en-GB"/>
        </w:rPr>
        <w:t xml:space="preserve">Budget share data queries – The data used to formula the budget has been provided by the DfE and is not BCC’s data team. Please email any data queries to </w:t>
      </w:r>
      <w:hyperlink r:id="rId11" w:history="1">
        <w:r w:rsidRPr="00E94CBF">
          <w:rPr>
            <w:rStyle w:val="Hyperlink"/>
            <w:rFonts w:eastAsia="Times New Roman"/>
            <w:lang w:eastAsia="en-GB"/>
          </w:rPr>
          <w:t>SchoolsFinance@Birmingham.gov.uk</w:t>
        </w:r>
      </w:hyperlink>
      <w:r>
        <w:rPr>
          <w:rFonts w:eastAsia="Times New Roman"/>
          <w:lang w:eastAsia="en-GB"/>
        </w:rPr>
        <w:t xml:space="preserve"> and we will seek to find a solution with the DfE on how to resolve the issue. </w:t>
      </w:r>
    </w:p>
    <w:p w14:paraId="5438ACF1" w14:textId="7E890D28" w:rsidR="00F10792" w:rsidRDefault="00F10792" w:rsidP="00D02583">
      <w:pPr>
        <w:jc w:val="both"/>
        <w:rPr>
          <w:rFonts w:eastAsia="Times New Roman"/>
          <w:lang w:eastAsia="en-GB"/>
        </w:rPr>
      </w:pPr>
      <w:r>
        <w:rPr>
          <w:rFonts w:eastAsia="Times New Roman"/>
          <w:lang w:eastAsia="en-GB"/>
        </w:rPr>
        <w:t xml:space="preserve">Budget share funding queries – Please email </w:t>
      </w:r>
      <w:hyperlink r:id="rId12" w:history="1">
        <w:r w:rsidRPr="00E94CBF">
          <w:rPr>
            <w:rStyle w:val="Hyperlink"/>
            <w:rFonts w:eastAsia="Times New Roman"/>
            <w:lang w:eastAsia="en-GB"/>
          </w:rPr>
          <w:t>SchoolsFinance@Birmingham.gov.uk</w:t>
        </w:r>
      </w:hyperlink>
      <w:r>
        <w:rPr>
          <w:rFonts w:eastAsia="Times New Roman"/>
          <w:lang w:eastAsia="en-GB"/>
        </w:rPr>
        <w:t xml:space="preserve"> </w:t>
      </w:r>
    </w:p>
    <w:p w14:paraId="549627FC" w14:textId="77777777" w:rsidR="00963F34" w:rsidRDefault="00963F34" w:rsidP="00D02583">
      <w:pPr>
        <w:jc w:val="both"/>
        <w:rPr>
          <w:rFonts w:eastAsia="Times New Roman"/>
          <w:lang w:eastAsia="en-GB"/>
        </w:rPr>
      </w:pPr>
    </w:p>
    <w:p w14:paraId="61508389" w14:textId="0373107D" w:rsidR="00963F34" w:rsidRPr="0099770F" w:rsidRDefault="0099770F" w:rsidP="0099770F">
      <w:pPr>
        <w:pStyle w:val="Heading1"/>
        <w:rPr>
          <w:rFonts w:eastAsia="Times New Roman" w:cs="Arial"/>
          <w:b/>
          <w:bCs/>
          <w:sz w:val="28"/>
          <w:szCs w:val="28"/>
          <w:lang w:eastAsia="en-GB"/>
        </w:rPr>
      </w:pPr>
      <w:bookmarkStart w:id="2" w:name="_Toc222494836"/>
      <w:r w:rsidRPr="0099770F">
        <w:rPr>
          <w:rFonts w:eastAsia="Times New Roman" w:cs="Arial"/>
          <w:b/>
          <w:bCs/>
          <w:sz w:val="28"/>
          <w:szCs w:val="28"/>
          <w:lang w:eastAsia="en-GB"/>
        </w:rPr>
        <w:t>Changes for 2026/27</w:t>
      </w:r>
      <w:bookmarkEnd w:id="2"/>
    </w:p>
    <w:p w14:paraId="2A222E4E" w14:textId="77777777" w:rsidR="00517EC2" w:rsidRDefault="00517EC2" w:rsidP="00D02583">
      <w:pPr>
        <w:jc w:val="both"/>
        <w:rPr>
          <w:rFonts w:eastAsia="Times New Roman"/>
          <w:lang w:eastAsia="en-GB"/>
        </w:rPr>
      </w:pPr>
    </w:p>
    <w:p w14:paraId="398AF86D" w14:textId="7C77C7C7" w:rsidR="00517EC2" w:rsidRDefault="00053ECD" w:rsidP="00D02583">
      <w:pPr>
        <w:jc w:val="both"/>
        <w:rPr>
          <w:rFonts w:eastAsia="Times New Roman"/>
          <w:lang w:eastAsia="en-GB"/>
        </w:rPr>
      </w:pPr>
      <w:r>
        <w:rPr>
          <w:rFonts w:eastAsia="Times New Roman"/>
          <w:lang w:eastAsia="en-GB"/>
        </w:rPr>
        <w:t xml:space="preserve">There are no changes to the structure of the schools NFF, with the same factors used in the formula as in 2025 to 2026. </w:t>
      </w:r>
    </w:p>
    <w:p w14:paraId="79D6B6EB" w14:textId="77777777" w:rsidR="00AF5C38" w:rsidRDefault="00AF5C38" w:rsidP="00D02583">
      <w:pPr>
        <w:jc w:val="both"/>
        <w:rPr>
          <w:rFonts w:eastAsia="Times New Roman"/>
          <w:lang w:eastAsia="en-GB"/>
        </w:rPr>
      </w:pPr>
    </w:p>
    <w:p w14:paraId="1D3C4949" w14:textId="5145031D" w:rsidR="00AF5C38" w:rsidRDefault="00AF5C38" w:rsidP="00D02583">
      <w:pPr>
        <w:jc w:val="both"/>
        <w:rPr>
          <w:rFonts w:eastAsia="Times New Roman"/>
          <w:lang w:eastAsia="en-GB"/>
        </w:rPr>
      </w:pPr>
      <w:r>
        <w:rPr>
          <w:rFonts w:eastAsia="Times New Roman"/>
          <w:lang w:eastAsia="en-GB"/>
        </w:rPr>
        <w:t>The key changes in 202</w:t>
      </w:r>
      <w:r w:rsidR="000C128A">
        <w:rPr>
          <w:rFonts w:eastAsia="Times New Roman"/>
          <w:lang w:eastAsia="en-GB"/>
        </w:rPr>
        <w:t>6</w:t>
      </w:r>
      <w:r>
        <w:rPr>
          <w:rFonts w:eastAsia="Times New Roman"/>
          <w:lang w:eastAsia="en-GB"/>
        </w:rPr>
        <w:t>/2</w:t>
      </w:r>
      <w:r w:rsidR="000C128A">
        <w:rPr>
          <w:rFonts w:eastAsia="Times New Roman"/>
          <w:lang w:eastAsia="en-GB"/>
        </w:rPr>
        <w:t>7</w:t>
      </w:r>
      <w:r>
        <w:rPr>
          <w:rFonts w:eastAsia="Times New Roman"/>
          <w:lang w:eastAsia="en-GB"/>
        </w:rPr>
        <w:t xml:space="preserve"> are:</w:t>
      </w:r>
    </w:p>
    <w:p w14:paraId="5FCB13DB" w14:textId="77777777" w:rsidR="00AF5C38" w:rsidRDefault="00AF5C38" w:rsidP="00D02583">
      <w:pPr>
        <w:jc w:val="both"/>
        <w:rPr>
          <w:rFonts w:eastAsia="Times New Roman"/>
          <w:lang w:eastAsia="en-GB"/>
        </w:rPr>
      </w:pPr>
    </w:p>
    <w:p w14:paraId="5AF879A1" w14:textId="32C6AC90" w:rsidR="003D6EA6" w:rsidRDefault="00AF5C38" w:rsidP="003D6EA6">
      <w:pPr>
        <w:pStyle w:val="ListParagraph"/>
        <w:numPr>
          <w:ilvl w:val="0"/>
          <w:numId w:val="35"/>
        </w:numPr>
        <w:jc w:val="both"/>
        <w:rPr>
          <w:rFonts w:eastAsia="Times New Roman"/>
          <w:lang w:eastAsia="en-GB"/>
        </w:rPr>
      </w:pPr>
      <w:r>
        <w:rPr>
          <w:rFonts w:eastAsia="Times New Roman"/>
          <w:lang w:eastAsia="en-GB"/>
        </w:rPr>
        <w:t xml:space="preserve">The mainstream school’s elements of the School Budget Support Grant (SBSG) and the National Insurance Contribution (NICs) grant are being rolled into the schools NFF for 2026 to 2027. </w:t>
      </w:r>
      <w:r w:rsidR="00E062F3">
        <w:rPr>
          <w:rFonts w:eastAsia="Times New Roman"/>
          <w:lang w:eastAsia="en-GB"/>
        </w:rPr>
        <w:t>This is done by:</w:t>
      </w:r>
    </w:p>
    <w:p w14:paraId="6F9A2617" w14:textId="7790C9F8" w:rsidR="003D6EA6" w:rsidRDefault="003D6EA6" w:rsidP="003D6EA6">
      <w:pPr>
        <w:pStyle w:val="ListParagraph"/>
        <w:numPr>
          <w:ilvl w:val="1"/>
          <w:numId w:val="35"/>
        </w:numPr>
        <w:jc w:val="both"/>
        <w:rPr>
          <w:rFonts w:eastAsia="Times New Roman"/>
          <w:lang w:eastAsia="en-GB"/>
        </w:rPr>
      </w:pPr>
      <w:r>
        <w:rPr>
          <w:rFonts w:eastAsia="Times New Roman"/>
          <w:lang w:eastAsia="en-GB"/>
        </w:rPr>
        <w:t>Increasing the basic entitlement, FSM6 and the lump sum factor values for schools funding through the main formula factors (before protections</w:t>
      </w:r>
      <w:r w:rsidR="00636E39">
        <w:rPr>
          <w:rFonts w:eastAsia="Times New Roman"/>
          <w:lang w:eastAsia="en-GB"/>
        </w:rPr>
        <w:t>).</w:t>
      </w:r>
    </w:p>
    <w:p w14:paraId="3EF494F7" w14:textId="5138A62F" w:rsidR="003D6EA6" w:rsidRDefault="003D6EA6" w:rsidP="003D6EA6">
      <w:pPr>
        <w:pStyle w:val="ListParagraph"/>
        <w:numPr>
          <w:ilvl w:val="1"/>
          <w:numId w:val="35"/>
        </w:numPr>
        <w:jc w:val="both"/>
        <w:rPr>
          <w:rFonts w:eastAsia="Times New Roman"/>
          <w:lang w:eastAsia="en-GB"/>
        </w:rPr>
      </w:pPr>
      <w:r>
        <w:rPr>
          <w:rFonts w:eastAsia="Times New Roman"/>
          <w:lang w:eastAsia="en-GB"/>
        </w:rPr>
        <w:t>Increasing the minimum per pupil levels; and</w:t>
      </w:r>
    </w:p>
    <w:p w14:paraId="16E4C695" w14:textId="4D1B8709" w:rsidR="00DF78EB" w:rsidRDefault="003D6EA6" w:rsidP="00DF78EB">
      <w:pPr>
        <w:pStyle w:val="ListParagraph"/>
        <w:numPr>
          <w:ilvl w:val="1"/>
          <w:numId w:val="35"/>
        </w:numPr>
        <w:jc w:val="both"/>
        <w:rPr>
          <w:rFonts w:eastAsia="Times New Roman"/>
          <w:lang w:eastAsia="en-GB"/>
        </w:rPr>
      </w:pPr>
      <w:r>
        <w:rPr>
          <w:rFonts w:eastAsia="Times New Roman"/>
          <w:lang w:eastAsia="en-GB"/>
        </w:rPr>
        <w:t xml:space="preserve">Increasing the baseline for each school, which is used to calculate funding protections for schools funded through the funding floor. </w:t>
      </w:r>
    </w:p>
    <w:p w14:paraId="7C571EED" w14:textId="78E41244" w:rsidR="005C4F55" w:rsidRDefault="005C4F55" w:rsidP="005C4F55">
      <w:pPr>
        <w:pStyle w:val="ListParagraph"/>
        <w:numPr>
          <w:ilvl w:val="0"/>
          <w:numId w:val="35"/>
        </w:numPr>
        <w:jc w:val="both"/>
        <w:rPr>
          <w:rFonts w:eastAsia="Times New Roman"/>
          <w:lang w:eastAsia="en-GB"/>
        </w:rPr>
      </w:pPr>
      <w:r>
        <w:rPr>
          <w:rFonts w:eastAsia="Times New Roman"/>
          <w:lang w:eastAsia="en-GB"/>
        </w:rPr>
        <w:t xml:space="preserve">The rolling in of these grants into the school’s notional NFF allocations will affect the core budgets that maintained schools will receive from April 2026, and that academies will receive from September 2026. Because of this, academies will receive further grant payments for the period April 2026 to August 2026. </w:t>
      </w:r>
    </w:p>
    <w:p w14:paraId="2086B02F" w14:textId="314BB2C4" w:rsidR="003B1A0E" w:rsidRPr="003B1A0E" w:rsidRDefault="003B1A0E" w:rsidP="003B1A0E">
      <w:pPr>
        <w:pStyle w:val="ListParagraph"/>
        <w:numPr>
          <w:ilvl w:val="0"/>
          <w:numId w:val="35"/>
        </w:numPr>
        <w:jc w:val="both"/>
        <w:rPr>
          <w:rFonts w:eastAsia="Times New Roman"/>
          <w:lang w:eastAsia="en-GB"/>
        </w:rPr>
      </w:pPr>
      <w:r>
        <w:rPr>
          <w:rFonts w:eastAsia="Times New Roman"/>
          <w:lang w:eastAsia="en-GB"/>
        </w:rPr>
        <w:t xml:space="preserve">In June 2025, the government announced that, starting from September 2026, FSM will be extended to all children in households receiving Universal Credit. For 2026 to 2027, </w:t>
      </w:r>
      <w:r w:rsidR="009E3FDC">
        <w:rPr>
          <w:rFonts w:eastAsia="Times New Roman"/>
          <w:lang w:eastAsia="en-GB"/>
        </w:rPr>
        <w:t xml:space="preserve">there are no changes in schools NFF in respect of the FSM </w:t>
      </w:r>
      <w:r w:rsidR="009E3FDC">
        <w:rPr>
          <w:rFonts w:eastAsia="Times New Roman"/>
          <w:lang w:eastAsia="en-GB"/>
        </w:rPr>
        <w:lastRenderedPageBreak/>
        <w:t xml:space="preserve">expansion. Instead, additional funding for the FSM expansion will be provided through a separate grant. </w:t>
      </w:r>
    </w:p>
    <w:p w14:paraId="51ECECCD" w14:textId="77777777" w:rsidR="0041538B" w:rsidRDefault="0041538B" w:rsidP="0041538B">
      <w:pPr>
        <w:jc w:val="both"/>
        <w:rPr>
          <w:rFonts w:eastAsia="Times New Roman"/>
          <w:lang w:eastAsia="en-GB"/>
        </w:rPr>
      </w:pPr>
    </w:p>
    <w:p w14:paraId="784750A1" w14:textId="14CF6E8E" w:rsidR="0041538B" w:rsidRPr="00884DEE" w:rsidRDefault="00884DEE" w:rsidP="00884DEE">
      <w:pPr>
        <w:pStyle w:val="Heading1"/>
        <w:rPr>
          <w:rFonts w:eastAsia="Times New Roman" w:cs="Arial"/>
          <w:b/>
          <w:bCs/>
          <w:sz w:val="28"/>
          <w:szCs w:val="28"/>
          <w:lang w:eastAsia="en-GB"/>
        </w:rPr>
      </w:pPr>
      <w:bookmarkStart w:id="3" w:name="_Toc222494837"/>
      <w:r w:rsidRPr="00884DEE">
        <w:rPr>
          <w:rFonts w:eastAsia="Times New Roman" w:cs="Arial"/>
          <w:b/>
          <w:bCs/>
          <w:sz w:val="28"/>
          <w:szCs w:val="28"/>
          <w:lang w:eastAsia="en-GB"/>
        </w:rPr>
        <w:t>Funding Factors</w:t>
      </w:r>
      <w:bookmarkEnd w:id="3"/>
    </w:p>
    <w:p w14:paraId="0713405B" w14:textId="77777777" w:rsidR="0041538B" w:rsidRDefault="0041538B" w:rsidP="0041538B">
      <w:pPr>
        <w:jc w:val="both"/>
        <w:rPr>
          <w:rFonts w:eastAsia="Times New Roman"/>
          <w:lang w:eastAsia="en-GB"/>
        </w:rPr>
      </w:pPr>
    </w:p>
    <w:p w14:paraId="39A0766B" w14:textId="7F1673BB" w:rsidR="000B1659" w:rsidRDefault="000B1659" w:rsidP="0041538B">
      <w:pPr>
        <w:jc w:val="both"/>
        <w:rPr>
          <w:rFonts w:eastAsia="Times New Roman"/>
          <w:lang w:eastAsia="en-GB"/>
        </w:rPr>
      </w:pPr>
      <w:r>
        <w:rPr>
          <w:rFonts w:eastAsia="Times New Roman"/>
          <w:lang w:eastAsia="en-GB"/>
        </w:rPr>
        <w:t xml:space="preserve">The data the LA is required to use in the production of the 2026/27 budget shares is provided by the DfE. </w:t>
      </w:r>
    </w:p>
    <w:p w14:paraId="39BA9A26" w14:textId="77777777" w:rsidR="000B1659" w:rsidRDefault="000B1659" w:rsidP="0041538B">
      <w:pPr>
        <w:jc w:val="both"/>
        <w:rPr>
          <w:rFonts w:eastAsia="Times New Roman"/>
          <w:lang w:eastAsia="en-GB"/>
        </w:rPr>
      </w:pPr>
    </w:p>
    <w:p w14:paraId="2C3DB132" w14:textId="6A72928C" w:rsidR="000B1659" w:rsidRDefault="000B1659" w:rsidP="0041538B">
      <w:pPr>
        <w:jc w:val="both"/>
        <w:rPr>
          <w:rFonts w:eastAsia="Times New Roman"/>
          <w:lang w:eastAsia="en-GB"/>
        </w:rPr>
      </w:pPr>
      <w:r>
        <w:rPr>
          <w:rFonts w:eastAsia="Times New Roman"/>
          <w:lang w:eastAsia="en-GB"/>
        </w:rPr>
        <w:t xml:space="preserve">The </w:t>
      </w:r>
      <w:r w:rsidR="00B97EA2">
        <w:rPr>
          <w:rFonts w:eastAsia="Times New Roman"/>
          <w:lang w:eastAsia="en-GB"/>
        </w:rPr>
        <w:t xml:space="preserve">budget share data reflects the school’s pupil numbers as at the date of the October 2025 Autumn census </w:t>
      </w:r>
      <w:r w:rsidR="00423936">
        <w:rPr>
          <w:rFonts w:eastAsia="Times New Roman"/>
          <w:lang w:eastAsia="en-GB"/>
        </w:rPr>
        <w:t>plus permanent growth where applicable as agreed with the Pupil Place Planning Team. The DfE has been clear that it is not possible to make any amendments to the census data held by them.</w:t>
      </w:r>
    </w:p>
    <w:p w14:paraId="1609AF49" w14:textId="77777777" w:rsidR="00423936" w:rsidRDefault="00423936" w:rsidP="0041538B">
      <w:pPr>
        <w:jc w:val="both"/>
        <w:rPr>
          <w:rFonts w:eastAsia="Times New Roman"/>
          <w:lang w:eastAsia="en-GB"/>
        </w:rPr>
      </w:pPr>
    </w:p>
    <w:p w14:paraId="7B04D814" w14:textId="07CEA37F" w:rsidR="00423936" w:rsidRDefault="00423936" w:rsidP="0041538B">
      <w:pPr>
        <w:jc w:val="both"/>
        <w:rPr>
          <w:rFonts w:eastAsia="Times New Roman"/>
          <w:lang w:eastAsia="en-GB"/>
        </w:rPr>
      </w:pPr>
      <w:r>
        <w:rPr>
          <w:rFonts w:eastAsia="Times New Roman"/>
          <w:lang w:eastAsia="en-GB"/>
        </w:rPr>
        <w:t xml:space="preserve">Budget shares will show DfE pupil data rounded to 2 decimal places for presentation purposes. However, actual funding allocations for each budget share section are calculated using DfE pupil data which has not been rounded. This may result in minor differences if a manual calculation is made using pupil numbers and unit values. </w:t>
      </w:r>
    </w:p>
    <w:p w14:paraId="79CE2E03" w14:textId="77777777" w:rsidR="00423936" w:rsidRDefault="00423936" w:rsidP="0041538B">
      <w:pPr>
        <w:jc w:val="both"/>
        <w:rPr>
          <w:rFonts w:eastAsia="Times New Roman"/>
          <w:lang w:eastAsia="en-GB"/>
        </w:rPr>
      </w:pPr>
    </w:p>
    <w:p w14:paraId="19BFC130" w14:textId="4FE127A0" w:rsidR="00423936" w:rsidRDefault="00423936" w:rsidP="0041538B">
      <w:pPr>
        <w:jc w:val="both"/>
        <w:rPr>
          <w:rFonts w:eastAsia="Times New Roman"/>
          <w:lang w:eastAsia="en-GB"/>
        </w:rPr>
      </w:pPr>
      <w:r>
        <w:rPr>
          <w:rFonts w:eastAsia="Times New Roman"/>
          <w:lang w:eastAsia="en-GB"/>
        </w:rPr>
        <w:t xml:space="preserve">The DfE has also made it clear that no budget share amendments are allowed during the year. </w:t>
      </w:r>
    </w:p>
    <w:p w14:paraId="7C7C589C" w14:textId="77777777" w:rsidR="00423936" w:rsidRDefault="00423936" w:rsidP="0041538B">
      <w:pPr>
        <w:jc w:val="both"/>
        <w:rPr>
          <w:rFonts w:eastAsia="Times New Roman"/>
          <w:lang w:eastAsia="en-GB"/>
        </w:rPr>
      </w:pPr>
    </w:p>
    <w:p w14:paraId="10C5751F" w14:textId="4DE9EE8A" w:rsidR="00423936" w:rsidRDefault="00423936" w:rsidP="0041538B">
      <w:pPr>
        <w:jc w:val="both"/>
        <w:rPr>
          <w:rFonts w:eastAsia="Times New Roman"/>
          <w:lang w:eastAsia="en-GB"/>
        </w:rPr>
      </w:pPr>
      <w:r>
        <w:rPr>
          <w:rFonts w:eastAsia="Times New Roman"/>
          <w:lang w:eastAsia="en-GB"/>
        </w:rPr>
        <w:t xml:space="preserve">The calculation of the data for each factor is described in detail below. For many factors, the units used are expressed in decimal places. Some factors require a “school level percentage” to be initially calculated </w:t>
      </w:r>
      <w:r w:rsidR="002B44AC">
        <w:rPr>
          <w:rFonts w:eastAsia="Times New Roman"/>
          <w:lang w:eastAsia="en-GB"/>
        </w:rPr>
        <w:t xml:space="preserve">due to previous census data being used and this percentage is then applied to the October number on roll (NOR). </w:t>
      </w:r>
    </w:p>
    <w:p w14:paraId="666CACDD" w14:textId="77777777" w:rsidR="002B44AC" w:rsidRDefault="002B44AC" w:rsidP="0041538B">
      <w:pPr>
        <w:jc w:val="both"/>
        <w:rPr>
          <w:rFonts w:eastAsia="Times New Roman"/>
          <w:lang w:eastAsia="en-GB"/>
        </w:rPr>
      </w:pPr>
    </w:p>
    <w:p w14:paraId="4CC908E9" w14:textId="7BF3159A" w:rsidR="002B44AC" w:rsidRPr="008945C8" w:rsidRDefault="008945C8" w:rsidP="008945C8">
      <w:pPr>
        <w:pStyle w:val="Heading2"/>
        <w:rPr>
          <w:rFonts w:eastAsia="Times New Roman"/>
          <w:b/>
          <w:bCs/>
          <w:lang w:eastAsia="en-GB"/>
        </w:rPr>
      </w:pPr>
      <w:bookmarkStart w:id="4" w:name="_Toc222494838"/>
      <w:r w:rsidRPr="008945C8">
        <w:rPr>
          <w:rFonts w:eastAsia="Times New Roman"/>
          <w:b/>
          <w:bCs/>
          <w:lang w:eastAsia="en-GB"/>
        </w:rPr>
        <w:t>Basic Entitlement – Age Weighted Pupil Unit (AWPU)</w:t>
      </w:r>
      <w:bookmarkEnd w:id="4"/>
    </w:p>
    <w:p w14:paraId="4396BA97" w14:textId="77777777" w:rsidR="008945C8" w:rsidRDefault="008945C8" w:rsidP="0041538B">
      <w:pPr>
        <w:jc w:val="both"/>
        <w:rPr>
          <w:rFonts w:eastAsia="Times New Roman"/>
          <w:lang w:eastAsia="en-GB"/>
        </w:rPr>
      </w:pPr>
    </w:p>
    <w:p w14:paraId="03DD050D" w14:textId="07BA60E3" w:rsidR="00511733" w:rsidRDefault="008945C8" w:rsidP="0041538B">
      <w:pPr>
        <w:jc w:val="both"/>
        <w:rPr>
          <w:rFonts w:eastAsia="Times New Roman"/>
          <w:lang w:eastAsia="en-GB"/>
        </w:rPr>
      </w:pPr>
      <w:r>
        <w:rPr>
          <w:rFonts w:eastAsia="Times New Roman"/>
          <w:lang w:eastAsia="en-GB"/>
        </w:rPr>
        <w:t>Funding is based on October 2025 census pupil numbers, plus any ‘growth pupils’ for additional primary and secondary classes. These pupil numbers are shown in Section 1 of the School Budget Share.</w:t>
      </w:r>
    </w:p>
    <w:p w14:paraId="35889EB7" w14:textId="77777777" w:rsidR="008945C8" w:rsidRDefault="008945C8" w:rsidP="0041538B">
      <w:pPr>
        <w:jc w:val="both"/>
        <w:rPr>
          <w:rFonts w:eastAsia="Times New Roman"/>
          <w:lang w:eastAsia="en-GB"/>
        </w:rPr>
      </w:pPr>
    </w:p>
    <w:p w14:paraId="36BE5D5B" w14:textId="63FB1793" w:rsidR="008945C8" w:rsidRDefault="008945C8" w:rsidP="0041538B">
      <w:pPr>
        <w:jc w:val="both"/>
        <w:rPr>
          <w:rFonts w:eastAsia="Times New Roman"/>
          <w:lang w:eastAsia="en-GB"/>
        </w:rPr>
      </w:pPr>
      <w:r>
        <w:rPr>
          <w:rFonts w:eastAsia="Times New Roman"/>
          <w:lang w:eastAsia="en-GB"/>
        </w:rPr>
        <w:t>Funding is allocated according to an age-weighed pupil unit (AWPU) and there are different rates for primary, Key Stage 3</w:t>
      </w:r>
      <w:r w:rsidR="00077021">
        <w:rPr>
          <w:rFonts w:eastAsia="Times New Roman"/>
          <w:lang w:eastAsia="en-GB"/>
        </w:rPr>
        <w:t xml:space="preserve"> (KS3)</w:t>
      </w:r>
      <w:r>
        <w:rPr>
          <w:rFonts w:eastAsia="Times New Roman"/>
          <w:lang w:eastAsia="en-GB"/>
        </w:rPr>
        <w:t xml:space="preserve">, and Key Stage 4 </w:t>
      </w:r>
      <w:r w:rsidR="00077021">
        <w:rPr>
          <w:rFonts w:eastAsia="Times New Roman"/>
          <w:lang w:eastAsia="en-GB"/>
        </w:rPr>
        <w:t xml:space="preserve">(KS4) </w:t>
      </w:r>
      <w:r>
        <w:rPr>
          <w:rFonts w:eastAsia="Times New Roman"/>
          <w:lang w:eastAsia="en-GB"/>
        </w:rPr>
        <w:t xml:space="preserve">pupils. </w:t>
      </w:r>
    </w:p>
    <w:p w14:paraId="09C68DEA" w14:textId="77777777" w:rsidR="00511733" w:rsidRDefault="00511733" w:rsidP="0041538B">
      <w:pPr>
        <w:jc w:val="both"/>
        <w:rPr>
          <w:rFonts w:eastAsia="Times New Roman"/>
          <w:lang w:eastAsia="en-GB"/>
        </w:rPr>
      </w:pPr>
    </w:p>
    <w:p w14:paraId="079DDA96" w14:textId="7220CD91" w:rsidR="00511733" w:rsidRPr="00D34C82" w:rsidRDefault="002F5367" w:rsidP="00D34C82">
      <w:pPr>
        <w:pStyle w:val="Heading3"/>
        <w:rPr>
          <w:rFonts w:eastAsia="Times New Roman"/>
          <w:b/>
          <w:bCs/>
          <w:lang w:eastAsia="en-GB"/>
        </w:rPr>
      </w:pPr>
      <w:r w:rsidRPr="00D34C82">
        <w:rPr>
          <w:rFonts w:eastAsia="Times New Roman"/>
          <w:b/>
          <w:bCs/>
          <w:lang w:eastAsia="en-GB"/>
        </w:rPr>
        <w:t>Growing Schools / New Schools</w:t>
      </w:r>
    </w:p>
    <w:p w14:paraId="1A269B3A" w14:textId="7E28F941" w:rsidR="002F5367" w:rsidRDefault="002F5367" w:rsidP="0041538B">
      <w:pPr>
        <w:jc w:val="both"/>
        <w:rPr>
          <w:rFonts w:eastAsia="Times New Roman"/>
          <w:lang w:eastAsia="en-GB"/>
        </w:rPr>
      </w:pPr>
      <w:r>
        <w:rPr>
          <w:rFonts w:eastAsia="Times New Roman"/>
          <w:lang w:eastAsia="en-GB"/>
        </w:rPr>
        <w:t>The DfE requires local authorities to fund new schools that have opened in the last seven years and have not yet filled p</w:t>
      </w:r>
      <w:r w:rsidR="006C5964">
        <w:rPr>
          <w:rFonts w:eastAsia="Times New Roman"/>
          <w:lang w:eastAsia="en-GB"/>
        </w:rPr>
        <w:t>upil numbers in each year group according to estimates. BCC also uses this method of funding schools that are fundamentally re-organising by adding on new year groups. Funding is based on pupil numbers from the October census plus 7/12</w:t>
      </w:r>
      <w:r w:rsidR="006C5964" w:rsidRPr="006C5964">
        <w:rPr>
          <w:rFonts w:eastAsia="Times New Roman"/>
          <w:vertAlign w:val="superscript"/>
          <w:lang w:eastAsia="en-GB"/>
        </w:rPr>
        <w:t>th</w:t>
      </w:r>
      <w:r w:rsidR="006C5964">
        <w:rPr>
          <w:rFonts w:eastAsia="Times New Roman"/>
          <w:lang w:eastAsia="en-GB"/>
        </w:rPr>
        <w:t xml:space="preserve"> of the estimated increase from the next academic year. </w:t>
      </w:r>
    </w:p>
    <w:p w14:paraId="67A2ABEA" w14:textId="77777777" w:rsidR="006C5964" w:rsidRDefault="006C5964" w:rsidP="0041538B">
      <w:pPr>
        <w:jc w:val="both"/>
        <w:rPr>
          <w:rFonts w:eastAsia="Times New Roman"/>
          <w:lang w:eastAsia="en-GB"/>
        </w:rPr>
      </w:pPr>
    </w:p>
    <w:p w14:paraId="5A2806A2" w14:textId="60BEE6DC" w:rsidR="00D34C82" w:rsidRDefault="00D34C82" w:rsidP="0041538B">
      <w:pPr>
        <w:jc w:val="both"/>
        <w:rPr>
          <w:rFonts w:eastAsia="Times New Roman"/>
          <w:lang w:eastAsia="en-GB"/>
        </w:rPr>
      </w:pPr>
      <w:r>
        <w:rPr>
          <w:rFonts w:eastAsia="Times New Roman"/>
          <w:lang w:eastAsia="en-GB"/>
        </w:rPr>
        <w:t xml:space="preserve">Please note that any growth funding due to an agreed increase in planned admission numbers (PAN) or funding for temporary ‘bulge’ classes is made outside of the school budget share and through the growth fund. </w:t>
      </w:r>
    </w:p>
    <w:p w14:paraId="62A8144C" w14:textId="77777777" w:rsidR="003D1EBA" w:rsidRDefault="003D1EBA" w:rsidP="0041538B">
      <w:pPr>
        <w:jc w:val="both"/>
        <w:rPr>
          <w:rFonts w:eastAsia="Times New Roman"/>
          <w:lang w:eastAsia="en-GB"/>
        </w:rPr>
      </w:pPr>
    </w:p>
    <w:p w14:paraId="6FE140B2" w14:textId="77777777" w:rsidR="003D1EBA" w:rsidRDefault="003D1EBA" w:rsidP="0041538B">
      <w:pPr>
        <w:jc w:val="both"/>
        <w:rPr>
          <w:rFonts w:eastAsia="Times New Roman"/>
          <w:lang w:eastAsia="en-GB"/>
        </w:rPr>
      </w:pPr>
    </w:p>
    <w:p w14:paraId="5A9ABDFD" w14:textId="27850539" w:rsidR="00511733" w:rsidRPr="002A2FB6" w:rsidRDefault="002A2FB6" w:rsidP="002A2FB6">
      <w:pPr>
        <w:pStyle w:val="Heading2"/>
        <w:rPr>
          <w:rFonts w:eastAsia="Times New Roman"/>
          <w:b/>
          <w:bCs/>
          <w:lang w:eastAsia="en-GB"/>
        </w:rPr>
      </w:pPr>
      <w:bookmarkStart w:id="5" w:name="_Toc222494839"/>
      <w:r w:rsidRPr="002A2FB6">
        <w:rPr>
          <w:rFonts w:eastAsia="Times New Roman"/>
          <w:b/>
          <w:bCs/>
          <w:lang w:eastAsia="en-GB"/>
        </w:rPr>
        <w:lastRenderedPageBreak/>
        <w:t>Deprivation</w:t>
      </w:r>
      <w:bookmarkEnd w:id="5"/>
    </w:p>
    <w:p w14:paraId="14E1390B" w14:textId="77777777" w:rsidR="002A2FB6" w:rsidRDefault="002A2FB6" w:rsidP="0041538B">
      <w:pPr>
        <w:jc w:val="both"/>
        <w:rPr>
          <w:rFonts w:eastAsia="Times New Roman"/>
          <w:lang w:eastAsia="en-GB"/>
        </w:rPr>
      </w:pPr>
    </w:p>
    <w:p w14:paraId="6B8DBCA8" w14:textId="6A01A497" w:rsidR="00511733" w:rsidRDefault="00601280" w:rsidP="00601280">
      <w:pPr>
        <w:pStyle w:val="Heading3"/>
        <w:rPr>
          <w:rFonts w:eastAsia="Times New Roman"/>
          <w:lang w:eastAsia="en-GB"/>
        </w:rPr>
      </w:pPr>
      <w:r w:rsidRPr="00601280">
        <w:rPr>
          <w:rFonts w:eastAsia="Times New Roman"/>
          <w:b/>
          <w:bCs/>
          <w:lang w:eastAsia="en-GB"/>
        </w:rPr>
        <w:t>Free School Meals (FSM)</w:t>
      </w:r>
    </w:p>
    <w:p w14:paraId="73449EE2" w14:textId="6D95F67B" w:rsidR="00601280" w:rsidRDefault="00601280" w:rsidP="0041538B">
      <w:pPr>
        <w:jc w:val="both"/>
        <w:rPr>
          <w:rFonts w:eastAsia="Times New Roman"/>
          <w:lang w:eastAsia="en-GB"/>
        </w:rPr>
      </w:pPr>
      <w:r>
        <w:rPr>
          <w:rFonts w:eastAsia="Times New Roman"/>
          <w:lang w:eastAsia="en-GB"/>
        </w:rPr>
        <w:t xml:space="preserve">Schools receive funding for all current pupils eligible for FSM through this factor. The data used </w:t>
      </w:r>
      <w:r w:rsidR="001A2B0E">
        <w:rPr>
          <w:rFonts w:eastAsia="Times New Roman"/>
          <w:lang w:eastAsia="en-GB"/>
        </w:rPr>
        <w:t xml:space="preserve">by the DfE is taken from the October 2025 census. </w:t>
      </w:r>
    </w:p>
    <w:p w14:paraId="67D49A0B" w14:textId="77777777" w:rsidR="001A2B0E" w:rsidRDefault="001A2B0E" w:rsidP="0041538B">
      <w:pPr>
        <w:jc w:val="both"/>
        <w:rPr>
          <w:rFonts w:eastAsia="Times New Roman"/>
          <w:lang w:eastAsia="en-GB"/>
        </w:rPr>
      </w:pPr>
    </w:p>
    <w:p w14:paraId="79627F78" w14:textId="4C1C094C" w:rsidR="001A2B0E" w:rsidRPr="00C71D48" w:rsidRDefault="001A2B0E" w:rsidP="00C71D48">
      <w:pPr>
        <w:pStyle w:val="Heading3"/>
        <w:rPr>
          <w:rFonts w:eastAsia="Times New Roman"/>
          <w:b/>
          <w:bCs/>
          <w:lang w:eastAsia="en-GB"/>
        </w:rPr>
      </w:pPr>
      <w:r w:rsidRPr="00C71D48">
        <w:rPr>
          <w:rFonts w:eastAsia="Times New Roman"/>
          <w:b/>
          <w:bCs/>
          <w:lang w:eastAsia="en-GB"/>
        </w:rPr>
        <w:t>Free School Meals Ever 6 (FSM6)</w:t>
      </w:r>
    </w:p>
    <w:p w14:paraId="37F88392" w14:textId="449B92E6" w:rsidR="001A2B0E" w:rsidRDefault="00C71D48" w:rsidP="0041538B">
      <w:pPr>
        <w:jc w:val="both"/>
        <w:rPr>
          <w:rFonts w:eastAsia="Times New Roman"/>
          <w:lang w:eastAsia="en-GB"/>
        </w:rPr>
      </w:pPr>
      <w:r>
        <w:rPr>
          <w:rFonts w:eastAsia="Times New Roman"/>
          <w:lang w:eastAsia="en-GB"/>
        </w:rPr>
        <w:t xml:space="preserve">Schools receive funding for pupils that have claimed FSM in the past six years from the October 2025 census through this factor. </w:t>
      </w:r>
    </w:p>
    <w:p w14:paraId="335F63D2" w14:textId="77777777" w:rsidR="00D02CAA" w:rsidRDefault="00D02CAA" w:rsidP="0041538B">
      <w:pPr>
        <w:jc w:val="both"/>
        <w:rPr>
          <w:rFonts w:eastAsia="Times New Roman"/>
          <w:lang w:eastAsia="en-GB"/>
        </w:rPr>
      </w:pPr>
    </w:p>
    <w:p w14:paraId="2B5F1F2A" w14:textId="3CDAE76D" w:rsidR="00D02CAA" w:rsidRDefault="00D02CAA" w:rsidP="0041538B">
      <w:pPr>
        <w:jc w:val="both"/>
        <w:rPr>
          <w:rFonts w:eastAsia="Times New Roman"/>
          <w:lang w:eastAsia="en-GB"/>
        </w:rPr>
      </w:pPr>
      <w:r>
        <w:rPr>
          <w:rFonts w:eastAsia="Times New Roman"/>
          <w:lang w:eastAsia="en-GB"/>
        </w:rPr>
        <w:t>The DfE will automatically set the FS</w:t>
      </w:r>
      <w:r w:rsidR="00C25E81">
        <w:rPr>
          <w:rFonts w:eastAsia="Times New Roman"/>
          <w:lang w:eastAsia="en-GB"/>
        </w:rPr>
        <w:t xml:space="preserve">M6 ratio equal to the current FSM ratio for schools where the FSM6 rate is recorded as lower than the current FSM rate to include all currently eligible for FSM. </w:t>
      </w:r>
    </w:p>
    <w:p w14:paraId="29DFF0BE" w14:textId="77777777" w:rsidR="00C71D48" w:rsidRDefault="00C71D48" w:rsidP="0041538B">
      <w:pPr>
        <w:jc w:val="both"/>
        <w:rPr>
          <w:rFonts w:eastAsia="Times New Roman"/>
          <w:lang w:eastAsia="en-GB"/>
        </w:rPr>
      </w:pPr>
    </w:p>
    <w:p w14:paraId="5D9D09C5" w14:textId="282DDCE3" w:rsidR="00C71D48" w:rsidRPr="00C25E81" w:rsidRDefault="001A3158" w:rsidP="00C25E81">
      <w:pPr>
        <w:pStyle w:val="Heading3"/>
        <w:rPr>
          <w:rFonts w:eastAsia="Times New Roman"/>
          <w:b/>
          <w:bCs/>
          <w:lang w:eastAsia="en-GB"/>
        </w:rPr>
      </w:pPr>
      <w:r w:rsidRPr="00C25E81">
        <w:rPr>
          <w:rFonts w:eastAsia="Times New Roman"/>
          <w:b/>
          <w:bCs/>
          <w:lang w:eastAsia="en-GB"/>
        </w:rPr>
        <w:t>Income Deprivation Affecting Children Index (IDACI)</w:t>
      </w:r>
    </w:p>
    <w:p w14:paraId="006A65E4" w14:textId="539A5069" w:rsidR="001A3158" w:rsidRDefault="001A3158" w:rsidP="0041538B">
      <w:pPr>
        <w:jc w:val="both"/>
        <w:rPr>
          <w:rFonts w:eastAsia="Times New Roman"/>
          <w:lang w:eastAsia="en-GB"/>
        </w:rPr>
      </w:pPr>
      <w:r>
        <w:rPr>
          <w:rFonts w:eastAsia="Times New Roman"/>
          <w:lang w:eastAsia="en-GB"/>
        </w:rPr>
        <w:t>IDACI is an area-based index measuring the relative deprivation of different areas and ascribes a score as well as a rank to each Lower-layer Super Output Area (</w:t>
      </w:r>
      <w:r w:rsidR="00E9669B">
        <w:rPr>
          <w:rFonts w:eastAsia="Times New Roman"/>
          <w:lang w:eastAsia="en-GB"/>
        </w:rPr>
        <w:t xml:space="preserve">LSOA an area with typically about 1,500 residents). </w:t>
      </w:r>
    </w:p>
    <w:p w14:paraId="44E505EE" w14:textId="77777777" w:rsidR="001A2B0E" w:rsidRDefault="001A2B0E" w:rsidP="0041538B">
      <w:pPr>
        <w:jc w:val="both"/>
        <w:rPr>
          <w:rFonts w:eastAsia="Times New Roman"/>
          <w:lang w:eastAsia="en-GB"/>
        </w:rPr>
      </w:pPr>
    </w:p>
    <w:p w14:paraId="7D353EDA" w14:textId="75D12402" w:rsidR="00511733" w:rsidRDefault="00834975" w:rsidP="0041538B">
      <w:pPr>
        <w:jc w:val="both"/>
        <w:rPr>
          <w:rFonts w:eastAsia="Times New Roman"/>
          <w:lang w:eastAsia="en-GB"/>
        </w:rPr>
      </w:pPr>
      <w:r>
        <w:rPr>
          <w:rFonts w:eastAsia="Times New Roman"/>
          <w:lang w:eastAsia="en-GB"/>
        </w:rPr>
        <w:t xml:space="preserve">The NFF uses IDACI 2019 ranks to group each lower </w:t>
      </w:r>
      <w:r w:rsidR="00073D8A">
        <w:rPr>
          <w:rFonts w:eastAsia="Times New Roman"/>
          <w:lang w:eastAsia="en-GB"/>
        </w:rPr>
        <w:t xml:space="preserve">super output area into one of six bands of decreasing deprivation. </w:t>
      </w:r>
    </w:p>
    <w:p w14:paraId="295C0725" w14:textId="77777777" w:rsidR="00073D8A" w:rsidRDefault="00073D8A" w:rsidP="00D96655">
      <w:pPr>
        <w:rPr>
          <w:rFonts w:eastAsia="Times New Roman"/>
          <w:lang w:eastAsia="en-GB"/>
        </w:rPr>
      </w:pPr>
    </w:p>
    <w:tbl>
      <w:tblPr>
        <w:tblW w:w="8040" w:type="dxa"/>
        <w:tblInd w:w="490" w:type="dxa"/>
        <w:tblLook w:val="04A0" w:firstRow="1" w:lastRow="0" w:firstColumn="1" w:lastColumn="0" w:noHBand="0" w:noVBand="1"/>
        <w:tblDescription w:val="IDACI Data, Ranks and Bands"/>
      </w:tblPr>
      <w:tblGrid>
        <w:gridCol w:w="5240"/>
        <w:gridCol w:w="1960"/>
        <w:gridCol w:w="840"/>
      </w:tblGrid>
      <w:tr w:rsidR="00D96655" w14:paraId="404E76DE" w14:textId="77777777" w:rsidTr="00C341E8">
        <w:trPr>
          <w:trHeight w:val="290"/>
        </w:trPr>
        <w:tc>
          <w:tcPr>
            <w:tcW w:w="5240" w:type="dxa"/>
            <w:tcBorders>
              <w:top w:val="single" w:sz="4" w:space="0" w:color="auto"/>
              <w:left w:val="single" w:sz="4" w:space="0" w:color="auto"/>
              <w:bottom w:val="single" w:sz="4" w:space="0" w:color="auto"/>
              <w:right w:val="single" w:sz="4" w:space="0" w:color="auto"/>
            </w:tcBorders>
            <w:shd w:val="clear" w:color="000000" w:fill="FFFFFF"/>
            <w:hideMark/>
          </w:tcPr>
          <w:p w14:paraId="7293C1FA" w14:textId="77777777" w:rsidR="00D96655" w:rsidRPr="00D96655" w:rsidRDefault="00D96655" w:rsidP="00D96655">
            <w:pPr>
              <w:rPr>
                <w:rFonts w:cs="Arial"/>
                <w:b/>
                <w:bCs/>
                <w:color w:val="0B0C0C"/>
              </w:rPr>
            </w:pPr>
            <w:r w:rsidRPr="00D96655">
              <w:rPr>
                <w:rFonts w:cs="Arial"/>
                <w:b/>
                <w:bCs/>
                <w:color w:val="0B0C0C"/>
              </w:rPr>
              <w:t>IDACI data</w:t>
            </w:r>
          </w:p>
        </w:tc>
        <w:tc>
          <w:tcPr>
            <w:tcW w:w="1960" w:type="dxa"/>
            <w:tcBorders>
              <w:top w:val="single" w:sz="4" w:space="0" w:color="auto"/>
              <w:left w:val="nil"/>
              <w:bottom w:val="single" w:sz="4" w:space="0" w:color="auto"/>
              <w:right w:val="single" w:sz="4" w:space="0" w:color="auto"/>
            </w:tcBorders>
            <w:shd w:val="clear" w:color="000000" w:fill="FFFFFF"/>
            <w:hideMark/>
          </w:tcPr>
          <w:p w14:paraId="29858543" w14:textId="77777777" w:rsidR="00D96655" w:rsidRPr="00D96655" w:rsidRDefault="00D96655" w:rsidP="00D96655">
            <w:pPr>
              <w:rPr>
                <w:rFonts w:cs="Arial"/>
                <w:b/>
                <w:bCs/>
                <w:color w:val="0B0C0C"/>
              </w:rPr>
            </w:pPr>
            <w:r w:rsidRPr="00D96655">
              <w:rPr>
                <w:rFonts w:cs="Arial"/>
                <w:b/>
                <w:bCs/>
                <w:color w:val="0B0C0C"/>
              </w:rPr>
              <w:t>Ranks</w:t>
            </w:r>
          </w:p>
        </w:tc>
        <w:tc>
          <w:tcPr>
            <w:tcW w:w="840" w:type="dxa"/>
            <w:tcBorders>
              <w:top w:val="single" w:sz="4" w:space="0" w:color="auto"/>
              <w:left w:val="nil"/>
              <w:bottom w:val="single" w:sz="4" w:space="0" w:color="auto"/>
              <w:right w:val="single" w:sz="4" w:space="0" w:color="auto"/>
            </w:tcBorders>
            <w:shd w:val="clear" w:color="000000" w:fill="FFFFFF"/>
            <w:hideMark/>
          </w:tcPr>
          <w:p w14:paraId="0256357C" w14:textId="77777777" w:rsidR="00D96655" w:rsidRPr="00D96655" w:rsidRDefault="00D96655" w:rsidP="00D96655">
            <w:pPr>
              <w:rPr>
                <w:rFonts w:cs="Arial"/>
                <w:b/>
                <w:bCs/>
                <w:color w:val="0B0C0C"/>
              </w:rPr>
            </w:pPr>
            <w:r w:rsidRPr="00D96655">
              <w:rPr>
                <w:rFonts w:cs="Arial"/>
                <w:b/>
                <w:bCs/>
                <w:color w:val="0B0C0C"/>
              </w:rPr>
              <w:t>Band</w:t>
            </w:r>
          </w:p>
        </w:tc>
      </w:tr>
      <w:tr w:rsidR="00D96655" w14:paraId="098700A7" w14:textId="77777777" w:rsidTr="00C341E8">
        <w:trPr>
          <w:trHeight w:val="290"/>
        </w:trPr>
        <w:tc>
          <w:tcPr>
            <w:tcW w:w="5240" w:type="dxa"/>
            <w:tcBorders>
              <w:top w:val="nil"/>
              <w:left w:val="single" w:sz="4" w:space="0" w:color="auto"/>
              <w:bottom w:val="single" w:sz="4" w:space="0" w:color="auto"/>
              <w:right w:val="single" w:sz="4" w:space="0" w:color="auto"/>
            </w:tcBorders>
            <w:shd w:val="clear" w:color="000000" w:fill="FFFFFF"/>
            <w:hideMark/>
          </w:tcPr>
          <w:p w14:paraId="1D32EB8F" w14:textId="77777777" w:rsidR="00D96655" w:rsidRPr="00D96655" w:rsidRDefault="00D96655" w:rsidP="00D96655">
            <w:pPr>
              <w:ind w:firstLineChars="100" w:firstLine="240"/>
              <w:rPr>
                <w:rFonts w:cs="Arial"/>
                <w:color w:val="0B0C0C"/>
              </w:rPr>
            </w:pPr>
            <w:r w:rsidRPr="00D96655">
              <w:rPr>
                <w:rFonts w:cs="Arial"/>
                <w:color w:val="0B0C0C"/>
              </w:rPr>
              <w:t>Pupils in the most deprived 2.5% of LSOA</w:t>
            </w:r>
          </w:p>
        </w:tc>
        <w:tc>
          <w:tcPr>
            <w:tcW w:w="1960" w:type="dxa"/>
            <w:tcBorders>
              <w:top w:val="nil"/>
              <w:left w:val="nil"/>
              <w:bottom w:val="single" w:sz="4" w:space="0" w:color="auto"/>
              <w:right w:val="single" w:sz="4" w:space="0" w:color="auto"/>
            </w:tcBorders>
            <w:shd w:val="clear" w:color="000000" w:fill="FFFFFF"/>
            <w:hideMark/>
          </w:tcPr>
          <w:p w14:paraId="45838D50" w14:textId="77777777" w:rsidR="00D96655" w:rsidRPr="00D96655" w:rsidRDefault="00D96655" w:rsidP="00D96655">
            <w:pPr>
              <w:rPr>
                <w:rFonts w:cs="Arial"/>
                <w:color w:val="0B0C0C"/>
              </w:rPr>
            </w:pPr>
            <w:r w:rsidRPr="00D96655">
              <w:rPr>
                <w:rFonts w:cs="Arial"/>
                <w:color w:val="0B0C0C"/>
              </w:rPr>
              <w:t>1 to 821</w:t>
            </w:r>
          </w:p>
        </w:tc>
        <w:tc>
          <w:tcPr>
            <w:tcW w:w="840" w:type="dxa"/>
            <w:tcBorders>
              <w:top w:val="nil"/>
              <w:left w:val="nil"/>
              <w:bottom w:val="single" w:sz="4" w:space="0" w:color="auto"/>
              <w:right w:val="single" w:sz="4" w:space="0" w:color="auto"/>
            </w:tcBorders>
            <w:shd w:val="clear" w:color="000000" w:fill="FFFFFF"/>
            <w:hideMark/>
          </w:tcPr>
          <w:p w14:paraId="62D11106" w14:textId="77777777" w:rsidR="00D96655" w:rsidRPr="00D96655" w:rsidRDefault="00D96655" w:rsidP="00D96655">
            <w:pPr>
              <w:rPr>
                <w:rFonts w:cs="Arial"/>
                <w:color w:val="0B0C0C"/>
              </w:rPr>
            </w:pPr>
            <w:r w:rsidRPr="00D96655">
              <w:rPr>
                <w:rFonts w:cs="Arial"/>
                <w:color w:val="0B0C0C"/>
              </w:rPr>
              <w:t>A</w:t>
            </w:r>
          </w:p>
        </w:tc>
      </w:tr>
      <w:tr w:rsidR="00D96655" w14:paraId="14953D76" w14:textId="77777777" w:rsidTr="00C341E8">
        <w:trPr>
          <w:trHeight w:val="290"/>
        </w:trPr>
        <w:tc>
          <w:tcPr>
            <w:tcW w:w="5240" w:type="dxa"/>
            <w:tcBorders>
              <w:top w:val="nil"/>
              <w:left w:val="single" w:sz="4" w:space="0" w:color="auto"/>
              <w:bottom w:val="single" w:sz="4" w:space="0" w:color="auto"/>
              <w:right w:val="single" w:sz="4" w:space="0" w:color="auto"/>
            </w:tcBorders>
            <w:shd w:val="clear" w:color="000000" w:fill="FFFFFF"/>
            <w:hideMark/>
          </w:tcPr>
          <w:p w14:paraId="1B30C89C" w14:textId="77777777" w:rsidR="00D96655" w:rsidRPr="00D96655" w:rsidRDefault="00D96655" w:rsidP="00D96655">
            <w:pPr>
              <w:ind w:firstLineChars="100" w:firstLine="240"/>
              <w:rPr>
                <w:rFonts w:cs="Arial"/>
                <w:color w:val="0B0C0C"/>
              </w:rPr>
            </w:pPr>
            <w:r w:rsidRPr="00D96655">
              <w:rPr>
                <w:rFonts w:cs="Arial"/>
                <w:color w:val="0B0C0C"/>
              </w:rPr>
              <w:t>Pupils in the next 5% most deprived LSOA</w:t>
            </w:r>
          </w:p>
        </w:tc>
        <w:tc>
          <w:tcPr>
            <w:tcW w:w="1960" w:type="dxa"/>
            <w:tcBorders>
              <w:top w:val="nil"/>
              <w:left w:val="nil"/>
              <w:bottom w:val="single" w:sz="4" w:space="0" w:color="auto"/>
              <w:right w:val="single" w:sz="4" w:space="0" w:color="auto"/>
            </w:tcBorders>
            <w:shd w:val="clear" w:color="000000" w:fill="FFFFFF"/>
            <w:hideMark/>
          </w:tcPr>
          <w:p w14:paraId="398CB627" w14:textId="77777777" w:rsidR="00D96655" w:rsidRPr="00D96655" w:rsidRDefault="00D96655" w:rsidP="00D96655">
            <w:pPr>
              <w:rPr>
                <w:rFonts w:cs="Arial"/>
                <w:color w:val="0B0C0C"/>
              </w:rPr>
            </w:pPr>
            <w:r w:rsidRPr="00D96655">
              <w:rPr>
                <w:rFonts w:cs="Arial"/>
                <w:color w:val="0B0C0C"/>
              </w:rPr>
              <w:t>822 to 2463</w:t>
            </w:r>
          </w:p>
        </w:tc>
        <w:tc>
          <w:tcPr>
            <w:tcW w:w="840" w:type="dxa"/>
            <w:tcBorders>
              <w:top w:val="nil"/>
              <w:left w:val="nil"/>
              <w:bottom w:val="single" w:sz="4" w:space="0" w:color="auto"/>
              <w:right w:val="single" w:sz="4" w:space="0" w:color="auto"/>
            </w:tcBorders>
            <w:shd w:val="clear" w:color="000000" w:fill="FFFFFF"/>
            <w:hideMark/>
          </w:tcPr>
          <w:p w14:paraId="6634D9D2" w14:textId="77777777" w:rsidR="00D96655" w:rsidRPr="00D96655" w:rsidRDefault="00D96655" w:rsidP="00D96655">
            <w:pPr>
              <w:rPr>
                <w:rFonts w:cs="Arial"/>
                <w:color w:val="0B0C0C"/>
              </w:rPr>
            </w:pPr>
            <w:r w:rsidRPr="00D96655">
              <w:rPr>
                <w:rFonts w:cs="Arial"/>
                <w:color w:val="0B0C0C"/>
              </w:rPr>
              <w:t>B</w:t>
            </w:r>
          </w:p>
        </w:tc>
      </w:tr>
      <w:tr w:rsidR="00D96655" w14:paraId="34B23B9A" w14:textId="77777777" w:rsidTr="00C341E8">
        <w:trPr>
          <w:trHeight w:val="290"/>
        </w:trPr>
        <w:tc>
          <w:tcPr>
            <w:tcW w:w="5240" w:type="dxa"/>
            <w:tcBorders>
              <w:top w:val="nil"/>
              <w:left w:val="single" w:sz="4" w:space="0" w:color="auto"/>
              <w:bottom w:val="single" w:sz="4" w:space="0" w:color="auto"/>
              <w:right w:val="single" w:sz="4" w:space="0" w:color="auto"/>
            </w:tcBorders>
            <w:shd w:val="clear" w:color="000000" w:fill="FFFFFF"/>
            <w:hideMark/>
          </w:tcPr>
          <w:p w14:paraId="3C63881F" w14:textId="77777777" w:rsidR="00D96655" w:rsidRPr="00D96655" w:rsidRDefault="00D96655" w:rsidP="00D96655">
            <w:pPr>
              <w:ind w:firstLineChars="100" w:firstLine="240"/>
              <w:rPr>
                <w:rFonts w:cs="Arial"/>
                <w:color w:val="0B0C0C"/>
              </w:rPr>
            </w:pPr>
            <w:r w:rsidRPr="00D96655">
              <w:rPr>
                <w:rFonts w:cs="Arial"/>
                <w:color w:val="0B0C0C"/>
              </w:rPr>
              <w:t>Pupils in the next 5% most deprived LSOA</w:t>
            </w:r>
          </w:p>
        </w:tc>
        <w:tc>
          <w:tcPr>
            <w:tcW w:w="1960" w:type="dxa"/>
            <w:tcBorders>
              <w:top w:val="nil"/>
              <w:left w:val="nil"/>
              <w:bottom w:val="single" w:sz="4" w:space="0" w:color="auto"/>
              <w:right w:val="single" w:sz="4" w:space="0" w:color="auto"/>
            </w:tcBorders>
            <w:shd w:val="clear" w:color="000000" w:fill="FFFFFF"/>
            <w:hideMark/>
          </w:tcPr>
          <w:p w14:paraId="5169E633" w14:textId="77777777" w:rsidR="00D96655" w:rsidRPr="00D96655" w:rsidRDefault="00D96655" w:rsidP="00D96655">
            <w:pPr>
              <w:rPr>
                <w:rFonts w:cs="Arial"/>
                <w:color w:val="0B0C0C"/>
              </w:rPr>
            </w:pPr>
            <w:r w:rsidRPr="00D96655">
              <w:rPr>
                <w:rFonts w:cs="Arial"/>
                <w:color w:val="0B0C0C"/>
              </w:rPr>
              <w:t>2464 to 4105</w:t>
            </w:r>
          </w:p>
        </w:tc>
        <w:tc>
          <w:tcPr>
            <w:tcW w:w="840" w:type="dxa"/>
            <w:tcBorders>
              <w:top w:val="nil"/>
              <w:left w:val="nil"/>
              <w:bottom w:val="single" w:sz="4" w:space="0" w:color="auto"/>
              <w:right w:val="single" w:sz="4" w:space="0" w:color="auto"/>
            </w:tcBorders>
            <w:shd w:val="clear" w:color="000000" w:fill="FFFFFF"/>
            <w:hideMark/>
          </w:tcPr>
          <w:p w14:paraId="66B123AB" w14:textId="77777777" w:rsidR="00D96655" w:rsidRPr="00D96655" w:rsidRDefault="00D96655" w:rsidP="00D96655">
            <w:pPr>
              <w:rPr>
                <w:rFonts w:cs="Arial"/>
                <w:color w:val="0B0C0C"/>
              </w:rPr>
            </w:pPr>
            <w:r w:rsidRPr="00D96655">
              <w:rPr>
                <w:rFonts w:cs="Arial"/>
                <w:color w:val="0B0C0C"/>
              </w:rPr>
              <w:t>C</w:t>
            </w:r>
          </w:p>
        </w:tc>
      </w:tr>
      <w:tr w:rsidR="00D96655" w14:paraId="2E78B7EF" w14:textId="77777777" w:rsidTr="00C341E8">
        <w:trPr>
          <w:trHeight w:val="290"/>
        </w:trPr>
        <w:tc>
          <w:tcPr>
            <w:tcW w:w="5240" w:type="dxa"/>
            <w:tcBorders>
              <w:top w:val="nil"/>
              <w:left w:val="single" w:sz="4" w:space="0" w:color="auto"/>
              <w:bottom w:val="single" w:sz="4" w:space="0" w:color="auto"/>
              <w:right w:val="single" w:sz="4" w:space="0" w:color="auto"/>
            </w:tcBorders>
            <w:shd w:val="clear" w:color="000000" w:fill="FFFFFF"/>
            <w:hideMark/>
          </w:tcPr>
          <w:p w14:paraId="34A54CAD" w14:textId="77777777" w:rsidR="00D96655" w:rsidRPr="00D96655" w:rsidRDefault="00D96655" w:rsidP="00D96655">
            <w:pPr>
              <w:ind w:firstLineChars="100" w:firstLine="240"/>
              <w:rPr>
                <w:rFonts w:cs="Arial"/>
                <w:color w:val="0B0C0C"/>
              </w:rPr>
            </w:pPr>
            <w:r w:rsidRPr="00D96655">
              <w:rPr>
                <w:rFonts w:cs="Arial"/>
                <w:color w:val="0B0C0C"/>
              </w:rPr>
              <w:t>Pupils in the next 5% most deprived LSOA</w:t>
            </w:r>
          </w:p>
        </w:tc>
        <w:tc>
          <w:tcPr>
            <w:tcW w:w="1960" w:type="dxa"/>
            <w:tcBorders>
              <w:top w:val="nil"/>
              <w:left w:val="nil"/>
              <w:bottom w:val="single" w:sz="4" w:space="0" w:color="auto"/>
              <w:right w:val="single" w:sz="4" w:space="0" w:color="auto"/>
            </w:tcBorders>
            <w:shd w:val="clear" w:color="000000" w:fill="FFFFFF"/>
            <w:hideMark/>
          </w:tcPr>
          <w:p w14:paraId="447B587F" w14:textId="77777777" w:rsidR="00D96655" w:rsidRPr="00D96655" w:rsidRDefault="00D96655" w:rsidP="00D96655">
            <w:pPr>
              <w:rPr>
                <w:rFonts w:cs="Arial"/>
                <w:color w:val="0B0C0C"/>
              </w:rPr>
            </w:pPr>
            <w:r w:rsidRPr="00D96655">
              <w:rPr>
                <w:rFonts w:cs="Arial"/>
                <w:color w:val="0B0C0C"/>
              </w:rPr>
              <w:t>4106 to 5747</w:t>
            </w:r>
          </w:p>
        </w:tc>
        <w:tc>
          <w:tcPr>
            <w:tcW w:w="840" w:type="dxa"/>
            <w:tcBorders>
              <w:top w:val="nil"/>
              <w:left w:val="nil"/>
              <w:bottom w:val="single" w:sz="4" w:space="0" w:color="auto"/>
              <w:right w:val="single" w:sz="4" w:space="0" w:color="auto"/>
            </w:tcBorders>
            <w:shd w:val="clear" w:color="000000" w:fill="FFFFFF"/>
            <w:hideMark/>
          </w:tcPr>
          <w:p w14:paraId="4AFEDD33" w14:textId="77777777" w:rsidR="00D96655" w:rsidRPr="00D96655" w:rsidRDefault="00D96655" w:rsidP="00D96655">
            <w:pPr>
              <w:rPr>
                <w:rFonts w:cs="Arial"/>
                <w:color w:val="0B0C0C"/>
              </w:rPr>
            </w:pPr>
            <w:r w:rsidRPr="00D96655">
              <w:rPr>
                <w:rFonts w:cs="Arial"/>
                <w:color w:val="0B0C0C"/>
              </w:rPr>
              <w:t>D</w:t>
            </w:r>
          </w:p>
        </w:tc>
      </w:tr>
      <w:tr w:rsidR="00D96655" w14:paraId="3E78966D" w14:textId="77777777" w:rsidTr="00C341E8">
        <w:trPr>
          <w:trHeight w:val="290"/>
        </w:trPr>
        <w:tc>
          <w:tcPr>
            <w:tcW w:w="5240" w:type="dxa"/>
            <w:tcBorders>
              <w:top w:val="nil"/>
              <w:left w:val="single" w:sz="4" w:space="0" w:color="auto"/>
              <w:bottom w:val="single" w:sz="4" w:space="0" w:color="auto"/>
              <w:right w:val="single" w:sz="4" w:space="0" w:color="auto"/>
            </w:tcBorders>
            <w:shd w:val="clear" w:color="000000" w:fill="FFFFFF"/>
            <w:hideMark/>
          </w:tcPr>
          <w:p w14:paraId="68350D76" w14:textId="77777777" w:rsidR="00D96655" w:rsidRPr="00D96655" w:rsidRDefault="00D96655" w:rsidP="00D96655">
            <w:pPr>
              <w:ind w:firstLineChars="100" w:firstLine="240"/>
              <w:rPr>
                <w:rFonts w:cs="Arial"/>
                <w:color w:val="0B0C0C"/>
              </w:rPr>
            </w:pPr>
            <w:r w:rsidRPr="00D96655">
              <w:rPr>
                <w:rFonts w:cs="Arial"/>
                <w:color w:val="0B0C0C"/>
              </w:rPr>
              <w:t>Pupils in the next 10% most deprived LSOA</w:t>
            </w:r>
          </w:p>
        </w:tc>
        <w:tc>
          <w:tcPr>
            <w:tcW w:w="1960" w:type="dxa"/>
            <w:tcBorders>
              <w:top w:val="nil"/>
              <w:left w:val="nil"/>
              <w:bottom w:val="single" w:sz="4" w:space="0" w:color="auto"/>
              <w:right w:val="single" w:sz="4" w:space="0" w:color="auto"/>
            </w:tcBorders>
            <w:shd w:val="clear" w:color="000000" w:fill="FFFFFF"/>
            <w:hideMark/>
          </w:tcPr>
          <w:p w14:paraId="56524633" w14:textId="77777777" w:rsidR="00D96655" w:rsidRPr="00D96655" w:rsidRDefault="00D96655" w:rsidP="00D96655">
            <w:pPr>
              <w:rPr>
                <w:rFonts w:cs="Arial"/>
                <w:color w:val="0B0C0C"/>
              </w:rPr>
            </w:pPr>
            <w:r w:rsidRPr="00D96655">
              <w:rPr>
                <w:rFonts w:cs="Arial"/>
                <w:color w:val="0B0C0C"/>
              </w:rPr>
              <w:t>5748 to 9032</w:t>
            </w:r>
          </w:p>
        </w:tc>
        <w:tc>
          <w:tcPr>
            <w:tcW w:w="840" w:type="dxa"/>
            <w:tcBorders>
              <w:top w:val="nil"/>
              <w:left w:val="nil"/>
              <w:bottom w:val="single" w:sz="4" w:space="0" w:color="auto"/>
              <w:right w:val="single" w:sz="4" w:space="0" w:color="auto"/>
            </w:tcBorders>
            <w:shd w:val="clear" w:color="000000" w:fill="FFFFFF"/>
            <w:hideMark/>
          </w:tcPr>
          <w:p w14:paraId="2D5C06AB" w14:textId="77777777" w:rsidR="00D96655" w:rsidRPr="00D96655" w:rsidRDefault="00D96655" w:rsidP="00D96655">
            <w:pPr>
              <w:rPr>
                <w:rFonts w:cs="Arial"/>
                <w:color w:val="0B0C0C"/>
              </w:rPr>
            </w:pPr>
            <w:r w:rsidRPr="00D96655">
              <w:rPr>
                <w:rFonts w:cs="Arial"/>
                <w:color w:val="0B0C0C"/>
              </w:rPr>
              <w:t>E</w:t>
            </w:r>
          </w:p>
        </w:tc>
      </w:tr>
      <w:tr w:rsidR="00D96655" w14:paraId="27248C31" w14:textId="77777777" w:rsidTr="00C341E8">
        <w:trPr>
          <w:trHeight w:val="290"/>
        </w:trPr>
        <w:tc>
          <w:tcPr>
            <w:tcW w:w="5240" w:type="dxa"/>
            <w:tcBorders>
              <w:top w:val="nil"/>
              <w:left w:val="single" w:sz="4" w:space="0" w:color="auto"/>
              <w:bottom w:val="single" w:sz="4" w:space="0" w:color="auto"/>
              <w:right w:val="single" w:sz="4" w:space="0" w:color="auto"/>
            </w:tcBorders>
            <w:shd w:val="clear" w:color="000000" w:fill="FFFFFF"/>
            <w:hideMark/>
          </w:tcPr>
          <w:p w14:paraId="332FB84D" w14:textId="77777777" w:rsidR="00D96655" w:rsidRPr="00D96655" w:rsidRDefault="00D96655" w:rsidP="00D96655">
            <w:pPr>
              <w:ind w:firstLineChars="100" w:firstLine="240"/>
              <w:rPr>
                <w:rFonts w:cs="Arial"/>
                <w:color w:val="0B0C0C"/>
              </w:rPr>
            </w:pPr>
            <w:r w:rsidRPr="00D96655">
              <w:rPr>
                <w:rFonts w:cs="Arial"/>
                <w:color w:val="0B0C0C"/>
              </w:rPr>
              <w:t>Pupils in the next 10% most deprived LSOA</w:t>
            </w:r>
          </w:p>
        </w:tc>
        <w:tc>
          <w:tcPr>
            <w:tcW w:w="1960" w:type="dxa"/>
            <w:tcBorders>
              <w:top w:val="nil"/>
              <w:left w:val="nil"/>
              <w:bottom w:val="single" w:sz="4" w:space="0" w:color="auto"/>
              <w:right w:val="single" w:sz="4" w:space="0" w:color="auto"/>
            </w:tcBorders>
            <w:shd w:val="clear" w:color="000000" w:fill="FFFFFF"/>
            <w:hideMark/>
          </w:tcPr>
          <w:p w14:paraId="48BE409B" w14:textId="77777777" w:rsidR="00D96655" w:rsidRPr="00D96655" w:rsidRDefault="00D96655" w:rsidP="00D96655">
            <w:pPr>
              <w:rPr>
                <w:rFonts w:cs="Arial"/>
                <w:color w:val="0B0C0C"/>
              </w:rPr>
            </w:pPr>
            <w:r w:rsidRPr="00D96655">
              <w:rPr>
                <w:rFonts w:cs="Arial"/>
                <w:color w:val="0B0C0C"/>
              </w:rPr>
              <w:t>9033 to 12316</w:t>
            </w:r>
          </w:p>
        </w:tc>
        <w:tc>
          <w:tcPr>
            <w:tcW w:w="840" w:type="dxa"/>
            <w:tcBorders>
              <w:top w:val="nil"/>
              <w:left w:val="nil"/>
              <w:bottom w:val="single" w:sz="4" w:space="0" w:color="auto"/>
              <w:right w:val="single" w:sz="4" w:space="0" w:color="auto"/>
            </w:tcBorders>
            <w:shd w:val="clear" w:color="000000" w:fill="FFFFFF"/>
            <w:hideMark/>
          </w:tcPr>
          <w:p w14:paraId="45C163F5" w14:textId="77777777" w:rsidR="00D96655" w:rsidRPr="00D96655" w:rsidRDefault="00D96655" w:rsidP="00D96655">
            <w:pPr>
              <w:rPr>
                <w:rFonts w:cs="Arial"/>
                <w:color w:val="0B0C0C"/>
              </w:rPr>
            </w:pPr>
            <w:r w:rsidRPr="00D96655">
              <w:rPr>
                <w:rFonts w:cs="Arial"/>
                <w:color w:val="0B0C0C"/>
              </w:rPr>
              <w:t>F</w:t>
            </w:r>
          </w:p>
        </w:tc>
      </w:tr>
    </w:tbl>
    <w:p w14:paraId="5FABFD11" w14:textId="77777777" w:rsidR="006F67CE" w:rsidRDefault="006F67CE" w:rsidP="0041538B">
      <w:pPr>
        <w:jc w:val="both"/>
        <w:rPr>
          <w:rFonts w:eastAsia="Times New Roman"/>
          <w:lang w:eastAsia="en-GB"/>
        </w:rPr>
      </w:pPr>
    </w:p>
    <w:p w14:paraId="68D3924F" w14:textId="6DE556CB" w:rsidR="006F67CE" w:rsidRDefault="006F67CE" w:rsidP="008407DF">
      <w:pPr>
        <w:pStyle w:val="Heading2"/>
        <w:rPr>
          <w:rFonts w:eastAsia="Times New Roman"/>
          <w:b/>
          <w:bCs/>
          <w:lang w:eastAsia="en-GB"/>
        </w:rPr>
      </w:pPr>
      <w:bookmarkStart w:id="6" w:name="_Toc222494840"/>
      <w:r w:rsidRPr="00291827">
        <w:rPr>
          <w:rFonts w:eastAsia="Times New Roman"/>
          <w:b/>
          <w:bCs/>
          <w:lang w:eastAsia="en-GB"/>
        </w:rPr>
        <w:t>English as an Additional Language (EAL)</w:t>
      </w:r>
      <w:bookmarkEnd w:id="6"/>
    </w:p>
    <w:p w14:paraId="669D11BB" w14:textId="77777777" w:rsidR="008407DF" w:rsidRPr="008407DF" w:rsidRDefault="008407DF" w:rsidP="008407DF">
      <w:pPr>
        <w:rPr>
          <w:lang w:eastAsia="en-GB"/>
        </w:rPr>
      </w:pPr>
    </w:p>
    <w:p w14:paraId="6697B2F8" w14:textId="3F31D1F8" w:rsidR="003E6790" w:rsidRDefault="003E6790" w:rsidP="0041538B">
      <w:pPr>
        <w:jc w:val="both"/>
        <w:rPr>
          <w:rFonts w:eastAsia="Times New Roman"/>
          <w:lang w:eastAsia="en-GB"/>
        </w:rPr>
      </w:pPr>
      <w:r>
        <w:rPr>
          <w:rFonts w:eastAsia="Times New Roman"/>
          <w:lang w:eastAsia="en-GB"/>
        </w:rPr>
        <w:t xml:space="preserve">EAL pupils attract funding if they are on the October 2025 census and can be shown to have been in the English school system for less than three years. This is achieved by deriving a pupil level “years in system” count based on the pupils’ presence on the October 2023, October 2024, and October 2025 censuses. </w:t>
      </w:r>
    </w:p>
    <w:p w14:paraId="3E85437F" w14:textId="77777777" w:rsidR="003E6790" w:rsidRDefault="003E6790" w:rsidP="0041538B">
      <w:pPr>
        <w:jc w:val="both"/>
        <w:rPr>
          <w:rFonts w:eastAsia="Times New Roman"/>
          <w:lang w:eastAsia="en-GB"/>
        </w:rPr>
      </w:pPr>
    </w:p>
    <w:p w14:paraId="034BE4A7" w14:textId="5EA00731" w:rsidR="003E6790" w:rsidRDefault="003E6790" w:rsidP="0041538B">
      <w:pPr>
        <w:jc w:val="both"/>
        <w:rPr>
          <w:rFonts w:eastAsia="Times New Roman"/>
          <w:lang w:eastAsia="en-GB"/>
        </w:rPr>
      </w:pPr>
      <w:r>
        <w:rPr>
          <w:rFonts w:eastAsia="Times New Roman"/>
          <w:lang w:eastAsia="en-GB"/>
        </w:rPr>
        <w:t xml:space="preserve">The maximum number of October censuses on which a pupil can be on roll and still counted in the EAL factor is three. </w:t>
      </w:r>
    </w:p>
    <w:p w14:paraId="4EC28AE7" w14:textId="77777777" w:rsidR="00DA625F" w:rsidRDefault="00DA625F" w:rsidP="0041538B">
      <w:pPr>
        <w:jc w:val="both"/>
        <w:rPr>
          <w:rFonts w:eastAsia="Times New Roman"/>
          <w:lang w:eastAsia="en-GB"/>
        </w:rPr>
      </w:pPr>
    </w:p>
    <w:p w14:paraId="49525C6C" w14:textId="39FE64BB" w:rsidR="00DA625F" w:rsidRDefault="00DA625F" w:rsidP="0041538B">
      <w:pPr>
        <w:jc w:val="both"/>
        <w:rPr>
          <w:rFonts w:eastAsia="Times New Roman"/>
          <w:lang w:eastAsia="en-GB"/>
        </w:rPr>
      </w:pPr>
      <w:r>
        <w:rPr>
          <w:rFonts w:eastAsia="Times New Roman"/>
          <w:lang w:eastAsia="en-GB"/>
        </w:rPr>
        <w:t xml:space="preserve">If a pupil was first recorded in the October census in nursery 1, nursery 2, or reception they have been excluded from the count. This is because the language of pupils does not have to be declared in the census for pupils aged under five, causing this data to be unreliable. </w:t>
      </w:r>
    </w:p>
    <w:p w14:paraId="2597A867" w14:textId="77777777" w:rsidR="003D1EBA" w:rsidRDefault="003D1EBA" w:rsidP="0041538B">
      <w:pPr>
        <w:jc w:val="both"/>
        <w:rPr>
          <w:rFonts w:eastAsia="Times New Roman"/>
          <w:lang w:eastAsia="en-GB"/>
        </w:rPr>
      </w:pPr>
    </w:p>
    <w:p w14:paraId="7F71930D" w14:textId="640481B2" w:rsidR="00291827" w:rsidRDefault="00601332" w:rsidP="008407DF">
      <w:pPr>
        <w:pStyle w:val="Heading2"/>
        <w:rPr>
          <w:rFonts w:eastAsia="Times New Roman"/>
          <w:b/>
          <w:bCs/>
          <w:lang w:eastAsia="en-GB"/>
        </w:rPr>
      </w:pPr>
      <w:bookmarkStart w:id="7" w:name="_Toc222494841"/>
      <w:r w:rsidRPr="004E413E">
        <w:rPr>
          <w:rFonts w:eastAsia="Times New Roman"/>
          <w:b/>
          <w:bCs/>
          <w:lang w:eastAsia="en-GB"/>
        </w:rPr>
        <w:t>Mobility</w:t>
      </w:r>
      <w:bookmarkEnd w:id="7"/>
    </w:p>
    <w:p w14:paraId="15E0539D" w14:textId="77777777" w:rsidR="008407DF" w:rsidRPr="008407DF" w:rsidRDefault="008407DF" w:rsidP="008407DF">
      <w:pPr>
        <w:rPr>
          <w:lang w:eastAsia="en-GB"/>
        </w:rPr>
      </w:pPr>
    </w:p>
    <w:p w14:paraId="716DCECA" w14:textId="4189695B" w:rsidR="00601332" w:rsidRDefault="00601332" w:rsidP="0041538B">
      <w:pPr>
        <w:jc w:val="both"/>
        <w:rPr>
          <w:rFonts w:eastAsia="Times New Roman"/>
          <w:lang w:eastAsia="en-GB"/>
        </w:rPr>
      </w:pPr>
      <w:r>
        <w:rPr>
          <w:rFonts w:eastAsia="Times New Roman"/>
          <w:lang w:eastAsia="en-GB"/>
        </w:rPr>
        <w:lastRenderedPageBreak/>
        <w:t xml:space="preserve">The mobility factor allocates funding to schools with a high </w:t>
      </w:r>
      <w:r w:rsidR="004E413E">
        <w:rPr>
          <w:rFonts w:eastAsia="Times New Roman"/>
          <w:lang w:eastAsia="en-GB"/>
        </w:rPr>
        <w:t>proportion</w:t>
      </w:r>
      <w:r>
        <w:rPr>
          <w:rFonts w:eastAsia="Times New Roman"/>
          <w:lang w:eastAsia="en-GB"/>
        </w:rPr>
        <w:t xml:space="preserve"> of pupils who first join on a non-standard date. </w:t>
      </w:r>
    </w:p>
    <w:p w14:paraId="19D70FA3" w14:textId="77777777" w:rsidR="00601332" w:rsidRDefault="00601332" w:rsidP="0041538B">
      <w:pPr>
        <w:jc w:val="both"/>
        <w:rPr>
          <w:rFonts w:eastAsia="Times New Roman"/>
          <w:lang w:eastAsia="en-GB"/>
        </w:rPr>
      </w:pPr>
    </w:p>
    <w:p w14:paraId="77D7B075" w14:textId="18857F52" w:rsidR="00601332" w:rsidRDefault="00601332" w:rsidP="0041538B">
      <w:pPr>
        <w:jc w:val="both"/>
        <w:rPr>
          <w:rFonts w:eastAsia="Times New Roman"/>
          <w:lang w:eastAsia="en-GB"/>
        </w:rPr>
      </w:pPr>
      <w:r>
        <w:rPr>
          <w:rFonts w:eastAsia="Times New Roman"/>
          <w:lang w:eastAsia="en-GB"/>
        </w:rPr>
        <w:t xml:space="preserve">The pupils eligible for funding through the NFF mobility factor are pupils whose school census record at their current school (or one of its predecessors) in the last three years indicates an entry date which is not typical. For year groups 1 to 11, ‘typical’ means that the first census on which a pupil is recorded as attending the school (or its predecessors) is the October census. So, ‘not typical’ means that the first census a pupil is recorded as attending the school is a January or May census. For the reception year, ‘typical’ means the first census is October or January. </w:t>
      </w:r>
    </w:p>
    <w:p w14:paraId="5640DFD5" w14:textId="77777777" w:rsidR="00167F7F" w:rsidRDefault="00167F7F" w:rsidP="0041538B">
      <w:pPr>
        <w:jc w:val="both"/>
        <w:rPr>
          <w:rFonts w:eastAsia="Times New Roman"/>
          <w:lang w:eastAsia="en-GB"/>
        </w:rPr>
      </w:pPr>
    </w:p>
    <w:p w14:paraId="7FD3F70D" w14:textId="7A9850C9" w:rsidR="00167F7F" w:rsidRDefault="00167F7F" w:rsidP="0041538B">
      <w:pPr>
        <w:jc w:val="both"/>
        <w:rPr>
          <w:rFonts w:eastAsia="Times New Roman"/>
          <w:lang w:eastAsia="en-GB"/>
        </w:rPr>
      </w:pPr>
      <w:r>
        <w:rPr>
          <w:rFonts w:eastAsia="Times New Roman"/>
          <w:lang w:eastAsia="en-GB"/>
        </w:rPr>
        <w:t xml:space="preserve">The school census record of an individual pupil is established by tracing the pupil’s unique reference number back through earlier termly censuses. To be eligible for mobility funding, the proportion of mobile pupils a school has must be above the threshold of 6%. </w:t>
      </w:r>
      <w:r w:rsidR="004E413E">
        <w:rPr>
          <w:rFonts w:eastAsia="Times New Roman"/>
          <w:lang w:eastAsia="en-GB"/>
        </w:rPr>
        <w:t xml:space="preserve">The number of eligible pupils is divided by the total number of pupils on roll in the October 2025 census to calculate a school level percentage. If the percentage is above 6%, the percentage over 6% (actual %-6%) is then applied to the October 2025 NOR. </w:t>
      </w:r>
    </w:p>
    <w:p w14:paraId="419C5683" w14:textId="77777777" w:rsidR="004E413E" w:rsidRDefault="004E413E" w:rsidP="0041538B">
      <w:pPr>
        <w:jc w:val="both"/>
        <w:rPr>
          <w:rFonts w:eastAsia="Times New Roman"/>
          <w:lang w:eastAsia="en-GB"/>
        </w:rPr>
      </w:pPr>
    </w:p>
    <w:p w14:paraId="4A0FE994" w14:textId="48073DD4" w:rsidR="004E413E" w:rsidRPr="009C12FA" w:rsidRDefault="00550220" w:rsidP="009C12FA">
      <w:pPr>
        <w:pStyle w:val="Heading2"/>
        <w:rPr>
          <w:rFonts w:eastAsia="Times New Roman"/>
          <w:b/>
          <w:bCs/>
          <w:lang w:eastAsia="en-GB"/>
        </w:rPr>
      </w:pPr>
      <w:bookmarkStart w:id="8" w:name="_Toc222494842"/>
      <w:r w:rsidRPr="009C12FA">
        <w:rPr>
          <w:rFonts w:eastAsia="Times New Roman"/>
          <w:b/>
          <w:bCs/>
          <w:lang w:eastAsia="en-GB"/>
        </w:rPr>
        <w:t>Lower Prior Attainment (LPA)</w:t>
      </w:r>
      <w:bookmarkEnd w:id="8"/>
    </w:p>
    <w:p w14:paraId="40BB39A1" w14:textId="77777777" w:rsidR="00550220" w:rsidRDefault="00550220" w:rsidP="0041538B">
      <w:pPr>
        <w:jc w:val="both"/>
        <w:rPr>
          <w:rFonts w:eastAsia="Times New Roman"/>
          <w:lang w:eastAsia="en-GB"/>
        </w:rPr>
      </w:pPr>
    </w:p>
    <w:p w14:paraId="6A2E9577" w14:textId="1DE97B96" w:rsidR="00550220" w:rsidRDefault="00123867" w:rsidP="0041538B">
      <w:pPr>
        <w:jc w:val="both"/>
        <w:rPr>
          <w:rFonts w:eastAsia="Times New Roman"/>
          <w:lang w:eastAsia="en-GB"/>
        </w:rPr>
      </w:pPr>
      <w:r>
        <w:rPr>
          <w:rFonts w:eastAsia="Times New Roman"/>
          <w:lang w:eastAsia="en-GB"/>
        </w:rPr>
        <w:t xml:space="preserve">This is a compulsory factor where </w:t>
      </w:r>
      <w:r w:rsidR="009626C6">
        <w:rPr>
          <w:rFonts w:eastAsia="Times New Roman"/>
          <w:lang w:eastAsia="en-GB"/>
        </w:rPr>
        <w:t>LAs</w:t>
      </w:r>
      <w:r>
        <w:rPr>
          <w:rFonts w:eastAsia="Times New Roman"/>
          <w:lang w:eastAsia="en-GB"/>
        </w:rPr>
        <w:t xml:space="preserve"> can apply this factor for:</w:t>
      </w:r>
    </w:p>
    <w:p w14:paraId="088E14A9" w14:textId="04792963" w:rsidR="00123867" w:rsidRDefault="00123867" w:rsidP="00123867">
      <w:pPr>
        <w:pStyle w:val="ListParagraph"/>
        <w:numPr>
          <w:ilvl w:val="0"/>
          <w:numId w:val="35"/>
        </w:numPr>
        <w:jc w:val="both"/>
        <w:rPr>
          <w:rFonts w:eastAsia="Times New Roman"/>
          <w:lang w:eastAsia="en-GB"/>
        </w:rPr>
      </w:pPr>
      <w:r>
        <w:rPr>
          <w:rFonts w:eastAsia="Times New Roman"/>
          <w:lang w:eastAsia="en-GB"/>
        </w:rPr>
        <w:t>Primary pupils identified as not achieving a good level of development in the early years foundation stage profile (EYFSP)</w:t>
      </w:r>
    </w:p>
    <w:p w14:paraId="17A6F90E" w14:textId="7056683E" w:rsidR="00123867" w:rsidRDefault="00123867" w:rsidP="00123867">
      <w:pPr>
        <w:pStyle w:val="ListParagraph"/>
        <w:numPr>
          <w:ilvl w:val="0"/>
          <w:numId w:val="35"/>
        </w:numPr>
        <w:jc w:val="both"/>
        <w:rPr>
          <w:rFonts w:eastAsia="Times New Roman"/>
          <w:lang w:eastAsia="en-GB"/>
        </w:rPr>
      </w:pPr>
      <w:r>
        <w:rPr>
          <w:rFonts w:eastAsia="Times New Roman"/>
          <w:lang w:eastAsia="en-GB"/>
        </w:rPr>
        <w:t xml:space="preserve">Secondary pupils not reaching the expected standard in key stage 2 at reading, writing or maths. </w:t>
      </w:r>
    </w:p>
    <w:p w14:paraId="556367DF" w14:textId="77777777" w:rsidR="00123867" w:rsidRDefault="00123867" w:rsidP="00123867">
      <w:pPr>
        <w:jc w:val="both"/>
        <w:rPr>
          <w:rFonts w:eastAsia="Times New Roman"/>
          <w:lang w:eastAsia="en-GB"/>
        </w:rPr>
      </w:pPr>
    </w:p>
    <w:p w14:paraId="766C1106" w14:textId="2372126A" w:rsidR="00123867" w:rsidRDefault="00123867" w:rsidP="00123867">
      <w:pPr>
        <w:jc w:val="both"/>
        <w:rPr>
          <w:rFonts w:eastAsia="Times New Roman"/>
          <w:lang w:eastAsia="en-GB"/>
        </w:rPr>
      </w:pPr>
      <w:r>
        <w:rPr>
          <w:rFonts w:eastAsia="Times New Roman"/>
          <w:lang w:eastAsia="en-GB"/>
        </w:rPr>
        <w:t xml:space="preserve">Since 2017/18, the DfE has weighted the LPA factor for secondary year groups so that year-on-year fluctuations in pass-rates do not disproportionately affect the distribution of funding through the LPA factor in the mainstream formula. </w:t>
      </w:r>
    </w:p>
    <w:p w14:paraId="2C7B98FF" w14:textId="77777777" w:rsidR="00123867" w:rsidRDefault="00123867" w:rsidP="00123867">
      <w:pPr>
        <w:jc w:val="both"/>
        <w:rPr>
          <w:rFonts w:eastAsia="Times New Roman"/>
          <w:lang w:eastAsia="en-GB"/>
        </w:rPr>
      </w:pPr>
    </w:p>
    <w:p w14:paraId="653B2802" w14:textId="0C1565C6" w:rsidR="00123867" w:rsidRDefault="00123867" w:rsidP="00123867">
      <w:pPr>
        <w:jc w:val="both"/>
        <w:rPr>
          <w:rFonts w:eastAsia="Times New Roman"/>
          <w:lang w:eastAsia="en-GB"/>
        </w:rPr>
      </w:pPr>
      <w:r>
        <w:rPr>
          <w:rFonts w:eastAsia="Times New Roman"/>
          <w:lang w:eastAsia="en-GB"/>
        </w:rPr>
        <w:t xml:space="preserve">In 2025/26, the DfE has carried forward the weightings it used in 2024/25 for the year 7 to year 10 cohorts, so they will apply to the year 8 to year 11 cohorts respectively. </w:t>
      </w:r>
    </w:p>
    <w:p w14:paraId="4F9AF2C2" w14:textId="77777777" w:rsidR="0026010A" w:rsidRDefault="0026010A" w:rsidP="00123867">
      <w:pPr>
        <w:jc w:val="both"/>
        <w:rPr>
          <w:rFonts w:eastAsia="Times New Roman"/>
          <w:lang w:eastAsia="en-GB"/>
        </w:rPr>
      </w:pPr>
    </w:p>
    <w:p w14:paraId="5D90943C" w14:textId="6A1E18C9" w:rsidR="0026010A" w:rsidRDefault="0026010A" w:rsidP="00123867">
      <w:pPr>
        <w:jc w:val="both"/>
        <w:rPr>
          <w:rFonts w:eastAsia="Times New Roman"/>
          <w:lang w:eastAsia="en-GB"/>
        </w:rPr>
      </w:pPr>
      <w:r>
        <w:rPr>
          <w:rFonts w:eastAsia="Times New Roman"/>
          <w:lang w:eastAsia="en-GB"/>
        </w:rPr>
        <w:t xml:space="preserve">For </w:t>
      </w:r>
      <w:r w:rsidR="00481131">
        <w:rPr>
          <w:rFonts w:eastAsia="Times New Roman"/>
          <w:lang w:eastAsia="en-GB"/>
        </w:rPr>
        <w:t>the financial year 2026 to 2027, the weightings are:</w:t>
      </w:r>
    </w:p>
    <w:p w14:paraId="2FF8B572" w14:textId="304E4DAC" w:rsidR="00481131" w:rsidRDefault="00481131" w:rsidP="00481131">
      <w:pPr>
        <w:pStyle w:val="ListParagraph"/>
        <w:numPr>
          <w:ilvl w:val="0"/>
          <w:numId w:val="36"/>
        </w:numPr>
        <w:jc w:val="both"/>
        <w:rPr>
          <w:rFonts w:eastAsia="Times New Roman"/>
          <w:lang w:eastAsia="en-GB"/>
        </w:rPr>
      </w:pPr>
      <w:r>
        <w:rPr>
          <w:rFonts w:eastAsia="Times New Roman"/>
          <w:lang w:eastAsia="en-GB"/>
        </w:rPr>
        <w:t>Pupils in year 7 in October 2025: 60%</w:t>
      </w:r>
    </w:p>
    <w:p w14:paraId="62602064" w14:textId="1626D74A" w:rsidR="00481131" w:rsidRDefault="00481131" w:rsidP="00481131">
      <w:pPr>
        <w:pStyle w:val="ListParagraph"/>
        <w:numPr>
          <w:ilvl w:val="0"/>
          <w:numId w:val="36"/>
        </w:numPr>
        <w:jc w:val="both"/>
        <w:rPr>
          <w:rFonts w:eastAsia="Times New Roman"/>
          <w:lang w:eastAsia="en-GB"/>
        </w:rPr>
      </w:pPr>
      <w:r>
        <w:rPr>
          <w:rFonts w:eastAsia="Times New Roman"/>
          <w:lang w:eastAsia="en-GB"/>
        </w:rPr>
        <w:t>Pupils in year 8 in October 2025: 58%</w:t>
      </w:r>
    </w:p>
    <w:p w14:paraId="79083D25" w14:textId="6AC76224" w:rsidR="00481131" w:rsidRDefault="00481131" w:rsidP="00481131">
      <w:pPr>
        <w:pStyle w:val="ListParagraph"/>
        <w:numPr>
          <w:ilvl w:val="0"/>
          <w:numId w:val="36"/>
        </w:numPr>
        <w:jc w:val="both"/>
        <w:rPr>
          <w:rFonts w:eastAsia="Times New Roman"/>
          <w:lang w:eastAsia="en-GB"/>
        </w:rPr>
      </w:pPr>
      <w:r>
        <w:rPr>
          <w:rFonts w:eastAsia="Times New Roman"/>
          <w:lang w:eastAsia="en-GB"/>
        </w:rPr>
        <w:t>Pupils in year 9 in October 2025: 56%</w:t>
      </w:r>
    </w:p>
    <w:p w14:paraId="4F465165" w14:textId="5744CCC7" w:rsidR="00481131" w:rsidRDefault="00481131" w:rsidP="00481131">
      <w:pPr>
        <w:pStyle w:val="ListParagraph"/>
        <w:numPr>
          <w:ilvl w:val="0"/>
          <w:numId w:val="36"/>
        </w:numPr>
        <w:jc w:val="both"/>
        <w:rPr>
          <w:rFonts w:eastAsia="Times New Roman"/>
          <w:lang w:eastAsia="en-GB"/>
        </w:rPr>
      </w:pPr>
      <w:r>
        <w:rPr>
          <w:rFonts w:eastAsia="Times New Roman"/>
          <w:lang w:eastAsia="en-GB"/>
        </w:rPr>
        <w:t>Pupils in years 10 and 11 in October 2025: 54%</w:t>
      </w:r>
    </w:p>
    <w:p w14:paraId="55EDCD2A" w14:textId="77777777" w:rsidR="00481131" w:rsidRDefault="00481131" w:rsidP="00481131">
      <w:pPr>
        <w:jc w:val="both"/>
        <w:rPr>
          <w:rFonts w:eastAsia="Times New Roman"/>
          <w:lang w:eastAsia="en-GB"/>
        </w:rPr>
      </w:pPr>
    </w:p>
    <w:p w14:paraId="031A0630" w14:textId="2C60A994" w:rsidR="0068515B" w:rsidRDefault="0068515B" w:rsidP="00481131">
      <w:pPr>
        <w:jc w:val="both"/>
        <w:rPr>
          <w:rFonts w:eastAsia="Times New Roman"/>
          <w:lang w:eastAsia="en-GB"/>
        </w:rPr>
      </w:pPr>
      <w:r>
        <w:rPr>
          <w:rFonts w:eastAsia="Times New Roman"/>
          <w:lang w:eastAsia="en-GB"/>
        </w:rPr>
        <w:t xml:space="preserve">The weightings will operate in the same way as in 2025 to 2026: the number of pupils identified as having LPA in the data will be multiplied by the relevant weighting to determine the number of pupils eligible for the factor for funding purposes. </w:t>
      </w:r>
    </w:p>
    <w:p w14:paraId="74CDD0C6" w14:textId="77777777" w:rsidR="0068515B" w:rsidRDefault="0068515B" w:rsidP="00481131">
      <w:pPr>
        <w:jc w:val="both"/>
        <w:rPr>
          <w:rFonts w:eastAsia="Times New Roman"/>
          <w:lang w:eastAsia="en-GB"/>
        </w:rPr>
      </w:pPr>
    </w:p>
    <w:p w14:paraId="0186A2FB" w14:textId="1EF0228C" w:rsidR="0068515B" w:rsidRDefault="0068515B" w:rsidP="00481131">
      <w:pPr>
        <w:jc w:val="both"/>
        <w:rPr>
          <w:rFonts w:eastAsia="Times New Roman"/>
          <w:lang w:eastAsia="en-GB"/>
        </w:rPr>
      </w:pPr>
      <w:r>
        <w:rPr>
          <w:rFonts w:eastAsia="Times New Roman"/>
          <w:lang w:eastAsia="en-GB"/>
        </w:rPr>
        <w:t xml:space="preserve">Following the cancellation or incompleteness of both EYFSP and key stage 2 assessments in summer 2020 and summer 2021 due to COVID-19, </w:t>
      </w:r>
      <w:r w:rsidR="003E631C">
        <w:rPr>
          <w:rFonts w:eastAsia="Times New Roman"/>
          <w:lang w:eastAsia="en-GB"/>
        </w:rPr>
        <w:t>LA’s will not be able to use assessment data from these years in the low prior attainment factor in their local funding formula. Instead, local authorities will use:</w:t>
      </w:r>
    </w:p>
    <w:p w14:paraId="679DBF1C" w14:textId="712A542F" w:rsidR="003E631C" w:rsidRDefault="003E631C" w:rsidP="003E631C">
      <w:pPr>
        <w:pStyle w:val="ListParagraph"/>
        <w:numPr>
          <w:ilvl w:val="0"/>
          <w:numId w:val="37"/>
        </w:numPr>
        <w:jc w:val="both"/>
        <w:rPr>
          <w:rFonts w:eastAsia="Times New Roman"/>
          <w:lang w:eastAsia="en-GB"/>
        </w:rPr>
      </w:pPr>
      <w:r>
        <w:rPr>
          <w:rFonts w:eastAsia="Times New Roman"/>
          <w:lang w:eastAsia="en-GB"/>
        </w:rPr>
        <w:t>2022 attainment data as a proxy for the missing assessments in 2021</w:t>
      </w:r>
    </w:p>
    <w:p w14:paraId="2FC5F99D" w14:textId="201C74D3" w:rsidR="003E631C" w:rsidRDefault="003E631C" w:rsidP="003E631C">
      <w:pPr>
        <w:pStyle w:val="ListParagraph"/>
        <w:numPr>
          <w:ilvl w:val="0"/>
          <w:numId w:val="37"/>
        </w:numPr>
        <w:jc w:val="both"/>
        <w:rPr>
          <w:rFonts w:eastAsia="Times New Roman"/>
          <w:lang w:eastAsia="en-GB"/>
        </w:rPr>
      </w:pPr>
      <w:r>
        <w:rPr>
          <w:rFonts w:eastAsia="Times New Roman"/>
          <w:lang w:eastAsia="en-GB"/>
        </w:rPr>
        <w:lastRenderedPageBreak/>
        <w:t xml:space="preserve">2019 attainment data from the 2025 to 2026 APT as a proxy for the missing assessments in 20220 for primary schools – based on the overall primary LPA proportion for the schools in question. </w:t>
      </w:r>
      <w:r w:rsidR="009C12FA">
        <w:rPr>
          <w:rFonts w:eastAsia="Times New Roman"/>
          <w:lang w:eastAsia="en-GB"/>
        </w:rPr>
        <w:t>(This is not relevant for secondary since the pupils who would have sat the missing key stage 2 assessments in 2020 have now left key stage 4)</w:t>
      </w:r>
    </w:p>
    <w:p w14:paraId="5654D37D" w14:textId="77777777" w:rsidR="009C12FA" w:rsidRDefault="009C12FA" w:rsidP="009C12FA">
      <w:pPr>
        <w:jc w:val="both"/>
        <w:rPr>
          <w:rFonts w:eastAsia="Times New Roman"/>
          <w:lang w:eastAsia="en-GB"/>
        </w:rPr>
      </w:pPr>
    </w:p>
    <w:p w14:paraId="43DBEA07" w14:textId="1761E161" w:rsidR="009C12FA" w:rsidRDefault="005A2676" w:rsidP="009C12FA">
      <w:pPr>
        <w:jc w:val="both"/>
        <w:rPr>
          <w:rFonts w:eastAsia="Times New Roman"/>
          <w:lang w:eastAsia="en-GB"/>
        </w:rPr>
      </w:pPr>
      <w:r>
        <w:rPr>
          <w:rFonts w:eastAsia="Times New Roman"/>
          <w:lang w:eastAsia="en-GB"/>
        </w:rPr>
        <w:t>This will be reflected in the APT for both primary and secondary.</w:t>
      </w:r>
    </w:p>
    <w:p w14:paraId="1B1D7947" w14:textId="77777777" w:rsidR="00530424" w:rsidRDefault="00530424" w:rsidP="009C12FA">
      <w:pPr>
        <w:jc w:val="both"/>
        <w:rPr>
          <w:rFonts w:eastAsia="Times New Roman"/>
          <w:lang w:eastAsia="en-GB"/>
        </w:rPr>
      </w:pPr>
    </w:p>
    <w:p w14:paraId="6A560E78" w14:textId="47E74508" w:rsidR="00530424" w:rsidRDefault="00530424" w:rsidP="009C12FA">
      <w:pPr>
        <w:jc w:val="both"/>
        <w:rPr>
          <w:rFonts w:eastAsia="Times New Roman"/>
          <w:lang w:eastAsia="en-GB"/>
        </w:rPr>
      </w:pPr>
      <w:r>
        <w:rPr>
          <w:rFonts w:eastAsia="Times New Roman"/>
          <w:lang w:eastAsia="en-GB"/>
        </w:rPr>
        <w:t xml:space="preserve">For schools that do not have a cohort which sat the assessments in 2022, local authorities will use the schools’ LPA proportions for the 2025 to 2026 APT as a proxy for the missing assessments in 2021. For secondary, this will be based on the cohort that would have sat the assessments in 2021. For primary, it will be based on the overall primary LPA proportion for the schools in question. </w:t>
      </w:r>
    </w:p>
    <w:p w14:paraId="30DCD43F" w14:textId="77777777" w:rsidR="00530424" w:rsidRDefault="00530424" w:rsidP="009C12FA">
      <w:pPr>
        <w:jc w:val="both"/>
        <w:rPr>
          <w:rFonts w:eastAsia="Times New Roman"/>
          <w:lang w:eastAsia="en-GB"/>
        </w:rPr>
      </w:pPr>
    </w:p>
    <w:p w14:paraId="33D06906" w14:textId="3DCD0DBA" w:rsidR="00530424" w:rsidRDefault="00356500" w:rsidP="009C12FA">
      <w:pPr>
        <w:jc w:val="both"/>
        <w:rPr>
          <w:rFonts w:eastAsia="Times New Roman"/>
          <w:lang w:eastAsia="en-GB"/>
        </w:rPr>
      </w:pPr>
      <w:r>
        <w:rPr>
          <w:rFonts w:eastAsia="Times New Roman"/>
          <w:lang w:eastAsia="en-GB"/>
        </w:rPr>
        <w:t xml:space="preserve">LA funding is allocated to all pupils identified as not reaching the expected standard at the previous phase, regardless of their year group. Pupils who have not undertaken the assessment are given the overall average attainment score of their year group, so are taken into account when calculating a school’s LPA rate. For primary LPA, the ratio of eligible pupils is calculated from pupils in years 1 to 6. This ratio is then applied to all pupils in years reception to year 6. This ensures that reception pupils also attract LPA funding. For primary schools which only have reception pupils, the local authority </w:t>
      </w:r>
      <w:r w:rsidR="001102CC">
        <w:rPr>
          <w:rFonts w:eastAsia="Times New Roman"/>
          <w:lang w:eastAsia="en-GB"/>
        </w:rPr>
        <w:t xml:space="preserve">average ratio will be used. </w:t>
      </w:r>
    </w:p>
    <w:p w14:paraId="09B05A3E" w14:textId="77777777" w:rsidR="003D2D57" w:rsidRDefault="003D2D57" w:rsidP="009C12FA">
      <w:pPr>
        <w:jc w:val="both"/>
        <w:rPr>
          <w:rFonts w:eastAsia="Times New Roman"/>
          <w:lang w:eastAsia="en-GB"/>
        </w:rPr>
      </w:pPr>
    </w:p>
    <w:p w14:paraId="317BD551" w14:textId="4E010B8D" w:rsidR="003D2D57" w:rsidRPr="009B16E9" w:rsidRDefault="009B16E9" w:rsidP="009B16E9">
      <w:pPr>
        <w:pStyle w:val="Heading2"/>
        <w:rPr>
          <w:rFonts w:eastAsia="Times New Roman"/>
          <w:b/>
          <w:bCs/>
          <w:lang w:eastAsia="en-GB"/>
        </w:rPr>
      </w:pPr>
      <w:bookmarkStart w:id="9" w:name="_Toc222494843"/>
      <w:bookmarkEnd w:id="0"/>
      <w:r w:rsidRPr="009B16E9">
        <w:rPr>
          <w:rFonts w:eastAsia="Times New Roman"/>
          <w:b/>
          <w:bCs/>
          <w:lang w:eastAsia="en-GB"/>
        </w:rPr>
        <w:t>Lump Sum</w:t>
      </w:r>
      <w:bookmarkEnd w:id="9"/>
    </w:p>
    <w:p w14:paraId="3A270EA8" w14:textId="77777777" w:rsidR="009B16E9" w:rsidRDefault="009B16E9" w:rsidP="009C12FA">
      <w:pPr>
        <w:jc w:val="both"/>
        <w:rPr>
          <w:rFonts w:eastAsia="Times New Roman"/>
          <w:lang w:eastAsia="en-GB"/>
        </w:rPr>
      </w:pPr>
    </w:p>
    <w:p w14:paraId="0E8615CE" w14:textId="0503D4E4" w:rsidR="009B16E9" w:rsidRDefault="00744297" w:rsidP="009C12FA">
      <w:pPr>
        <w:jc w:val="both"/>
        <w:rPr>
          <w:rFonts w:eastAsia="Times New Roman"/>
          <w:lang w:eastAsia="en-GB"/>
        </w:rPr>
      </w:pPr>
      <w:r>
        <w:rPr>
          <w:rFonts w:eastAsia="Times New Roman"/>
          <w:lang w:eastAsia="en-GB"/>
        </w:rPr>
        <w:t xml:space="preserve">A fixed sum of </w:t>
      </w:r>
      <w:r w:rsidR="00C40D19">
        <w:rPr>
          <w:rFonts w:eastAsia="Times New Roman"/>
          <w:lang w:eastAsia="en-GB"/>
        </w:rPr>
        <w:t xml:space="preserve">£149,406.57 </w:t>
      </w:r>
      <w:r>
        <w:rPr>
          <w:rFonts w:eastAsia="Times New Roman"/>
          <w:lang w:eastAsia="en-GB"/>
        </w:rPr>
        <w:t>is allocated to all mainstream schools.</w:t>
      </w:r>
    </w:p>
    <w:p w14:paraId="38C16DB5" w14:textId="77777777" w:rsidR="00744297" w:rsidRDefault="00744297" w:rsidP="009C12FA">
      <w:pPr>
        <w:jc w:val="both"/>
        <w:rPr>
          <w:rFonts w:eastAsia="Times New Roman"/>
          <w:lang w:eastAsia="en-GB"/>
        </w:rPr>
      </w:pPr>
    </w:p>
    <w:p w14:paraId="1766E95C" w14:textId="1D926F49" w:rsidR="00744297" w:rsidRDefault="00744297" w:rsidP="009C12FA">
      <w:pPr>
        <w:jc w:val="both"/>
        <w:rPr>
          <w:rFonts w:eastAsia="Times New Roman"/>
          <w:lang w:eastAsia="en-GB"/>
        </w:rPr>
      </w:pPr>
      <w:r>
        <w:rPr>
          <w:rFonts w:eastAsia="Times New Roman"/>
          <w:lang w:eastAsia="en-GB"/>
        </w:rPr>
        <w:t xml:space="preserve">Where schools have amalgamated during the financial year 2025/26, they will retain 70% of the second lump sum for the financial year 2026/27. </w:t>
      </w:r>
    </w:p>
    <w:p w14:paraId="1E70B210" w14:textId="77777777" w:rsidR="00744297" w:rsidRDefault="00744297" w:rsidP="009C12FA">
      <w:pPr>
        <w:jc w:val="both"/>
        <w:rPr>
          <w:rFonts w:eastAsia="Times New Roman"/>
          <w:lang w:eastAsia="en-GB"/>
        </w:rPr>
      </w:pPr>
    </w:p>
    <w:p w14:paraId="1893D880" w14:textId="55695223" w:rsidR="00744297" w:rsidRDefault="00744297" w:rsidP="009C12FA">
      <w:pPr>
        <w:jc w:val="both"/>
        <w:rPr>
          <w:rFonts w:eastAsia="Times New Roman"/>
          <w:lang w:eastAsia="en-GB"/>
        </w:rPr>
      </w:pPr>
      <w:r>
        <w:rPr>
          <w:rFonts w:eastAsia="Times New Roman"/>
          <w:lang w:eastAsia="en-GB"/>
        </w:rPr>
        <w:t>Where schools amalgamate after 1 April 2026, the new school will receive funding equivalent to the formula funding of the closing schools added together for the appropriate proportion of the year. This means that they will receive the combined lump sums for the remainder of the year and 70% of the second lump sum in the following year, as outlined above.</w:t>
      </w:r>
    </w:p>
    <w:p w14:paraId="232F08D7" w14:textId="77777777" w:rsidR="00744297" w:rsidRDefault="00744297" w:rsidP="009C12FA">
      <w:pPr>
        <w:jc w:val="both"/>
        <w:rPr>
          <w:rFonts w:eastAsia="Times New Roman"/>
          <w:lang w:eastAsia="en-GB"/>
        </w:rPr>
      </w:pPr>
    </w:p>
    <w:p w14:paraId="7A815AE1" w14:textId="54B5C041" w:rsidR="00744297" w:rsidRDefault="00744297" w:rsidP="009C12FA">
      <w:pPr>
        <w:jc w:val="both"/>
        <w:rPr>
          <w:rFonts w:eastAsia="Times New Roman"/>
          <w:lang w:eastAsia="en-GB"/>
        </w:rPr>
      </w:pPr>
      <w:r>
        <w:rPr>
          <w:rFonts w:eastAsia="Times New Roman"/>
          <w:lang w:eastAsia="en-GB"/>
        </w:rPr>
        <w:t xml:space="preserve">The definition of an “amalgamated school” has been extended and now included a school which has extended its age range as a direct consequence of another school closing (e.g., an infant school closes and the junior school extends to become a primary school). </w:t>
      </w:r>
    </w:p>
    <w:p w14:paraId="3F2AE390" w14:textId="77777777" w:rsidR="00744297" w:rsidRDefault="00744297" w:rsidP="009C12FA">
      <w:pPr>
        <w:jc w:val="both"/>
        <w:rPr>
          <w:rFonts w:eastAsia="Times New Roman"/>
          <w:lang w:eastAsia="en-GB"/>
        </w:rPr>
      </w:pPr>
    </w:p>
    <w:p w14:paraId="301DD282" w14:textId="7906B1AE" w:rsidR="00744297" w:rsidRPr="002723FF" w:rsidRDefault="00052C26" w:rsidP="002723FF">
      <w:pPr>
        <w:pStyle w:val="Heading2"/>
        <w:rPr>
          <w:rFonts w:eastAsia="Times New Roman"/>
          <w:b/>
          <w:bCs/>
          <w:lang w:eastAsia="en-GB"/>
        </w:rPr>
      </w:pPr>
      <w:bookmarkStart w:id="10" w:name="_Toc222494844"/>
      <w:r w:rsidRPr="002723FF">
        <w:rPr>
          <w:rFonts w:eastAsia="Times New Roman"/>
          <w:b/>
          <w:bCs/>
          <w:lang w:eastAsia="en-GB"/>
        </w:rPr>
        <w:t>Sparsity</w:t>
      </w:r>
      <w:bookmarkEnd w:id="10"/>
    </w:p>
    <w:p w14:paraId="49FD8077" w14:textId="77777777" w:rsidR="00052C26" w:rsidRDefault="00052C26" w:rsidP="009C12FA">
      <w:pPr>
        <w:jc w:val="both"/>
        <w:rPr>
          <w:rFonts w:eastAsia="Times New Roman"/>
          <w:lang w:eastAsia="en-GB"/>
        </w:rPr>
      </w:pPr>
    </w:p>
    <w:p w14:paraId="43D52A68" w14:textId="7EA9B81E" w:rsidR="00052C26" w:rsidRDefault="00052C26" w:rsidP="009C12FA">
      <w:pPr>
        <w:jc w:val="both"/>
        <w:rPr>
          <w:rFonts w:eastAsia="Times New Roman"/>
          <w:lang w:eastAsia="en-GB"/>
        </w:rPr>
      </w:pPr>
      <w:r>
        <w:rPr>
          <w:rFonts w:eastAsia="Times New Roman"/>
          <w:lang w:eastAsia="en-GB"/>
        </w:rPr>
        <w:t xml:space="preserve">The sparsity factor allocates funding to schools that are remote, measured by sparsity distances, and are small, based on average year group size. </w:t>
      </w:r>
    </w:p>
    <w:p w14:paraId="1208EAA4" w14:textId="77777777" w:rsidR="00052C26" w:rsidRDefault="00052C26" w:rsidP="009C12FA">
      <w:pPr>
        <w:jc w:val="both"/>
        <w:rPr>
          <w:rFonts w:eastAsia="Times New Roman"/>
          <w:lang w:eastAsia="en-GB"/>
        </w:rPr>
      </w:pPr>
    </w:p>
    <w:p w14:paraId="53F98EDA" w14:textId="7F464120" w:rsidR="00052C26" w:rsidRDefault="00052C26" w:rsidP="009C12FA">
      <w:pPr>
        <w:jc w:val="both"/>
        <w:rPr>
          <w:rFonts w:eastAsia="Times New Roman"/>
          <w:lang w:eastAsia="en-GB"/>
        </w:rPr>
      </w:pPr>
      <w:r>
        <w:rPr>
          <w:rFonts w:eastAsia="Times New Roman"/>
          <w:lang w:eastAsia="en-GB"/>
        </w:rPr>
        <w:t xml:space="preserve">The DfE measures sparsity distances using road distances. To calculate a school’s sparsity distance, the department takes all the pupils for whom it is the nearest compatible school and finds the average shortest road distance from these pupils’ home postcodes to their second near compatible school. </w:t>
      </w:r>
    </w:p>
    <w:p w14:paraId="5DF45551" w14:textId="77777777" w:rsidR="00052C26" w:rsidRDefault="00052C26" w:rsidP="009C12FA">
      <w:pPr>
        <w:jc w:val="both"/>
        <w:rPr>
          <w:rFonts w:eastAsia="Times New Roman"/>
          <w:lang w:eastAsia="en-GB"/>
        </w:rPr>
      </w:pPr>
    </w:p>
    <w:p w14:paraId="3FD71442" w14:textId="7239E4AA" w:rsidR="00052C26" w:rsidRDefault="00052C26" w:rsidP="009C12FA">
      <w:pPr>
        <w:jc w:val="both"/>
        <w:rPr>
          <w:rFonts w:eastAsia="Times New Roman"/>
          <w:lang w:eastAsia="en-GB"/>
        </w:rPr>
      </w:pPr>
      <w:r>
        <w:rPr>
          <w:rFonts w:eastAsia="Times New Roman"/>
          <w:lang w:eastAsia="en-GB"/>
        </w:rPr>
        <w:t>A school is eligible for sparsity funding in the NFF if:</w:t>
      </w:r>
    </w:p>
    <w:p w14:paraId="32D916EE" w14:textId="27D8458A" w:rsidR="00052C26" w:rsidRDefault="00A9297F" w:rsidP="00A9297F">
      <w:pPr>
        <w:pStyle w:val="ListParagraph"/>
        <w:numPr>
          <w:ilvl w:val="0"/>
          <w:numId w:val="38"/>
        </w:numPr>
        <w:jc w:val="both"/>
        <w:rPr>
          <w:rFonts w:eastAsia="Times New Roman"/>
          <w:lang w:eastAsia="en-GB"/>
        </w:rPr>
      </w:pPr>
      <w:r>
        <w:rPr>
          <w:rFonts w:eastAsia="Times New Roman"/>
          <w:lang w:eastAsia="en-GB"/>
        </w:rPr>
        <w:t>Its sparsity distance is equal to or above the main distance threshold, or above the tapered distance threshold</w:t>
      </w:r>
    </w:p>
    <w:p w14:paraId="32CF2E8B" w14:textId="0804CC9F" w:rsidR="001F0359" w:rsidRDefault="00A9297F" w:rsidP="00803BAE">
      <w:pPr>
        <w:pStyle w:val="ListParagraph"/>
        <w:numPr>
          <w:ilvl w:val="0"/>
          <w:numId w:val="38"/>
        </w:numPr>
        <w:jc w:val="both"/>
        <w:rPr>
          <w:rFonts w:eastAsia="Times New Roman"/>
          <w:lang w:eastAsia="en-GB"/>
        </w:rPr>
      </w:pPr>
      <w:r>
        <w:rPr>
          <w:rFonts w:eastAsia="Times New Roman"/>
          <w:lang w:eastAsia="en-GB"/>
        </w:rPr>
        <w:t xml:space="preserve">The average year group size (calculated as the APT-adjusted pupil count divided by </w:t>
      </w:r>
      <w:r w:rsidR="002723FF">
        <w:rPr>
          <w:rFonts w:eastAsia="Times New Roman"/>
          <w:lang w:eastAsia="en-GB"/>
        </w:rPr>
        <w:t xml:space="preserve">the number of year groups present at the school) is below the relevant size threshold. </w:t>
      </w:r>
    </w:p>
    <w:p w14:paraId="6C6F1C38" w14:textId="77777777" w:rsidR="00803BAE" w:rsidRDefault="00803BAE" w:rsidP="00803BAE">
      <w:pPr>
        <w:jc w:val="both"/>
        <w:rPr>
          <w:rFonts w:eastAsia="Times New Roman"/>
          <w:lang w:eastAsia="en-GB"/>
        </w:rPr>
      </w:pPr>
    </w:p>
    <w:p w14:paraId="577ED675" w14:textId="5FA42466" w:rsidR="00803BAE" w:rsidRPr="00977648" w:rsidRDefault="00803BAE" w:rsidP="00977648">
      <w:pPr>
        <w:pStyle w:val="Heading2"/>
        <w:rPr>
          <w:rFonts w:eastAsia="Times New Roman"/>
          <w:b/>
          <w:bCs/>
          <w:lang w:eastAsia="en-GB"/>
        </w:rPr>
      </w:pPr>
      <w:bookmarkStart w:id="11" w:name="_Toc222494845"/>
      <w:r w:rsidRPr="00977648">
        <w:rPr>
          <w:rFonts w:eastAsia="Times New Roman"/>
          <w:b/>
          <w:bCs/>
          <w:lang w:eastAsia="en-GB"/>
        </w:rPr>
        <w:t>Fringe Payments</w:t>
      </w:r>
      <w:bookmarkEnd w:id="11"/>
    </w:p>
    <w:p w14:paraId="470F7C86" w14:textId="77777777" w:rsidR="00803BAE" w:rsidRDefault="00803BAE" w:rsidP="00803BAE">
      <w:pPr>
        <w:jc w:val="both"/>
        <w:rPr>
          <w:rFonts w:eastAsia="Times New Roman"/>
          <w:lang w:eastAsia="en-GB"/>
        </w:rPr>
      </w:pPr>
    </w:p>
    <w:p w14:paraId="253E0FA2" w14:textId="34A90438" w:rsidR="00977648" w:rsidRDefault="00977648" w:rsidP="00803BAE">
      <w:pPr>
        <w:jc w:val="both"/>
        <w:rPr>
          <w:rFonts w:eastAsia="Times New Roman"/>
          <w:lang w:eastAsia="en-GB"/>
        </w:rPr>
      </w:pPr>
      <w:r>
        <w:rPr>
          <w:rFonts w:eastAsia="Times New Roman"/>
          <w:lang w:eastAsia="en-GB"/>
        </w:rPr>
        <w:t xml:space="preserve">The purpose of this factor is to support schools that have higher costs because they are in the London fringe area, and where only part of the LA is in this area. This factor does not apply to BCC schools. </w:t>
      </w:r>
    </w:p>
    <w:p w14:paraId="31F2F16D" w14:textId="77777777" w:rsidR="00977648" w:rsidRDefault="00977648" w:rsidP="00803BAE">
      <w:pPr>
        <w:jc w:val="both"/>
        <w:rPr>
          <w:rFonts w:eastAsia="Times New Roman"/>
          <w:lang w:eastAsia="en-GB"/>
        </w:rPr>
      </w:pPr>
    </w:p>
    <w:p w14:paraId="29220B9B" w14:textId="705D5B13" w:rsidR="00977648" w:rsidRPr="009869E6" w:rsidRDefault="009869E6" w:rsidP="009869E6">
      <w:pPr>
        <w:pStyle w:val="Heading2"/>
        <w:rPr>
          <w:rFonts w:eastAsia="Times New Roman"/>
          <w:b/>
          <w:bCs/>
          <w:lang w:eastAsia="en-GB"/>
        </w:rPr>
      </w:pPr>
      <w:bookmarkStart w:id="12" w:name="_Toc222494846"/>
      <w:r w:rsidRPr="009869E6">
        <w:rPr>
          <w:rFonts w:eastAsia="Times New Roman"/>
          <w:b/>
          <w:bCs/>
          <w:lang w:eastAsia="en-GB"/>
        </w:rPr>
        <w:t>Split Sites</w:t>
      </w:r>
      <w:bookmarkEnd w:id="12"/>
    </w:p>
    <w:p w14:paraId="53C38E25" w14:textId="77777777" w:rsidR="009869E6" w:rsidRDefault="009869E6" w:rsidP="00803BAE">
      <w:pPr>
        <w:jc w:val="both"/>
        <w:rPr>
          <w:rFonts w:eastAsia="Times New Roman"/>
          <w:lang w:eastAsia="en-GB"/>
        </w:rPr>
      </w:pPr>
    </w:p>
    <w:p w14:paraId="4335DE8B" w14:textId="7598D50A" w:rsidR="009869E6" w:rsidRDefault="009869E6" w:rsidP="00803BAE">
      <w:pPr>
        <w:jc w:val="both"/>
        <w:rPr>
          <w:rFonts w:eastAsia="Times New Roman"/>
          <w:lang w:eastAsia="en-GB"/>
        </w:rPr>
      </w:pPr>
      <w:r>
        <w:rPr>
          <w:rFonts w:eastAsia="Times New Roman"/>
          <w:lang w:eastAsia="en-GB"/>
        </w:rPr>
        <w:t xml:space="preserve">The split site factor is compulsory for all local authorities, ensuring that split sites funding will be allocated consistent and fairly across the country. </w:t>
      </w:r>
    </w:p>
    <w:p w14:paraId="2888E626" w14:textId="77777777" w:rsidR="009869E6" w:rsidRDefault="009869E6" w:rsidP="00803BAE">
      <w:pPr>
        <w:jc w:val="both"/>
        <w:rPr>
          <w:rFonts w:eastAsia="Times New Roman"/>
          <w:lang w:eastAsia="en-GB"/>
        </w:rPr>
      </w:pPr>
    </w:p>
    <w:p w14:paraId="19AB6F23" w14:textId="3EC5DFF9" w:rsidR="009869E6" w:rsidRDefault="009869E6" w:rsidP="00803BAE">
      <w:pPr>
        <w:jc w:val="both"/>
        <w:rPr>
          <w:rFonts w:eastAsia="Times New Roman"/>
          <w:lang w:eastAsia="en-GB"/>
        </w:rPr>
      </w:pPr>
      <w:r>
        <w:rPr>
          <w:rFonts w:eastAsia="Times New Roman"/>
          <w:lang w:eastAsia="en-GB"/>
        </w:rPr>
        <w:t>The factor is made up of 2 parts, both of which are compulsory:</w:t>
      </w:r>
    </w:p>
    <w:p w14:paraId="2D4D7CA3" w14:textId="35A6E509" w:rsidR="009869E6" w:rsidRDefault="009F6882" w:rsidP="009F6882">
      <w:pPr>
        <w:pStyle w:val="ListParagraph"/>
        <w:numPr>
          <w:ilvl w:val="0"/>
          <w:numId w:val="39"/>
        </w:numPr>
        <w:jc w:val="both"/>
        <w:rPr>
          <w:rFonts w:eastAsia="Times New Roman"/>
          <w:lang w:eastAsia="en-GB"/>
        </w:rPr>
      </w:pPr>
      <w:r>
        <w:rPr>
          <w:rFonts w:eastAsia="Times New Roman"/>
          <w:lang w:eastAsia="en-GB"/>
        </w:rPr>
        <w:t>Basic eligibility funding: schools must be allocated a lump sum payment for each of their additional eligible sites (up to a maximum of 3)</w:t>
      </w:r>
    </w:p>
    <w:p w14:paraId="3D8A3079" w14:textId="539C20DE" w:rsidR="009F6882" w:rsidRDefault="009F6882" w:rsidP="009F6882">
      <w:pPr>
        <w:pStyle w:val="ListParagraph"/>
        <w:numPr>
          <w:ilvl w:val="0"/>
          <w:numId w:val="39"/>
        </w:numPr>
        <w:jc w:val="both"/>
        <w:rPr>
          <w:rFonts w:eastAsia="Times New Roman"/>
          <w:lang w:eastAsia="en-GB"/>
        </w:rPr>
      </w:pPr>
      <w:r>
        <w:rPr>
          <w:rFonts w:eastAsia="Times New Roman"/>
          <w:lang w:eastAsia="en-GB"/>
        </w:rPr>
        <w:t>Distance funding: additional funding must be paid out on top of the basic eligibility lump sum for schools whose eligible sites are separated by more than 100 metres (by road distance) from the main site</w:t>
      </w:r>
    </w:p>
    <w:p w14:paraId="1FC84DB6" w14:textId="77777777" w:rsidR="009F6882" w:rsidRDefault="009F6882" w:rsidP="009F6882">
      <w:pPr>
        <w:jc w:val="both"/>
        <w:rPr>
          <w:rFonts w:eastAsia="Times New Roman"/>
          <w:lang w:eastAsia="en-GB"/>
        </w:rPr>
      </w:pPr>
    </w:p>
    <w:p w14:paraId="4EC461E7" w14:textId="2B267AF9" w:rsidR="009F6882" w:rsidRDefault="009F6882" w:rsidP="009F6882">
      <w:pPr>
        <w:jc w:val="both"/>
        <w:rPr>
          <w:rFonts w:eastAsia="Times New Roman"/>
          <w:lang w:eastAsia="en-GB"/>
        </w:rPr>
      </w:pPr>
      <w:r>
        <w:rPr>
          <w:rFonts w:eastAsia="Times New Roman"/>
          <w:lang w:eastAsia="en-GB"/>
        </w:rPr>
        <w:t>The basic eligibility criteria for split sites funding requires additional sites to:</w:t>
      </w:r>
    </w:p>
    <w:p w14:paraId="3A85476F" w14:textId="278CDCFD" w:rsidR="009F6882" w:rsidRDefault="00FF273B" w:rsidP="00FF273B">
      <w:pPr>
        <w:pStyle w:val="ListParagraph"/>
        <w:numPr>
          <w:ilvl w:val="0"/>
          <w:numId w:val="41"/>
        </w:numPr>
        <w:jc w:val="both"/>
        <w:rPr>
          <w:rFonts w:eastAsia="Times New Roman"/>
          <w:lang w:eastAsia="en-GB"/>
        </w:rPr>
      </w:pPr>
      <w:r>
        <w:rPr>
          <w:rFonts w:eastAsia="Times New Roman"/>
          <w:lang w:eastAsia="en-GB"/>
        </w:rPr>
        <w:t>Be separated from the school’s main site by a public road or railway</w:t>
      </w:r>
    </w:p>
    <w:p w14:paraId="31E254D8" w14:textId="1AEB0427" w:rsidR="00FF273B" w:rsidRDefault="00FF273B" w:rsidP="00FF273B">
      <w:pPr>
        <w:pStyle w:val="ListParagraph"/>
        <w:numPr>
          <w:ilvl w:val="0"/>
          <w:numId w:val="41"/>
        </w:numPr>
        <w:jc w:val="both"/>
        <w:rPr>
          <w:rFonts w:eastAsia="Times New Roman"/>
          <w:lang w:eastAsia="en-GB"/>
        </w:rPr>
      </w:pPr>
      <w:r>
        <w:rPr>
          <w:rFonts w:eastAsia="Times New Roman"/>
          <w:lang w:eastAsia="en-GB"/>
        </w:rPr>
        <w:t>Have a building on them which is maintained by the school, and which is used for the education of 5 to 16-year-old pupils in mainstream education more than 50% of the time. This excluded playing fields, ancillary buildings and buildings leased out full time by the school to another entity</w:t>
      </w:r>
    </w:p>
    <w:p w14:paraId="561FFF05" w14:textId="77777777" w:rsidR="00FF273B" w:rsidRDefault="00FF273B" w:rsidP="00FF273B">
      <w:pPr>
        <w:jc w:val="both"/>
        <w:rPr>
          <w:rFonts w:eastAsia="Times New Roman"/>
          <w:lang w:eastAsia="en-GB"/>
        </w:rPr>
      </w:pPr>
    </w:p>
    <w:p w14:paraId="145CE967" w14:textId="7FF4AAF8" w:rsidR="003F6A81" w:rsidRDefault="003F6A81" w:rsidP="00FF273B">
      <w:pPr>
        <w:jc w:val="both"/>
        <w:rPr>
          <w:rFonts w:eastAsia="Times New Roman"/>
          <w:lang w:eastAsia="en-GB"/>
        </w:rPr>
      </w:pPr>
      <w:r>
        <w:rPr>
          <w:rFonts w:eastAsia="Times New Roman"/>
          <w:lang w:eastAsia="en-GB"/>
        </w:rPr>
        <w:t xml:space="preserve">Further details on the eligibility criteria are set out in the </w:t>
      </w:r>
      <w:hyperlink r:id="rId13" w:anchor="annex-5" w:history="1">
        <w:r w:rsidR="00E16F13" w:rsidRPr="00E16F13">
          <w:rPr>
            <w:rStyle w:val="Hyperlink"/>
            <w:rFonts w:eastAsia="Times New Roman"/>
            <w:lang w:eastAsia="en-GB"/>
          </w:rPr>
          <w:t>annex 5: split site eligibility criteria</w:t>
        </w:r>
      </w:hyperlink>
      <w:r w:rsidR="00E16F13">
        <w:rPr>
          <w:rFonts w:eastAsia="Times New Roman"/>
          <w:lang w:eastAsia="en-GB"/>
        </w:rPr>
        <w:t xml:space="preserve">. </w:t>
      </w:r>
    </w:p>
    <w:p w14:paraId="42DA480E" w14:textId="77777777" w:rsidR="00E16F13" w:rsidRDefault="00E16F13" w:rsidP="00FF273B">
      <w:pPr>
        <w:jc w:val="both"/>
        <w:rPr>
          <w:rFonts w:eastAsia="Times New Roman"/>
          <w:lang w:eastAsia="en-GB"/>
        </w:rPr>
      </w:pPr>
    </w:p>
    <w:p w14:paraId="05AFD548" w14:textId="35641C72" w:rsidR="00E16F13" w:rsidRDefault="00265B31" w:rsidP="00FF273B">
      <w:pPr>
        <w:jc w:val="both"/>
        <w:rPr>
          <w:rFonts w:eastAsia="Times New Roman"/>
          <w:lang w:eastAsia="en-GB"/>
        </w:rPr>
      </w:pPr>
      <w:r>
        <w:rPr>
          <w:rFonts w:eastAsia="Times New Roman"/>
          <w:lang w:eastAsia="en-GB"/>
        </w:rPr>
        <w:t xml:space="preserve">Funding for the distance element should be allocated through a tapered approach, beginning at 100 metres, with allocations increasing linearly up to 500 metres, from which point schools should receive the total maximum funding allowed. </w:t>
      </w:r>
    </w:p>
    <w:p w14:paraId="66ED806D" w14:textId="77777777" w:rsidR="00267485" w:rsidRDefault="00267485" w:rsidP="00FF273B">
      <w:pPr>
        <w:jc w:val="both"/>
        <w:rPr>
          <w:rFonts w:eastAsia="Times New Roman"/>
          <w:lang w:eastAsia="en-GB"/>
        </w:rPr>
      </w:pPr>
    </w:p>
    <w:p w14:paraId="7277442D" w14:textId="7DA0C09B" w:rsidR="00267485" w:rsidRDefault="00267485" w:rsidP="00FF273B">
      <w:pPr>
        <w:jc w:val="both"/>
        <w:rPr>
          <w:rFonts w:eastAsia="Times New Roman"/>
          <w:lang w:eastAsia="en-GB"/>
        </w:rPr>
      </w:pPr>
      <w:r>
        <w:rPr>
          <w:rFonts w:eastAsia="Times New Roman"/>
          <w:lang w:eastAsia="en-GB"/>
        </w:rPr>
        <w:t xml:space="preserve">The NFF lump sum for basic eligibility for BCC schools is </w:t>
      </w:r>
      <w:r w:rsidR="000C64F1">
        <w:rPr>
          <w:rFonts w:eastAsia="Times New Roman"/>
          <w:lang w:eastAsia="en-GB"/>
        </w:rPr>
        <w:t>£53,911.60 and the NFF maximum distance funding is £27,004</w:t>
      </w:r>
      <w:r w:rsidR="00E36CE6">
        <w:rPr>
          <w:rFonts w:eastAsia="Times New Roman"/>
          <w:lang w:eastAsia="en-GB"/>
        </w:rPr>
        <w:t xml:space="preserve">.72. </w:t>
      </w:r>
    </w:p>
    <w:p w14:paraId="6A7FF274" w14:textId="77777777" w:rsidR="00E36CE6" w:rsidRDefault="00E36CE6" w:rsidP="00FF273B">
      <w:pPr>
        <w:jc w:val="both"/>
        <w:rPr>
          <w:rFonts w:eastAsia="Times New Roman"/>
          <w:lang w:eastAsia="en-GB"/>
        </w:rPr>
      </w:pPr>
    </w:p>
    <w:p w14:paraId="16DA9FA8" w14:textId="127C6BEC" w:rsidR="00E36CE6" w:rsidRDefault="00E36CE6" w:rsidP="00FF273B">
      <w:pPr>
        <w:jc w:val="both"/>
        <w:rPr>
          <w:rFonts w:eastAsia="Times New Roman"/>
          <w:lang w:eastAsia="en-GB"/>
        </w:rPr>
      </w:pPr>
      <w:r>
        <w:rPr>
          <w:rFonts w:eastAsia="Times New Roman"/>
          <w:lang w:eastAsia="en-GB"/>
        </w:rPr>
        <w:t xml:space="preserve">The number of additional sits that schools can receive funding for should be capped at 3 per school. If a school has more than 3 additional sites, the distance funding should be calculated based on those that are furthest away from the main site. </w:t>
      </w:r>
    </w:p>
    <w:p w14:paraId="52E82BF8" w14:textId="77777777" w:rsidR="00E36CE6" w:rsidRDefault="00E36CE6" w:rsidP="00FF273B">
      <w:pPr>
        <w:jc w:val="both"/>
        <w:rPr>
          <w:rFonts w:eastAsia="Times New Roman"/>
          <w:lang w:eastAsia="en-GB"/>
        </w:rPr>
      </w:pPr>
    </w:p>
    <w:p w14:paraId="7D666189" w14:textId="5B541067" w:rsidR="00E36CE6" w:rsidRPr="00BC1B74" w:rsidRDefault="00E36CE6" w:rsidP="00BC1B74">
      <w:pPr>
        <w:pStyle w:val="Heading2"/>
        <w:rPr>
          <w:rFonts w:eastAsia="Times New Roman"/>
          <w:b/>
          <w:bCs/>
          <w:lang w:eastAsia="en-GB"/>
        </w:rPr>
      </w:pPr>
      <w:bookmarkStart w:id="13" w:name="_Toc222494847"/>
      <w:r w:rsidRPr="00BC1B74">
        <w:rPr>
          <w:rFonts w:eastAsia="Times New Roman"/>
          <w:b/>
          <w:bCs/>
          <w:lang w:eastAsia="en-GB"/>
        </w:rPr>
        <w:t>Business Rates</w:t>
      </w:r>
      <w:bookmarkEnd w:id="13"/>
    </w:p>
    <w:p w14:paraId="5B547289" w14:textId="77777777" w:rsidR="00E36CE6" w:rsidRDefault="00E36CE6" w:rsidP="00FF273B">
      <w:pPr>
        <w:jc w:val="both"/>
        <w:rPr>
          <w:rFonts w:eastAsia="Times New Roman"/>
          <w:lang w:eastAsia="en-GB"/>
        </w:rPr>
      </w:pPr>
    </w:p>
    <w:p w14:paraId="093E2D86" w14:textId="6DF40FEB" w:rsidR="00E36CE6" w:rsidRDefault="00E36CE6" w:rsidP="00FF273B">
      <w:pPr>
        <w:jc w:val="both"/>
        <w:rPr>
          <w:rFonts w:eastAsia="Times New Roman"/>
          <w:lang w:eastAsia="en-GB"/>
        </w:rPr>
      </w:pPr>
      <w:r>
        <w:rPr>
          <w:rFonts w:eastAsia="Times New Roman"/>
          <w:lang w:eastAsia="en-GB"/>
        </w:rPr>
        <w:lastRenderedPageBreak/>
        <w:t>In 2026/27, business rates will continue to be paid by the DfE directly to billing authorities on behalf of all maintained schools and academies. S</w:t>
      </w:r>
      <w:r w:rsidR="00BC1B74">
        <w:rPr>
          <w:rFonts w:eastAsia="Times New Roman"/>
          <w:lang w:eastAsia="en-GB"/>
        </w:rPr>
        <w:t>ch</w:t>
      </w:r>
      <w:r>
        <w:rPr>
          <w:rFonts w:eastAsia="Times New Roman"/>
          <w:lang w:eastAsia="en-GB"/>
        </w:rPr>
        <w:t>ool budget shares will continue to show indicative business rates funding however there is a s</w:t>
      </w:r>
      <w:r w:rsidR="001B12B2">
        <w:rPr>
          <w:rFonts w:eastAsia="Times New Roman"/>
          <w:lang w:eastAsia="en-GB"/>
        </w:rPr>
        <w:t>ection on the budget share (1</w:t>
      </w:r>
      <w:r w:rsidR="00512233">
        <w:rPr>
          <w:rFonts w:eastAsia="Times New Roman"/>
          <w:lang w:eastAsia="en-GB"/>
        </w:rPr>
        <w:t>1</w:t>
      </w:r>
      <w:r w:rsidR="001B12B2">
        <w:rPr>
          <w:rFonts w:eastAsia="Times New Roman"/>
          <w:lang w:eastAsia="en-GB"/>
        </w:rPr>
        <w:t xml:space="preserve">) which deducts this funding to ensure no physical cash is allocated to schools. </w:t>
      </w:r>
    </w:p>
    <w:p w14:paraId="3BA9E4C6" w14:textId="77777777" w:rsidR="001B12B2" w:rsidRDefault="001B12B2" w:rsidP="00FF273B">
      <w:pPr>
        <w:jc w:val="both"/>
        <w:rPr>
          <w:rFonts w:eastAsia="Times New Roman"/>
          <w:lang w:eastAsia="en-GB"/>
        </w:rPr>
      </w:pPr>
    </w:p>
    <w:p w14:paraId="2B26CB56" w14:textId="5E1E5CD0" w:rsidR="001B12B2" w:rsidRDefault="001B12B2" w:rsidP="00FF273B">
      <w:pPr>
        <w:jc w:val="both"/>
        <w:rPr>
          <w:rFonts w:eastAsia="Times New Roman"/>
          <w:lang w:eastAsia="en-GB"/>
        </w:rPr>
      </w:pPr>
      <w:r>
        <w:rPr>
          <w:rFonts w:eastAsia="Times New Roman"/>
          <w:lang w:eastAsia="en-GB"/>
        </w:rPr>
        <w:t>The indicative rates for</w:t>
      </w:r>
      <w:r w:rsidR="00BC1B74">
        <w:rPr>
          <w:rFonts w:eastAsia="Times New Roman"/>
          <w:lang w:eastAsia="en-GB"/>
        </w:rPr>
        <w:t xml:space="preserve"> 2026/27 reflect an estimate of the 2025/26 rates change. </w:t>
      </w:r>
    </w:p>
    <w:p w14:paraId="1B639CA1" w14:textId="77777777" w:rsidR="003F6A81" w:rsidRDefault="003F6A81" w:rsidP="00FF273B">
      <w:pPr>
        <w:jc w:val="both"/>
        <w:rPr>
          <w:rFonts w:eastAsia="Times New Roman"/>
          <w:lang w:eastAsia="en-GB"/>
        </w:rPr>
      </w:pPr>
    </w:p>
    <w:p w14:paraId="62340B23" w14:textId="77777777" w:rsidR="003F6A81" w:rsidRDefault="003F6A81" w:rsidP="00FF273B">
      <w:pPr>
        <w:jc w:val="both"/>
        <w:rPr>
          <w:rFonts w:eastAsia="Times New Roman"/>
          <w:lang w:eastAsia="en-GB"/>
        </w:rPr>
      </w:pPr>
    </w:p>
    <w:p w14:paraId="2CF40FA3" w14:textId="586E388D" w:rsidR="00972DCD" w:rsidRPr="008C14DB" w:rsidRDefault="00583853" w:rsidP="008C14DB">
      <w:pPr>
        <w:pStyle w:val="Heading2"/>
        <w:rPr>
          <w:rFonts w:eastAsia="Times New Roman"/>
          <w:b/>
          <w:bCs/>
          <w:lang w:eastAsia="en-GB"/>
        </w:rPr>
      </w:pPr>
      <w:bookmarkStart w:id="14" w:name="_Toc222494848"/>
      <w:r w:rsidRPr="008C14DB">
        <w:rPr>
          <w:rFonts w:eastAsia="Times New Roman"/>
          <w:b/>
          <w:bCs/>
          <w:lang w:eastAsia="en-GB"/>
        </w:rPr>
        <w:t>Private Finance Initiatives (PFI) Contracts</w:t>
      </w:r>
      <w:bookmarkEnd w:id="14"/>
    </w:p>
    <w:p w14:paraId="32DC0C30" w14:textId="77777777" w:rsidR="00583853" w:rsidRDefault="00583853" w:rsidP="00FF273B">
      <w:pPr>
        <w:jc w:val="both"/>
        <w:rPr>
          <w:rFonts w:eastAsia="Times New Roman"/>
          <w:lang w:eastAsia="en-GB"/>
        </w:rPr>
      </w:pPr>
    </w:p>
    <w:p w14:paraId="18183826" w14:textId="11BFEC7B" w:rsidR="00583853" w:rsidRDefault="00583853" w:rsidP="00FF273B">
      <w:pPr>
        <w:jc w:val="both"/>
        <w:rPr>
          <w:rFonts w:eastAsia="Times New Roman"/>
          <w:lang w:eastAsia="en-GB"/>
        </w:rPr>
      </w:pPr>
      <w:r>
        <w:rPr>
          <w:rFonts w:eastAsia="Times New Roman"/>
          <w:lang w:eastAsia="en-GB"/>
        </w:rPr>
        <w:t xml:space="preserve">The PFI factor is typically used to cover situations where funding for the PFI ‘affordability gap’ is passed through to schools, and where schools then pay it back to the LA. It can also cover situations where schools face unavoidable extra premises costs related to the PFI contracts – over and above what other schools face. </w:t>
      </w:r>
    </w:p>
    <w:p w14:paraId="4CFDF2AA" w14:textId="77777777" w:rsidR="00583853" w:rsidRDefault="00583853" w:rsidP="00FF273B">
      <w:pPr>
        <w:jc w:val="both"/>
        <w:rPr>
          <w:rFonts w:eastAsia="Times New Roman"/>
          <w:lang w:eastAsia="en-GB"/>
        </w:rPr>
      </w:pPr>
    </w:p>
    <w:p w14:paraId="267D1C19" w14:textId="74FD31EA" w:rsidR="00583853" w:rsidRDefault="00583853" w:rsidP="00FF273B">
      <w:pPr>
        <w:jc w:val="both"/>
        <w:rPr>
          <w:rFonts w:eastAsia="Times New Roman"/>
          <w:lang w:eastAsia="en-GB"/>
        </w:rPr>
      </w:pPr>
      <w:r>
        <w:rPr>
          <w:rFonts w:eastAsia="Times New Roman"/>
          <w:lang w:eastAsia="en-GB"/>
        </w:rPr>
        <w:t>The main purpose of the factor is to cover additional costs related to the cost of building the schools themselves.</w:t>
      </w:r>
    </w:p>
    <w:p w14:paraId="7322553F" w14:textId="77777777" w:rsidR="00583853" w:rsidRDefault="00583853" w:rsidP="00FF273B">
      <w:pPr>
        <w:jc w:val="both"/>
        <w:rPr>
          <w:rFonts w:eastAsia="Times New Roman"/>
          <w:lang w:eastAsia="en-GB"/>
        </w:rPr>
      </w:pPr>
    </w:p>
    <w:p w14:paraId="6C99DD61" w14:textId="3A2FBBCD" w:rsidR="00583853" w:rsidRDefault="00583853" w:rsidP="00FF273B">
      <w:pPr>
        <w:jc w:val="both"/>
        <w:rPr>
          <w:rFonts w:eastAsia="Times New Roman"/>
          <w:lang w:eastAsia="en-GB"/>
        </w:rPr>
      </w:pPr>
      <w:r>
        <w:rPr>
          <w:rFonts w:eastAsia="Times New Roman"/>
          <w:lang w:eastAsia="en-GB"/>
        </w:rPr>
        <w:t xml:space="preserve">Revenue costs, such as for facilities management and energy, are costs which all schools face. These costs are covered by the funding schools receive from the other formula factors in their local authority’s funding formula and would not normally constitute a valid reason for additional funding through the PFI factor. </w:t>
      </w:r>
    </w:p>
    <w:p w14:paraId="6110C387" w14:textId="77777777" w:rsidR="00583853" w:rsidRDefault="00583853" w:rsidP="00FF273B">
      <w:pPr>
        <w:jc w:val="both"/>
        <w:rPr>
          <w:rFonts w:eastAsia="Times New Roman"/>
          <w:lang w:eastAsia="en-GB"/>
        </w:rPr>
      </w:pPr>
    </w:p>
    <w:p w14:paraId="76A09CDA" w14:textId="00987451" w:rsidR="00583853" w:rsidRDefault="00FE072D" w:rsidP="00FF273B">
      <w:pPr>
        <w:jc w:val="both"/>
        <w:rPr>
          <w:rFonts w:eastAsia="Times New Roman"/>
          <w:lang w:eastAsia="en-GB"/>
        </w:rPr>
      </w:pPr>
      <w:r>
        <w:rPr>
          <w:rFonts w:eastAsia="Times New Roman"/>
          <w:lang w:eastAsia="en-GB"/>
        </w:rPr>
        <w:t xml:space="preserve">The PFI funding that schools receive through the NFF is provided by the DfE. </w:t>
      </w:r>
    </w:p>
    <w:p w14:paraId="79419016" w14:textId="77777777" w:rsidR="008C14DB" w:rsidRDefault="008C14DB" w:rsidP="00FF273B">
      <w:pPr>
        <w:jc w:val="both"/>
        <w:rPr>
          <w:rFonts w:eastAsia="Times New Roman"/>
          <w:lang w:eastAsia="en-GB"/>
        </w:rPr>
      </w:pPr>
    </w:p>
    <w:p w14:paraId="67541902" w14:textId="380F86CE" w:rsidR="008C14DB" w:rsidRPr="00B912E3" w:rsidRDefault="00A91BCA" w:rsidP="00B912E3">
      <w:pPr>
        <w:pStyle w:val="Heading2"/>
        <w:rPr>
          <w:rFonts w:eastAsia="Times New Roman"/>
          <w:b/>
          <w:bCs/>
          <w:lang w:eastAsia="en-GB"/>
        </w:rPr>
      </w:pPr>
      <w:bookmarkStart w:id="15" w:name="_Toc222494849"/>
      <w:r w:rsidRPr="00B912E3">
        <w:rPr>
          <w:rFonts w:eastAsia="Times New Roman"/>
          <w:b/>
          <w:bCs/>
          <w:lang w:eastAsia="en-GB"/>
        </w:rPr>
        <w:t>Minimum Per Pupil Funding</w:t>
      </w:r>
      <w:bookmarkEnd w:id="15"/>
    </w:p>
    <w:p w14:paraId="6A79D7E6" w14:textId="77777777" w:rsidR="00A91BCA" w:rsidRDefault="00A91BCA" w:rsidP="00FF273B">
      <w:pPr>
        <w:jc w:val="both"/>
        <w:rPr>
          <w:rFonts w:eastAsia="Times New Roman"/>
          <w:lang w:eastAsia="en-GB"/>
        </w:rPr>
      </w:pPr>
    </w:p>
    <w:p w14:paraId="7A40D322" w14:textId="7E1C8B4D" w:rsidR="00A91BCA" w:rsidRDefault="00A91BCA" w:rsidP="00FF273B">
      <w:pPr>
        <w:jc w:val="both"/>
        <w:rPr>
          <w:rFonts w:eastAsia="Times New Roman"/>
          <w:lang w:eastAsia="en-GB"/>
        </w:rPr>
      </w:pPr>
      <w:r>
        <w:rPr>
          <w:rFonts w:eastAsia="Times New Roman"/>
          <w:lang w:eastAsia="en-GB"/>
        </w:rPr>
        <w:t xml:space="preserve">This is a compulsory factor. It must be used in the local funding formulae, at the NFF values. </w:t>
      </w:r>
    </w:p>
    <w:p w14:paraId="6356B6F5" w14:textId="77777777" w:rsidR="00A91BCA" w:rsidRDefault="00A91BCA" w:rsidP="00FF273B">
      <w:pPr>
        <w:jc w:val="both"/>
        <w:rPr>
          <w:rFonts w:eastAsia="Times New Roman"/>
          <w:lang w:eastAsia="en-GB"/>
        </w:rPr>
      </w:pPr>
    </w:p>
    <w:p w14:paraId="2873DE70" w14:textId="2355EDD0" w:rsidR="00A91BCA" w:rsidRDefault="00A91BCA" w:rsidP="00FF273B">
      <w:pPr>
        <w:jc w:val="both"/>
        <w:rPr>
          <w:rFonts w:eastAsia="Times New Roman"/>
          <w:lang w:eastAsia="en-GB"/>
        </w:rPr>
      </w:pPr>
      <w:r>
        <w:rPr>
          <w:rFonts w:eastAsia="Times New Roman"/>
          <w:lang w:eastAsia="en-GB"/>
        </w:rPr>
        <w:t>The purpose of this factor is for LAs to provide the NFF minimum per pupil levels (MPPLs) to every school. All LAs must implement MPPL</w:t>
      </w:r>
      <w:r w:rsidR="00E1552D">
        <w:rPr>
          <w:rFonts w:eastAsia="Times New Roman"/>
          <w:lang w:eastAsia="en-GB"/>
        </w:rPr>
        <w:t>s by following the same methodology used in the NFF.</w:t>
      </w:r>
    </w:p>
    <w:p w14:paraId="70AF558F" w14:textId="77777777" w:rsidR="00E1552D" w:rsidRDefault="00E1552D" w:rsidP="00FF273B">
      <w:pPr>
        <w:jc w:val="both"/>
        <w:rPr>
          <w:rFonts w:eastAsia="Times New Roman"/>
          <w:lang w:eastAsia="en-GB"/>
        </w:rPr>
      </w:pPr>
    </w:p>
    <w:p w14:paraId="68EBE191" w14:textId="2967222C" w:rsidR="00E1552D" w:rsidRDefault="00E1552D" w:rsidP="00FF273B">
      <w:pPr>
        <w:jc w:val="both"/>
        <w:rPr>
          <w:rFonts w:eastAsia="Times New Roman"/>
          <w:lang w:eastAsia="en-GB"/>
        </w:rPr>
      </w:pPr>
      <w:r>
        <w:rPr>
          <w:rFonts w:eastAsia="Times New Roman"/>
          <w:lang w:eastAsia="en-GB"/>
        </w:rPr>
        <w:t>For all schools, the calculation for a school’s individual MPPL is:</w:t>
      </w:r>
    </w:p>
    <w:p w14:paraId="232672A2" w14:textId="77777777" w:rsidR="0020213D" w:rsidRDefault="0020213D" w:rsidP="0020213D">
      <w:pPr>
        <w:jc w:val="center"/>
        <w:rPr>
          <w:rFonts w:eastAsia="Times New Roman"/>
          <w:lang w:eastAsia="en-GB"/>
        </w:rPr>
      </w:pPr>
    </w:p>
    <w:p w14:paraId="535EE5A4" w14:textId="5581FF45" w:rsidR="00E1552D" w:rsidRDefault="00C212B1" w:rsidP="0020213D">
      <w:pPr>
        <w:jc w:val="center"/>
        <w:rPr>
          <w:rFonts w:eastAsia="Times New Roman"/>
          <w:lang w:eastAsia="en-GB"/>
        </w:rPr>
      </w:pPr>
      <w:r>
        <w:rPr>
          <w:rFonts w:eastAsia="Times New Roman"/>
          <w:lang w:eastAsia="en-GB"/>
        </w:rPr>
        <w:t>(number of primary year groups x £</w:t>
      </w:r>
      <w:r w:rsidR="00C820B3">
        <w:rPr>
          <w:rFonts w:eastAsia="Times New Roman"/>
          <w:lang w:eastAsia="en-GB"/>
        </w:rPr>
        <w:t xml:space="preserve">5,115) + (number of </w:t>
      </w:r>
      <w:r w:rsidR="0020213D">
        <w:rPr>
          <w:rFonts w:eastAsia="Times New Roman"/>
          <w:lang w:eastAsia="en-GB"/>
        </w:rPr>
        <w:t>KS3</w:t>
      </w:r>
      <w:r w:rsidR="00C820B3">
        <w:rPr>
          <w:rFonts w:eastAsia="Times New Roman"/>
          <w:lang w:eastAsia="en-GB"/>
        </w:rPr>
        <w:t xml:space="preserve"> year </w:t>
      </w:r>
      <w:r w:rsidR="00C820B3" w:rsidRPr="0020213D">
        <w:rPr>
          <w:rFonts w:eastAsia="Times New Roman"/>
          <w:lang w:eastAsia="en-GB"/>
        </w:rPr>
        <w:t>groups x £6,388) +</w:t>
      </w:r>
      <w:r w:rsidR="00C820B3" w:rsidRPr="0020213D">
        <w:rPr>
          <w:rFonts w:eastAsia="Times New Roman"/>
          <w:u w:val="single"/>
          <w:lang w:eastAsia="en-GB"/>
        </w:rPr>
        <w:t xml:space="preserve"> (number of </w:t>
      </w:r>
      <w:r w:rsidR="0020213D">
        <w:rPr>
          <w:rFonts w:eastAsia="Times New Roman"/>
          <w:u w:val="single"/>
          <w:lang w:eastAsia="en-GB"/>
        </w:rPr>
        <w:t>KS</w:t>
      </w:r>
      <w:r w:rsidR="0020213D" w:rsidRPr="0020213D">
        <w:rPr>
          <w:rFonts w:eastAsia="Times New Roman"/>
          <w:u w:val="single"/>
          <w:lang w:eastAsia="en-GB"/>
        </w:rPr>
        <w:t>4-year</w:t>
      </w:r>
      <w:r w:rsidR="00C820B3" w:rsidRPr="0020213D">
        <w:rPr>
          <w:rFonts w:eastAsia="Times New Roman"/>
          <w:u w:val="single"/>
          <w:lang w:eastAsia="en-GB"/>
        </w:rPr>
        <w:t xml:space="preserve"> groups x </w:t>
      </w:r>
      <w:r w:rsidR="0020213D" w:rsidRPr="0020213D">
        <w:rPr>
          <w:rFonts w:eastAsia="Times New Roman"/>
          <w:u w:val="single"/>
          <w:lang w:eastAsia="en-GB"/>
        </w:rPr>
        <w:t>£7,018)</w:t>
      </w:r>
    </w:p>
    <w:p w14:paraId="02140D1E" w14:textId="01EC213B" w:rsidR="0020213D" w:rsidRDefault="0020213D" w:rsidP="0020213D">
      <w:pPr>
        <w:jc w:val="center"/>
        <w:rPr>
          <w:rFonts w:eastAsia="Times New Roman"/>
          <w:lang w:eastAsia="en-GB"/>
        </w:rPr>
      </w:pPr>
      <w:r>
        <w:rPr>
          <w:rFonts w:eastAsia="Times New Roman"/>
          <w:lang w:eastAsia="en-GB"/>
        </w:rPr>
        <w:t>Total number of year groups</w:t>
      </w:r>
    </w:p>
    <w:p w14:paraId="379A1407" w14:textId="77777777" w:rsidR="0055734E" w:rsidRDefault="0055734E" w:rsidP="00DC0B8E">
      <w:pPr>
        <w:jc w:val="both"/>
        <w:rPr>
          <w:rFonts w:eastAsia="Times New Roman"/>
          <w:lang w:eastAsia="en-GB"/>
        </w:rPr>
      </w:pPr>
    </w:p>
    <w:p w14:paraId="51BC7DC9" w14:textId="69AC874F" w:rsidR="0055734E" w:rsidRDefault="0055734E" w:rsidP="00DC0B8E">
      <w:pPr>
        <w:jc w:val="both"/>
        <w:rPr>
          <w:rFonts w:eastAsia="Times New Roman"/>
          <w:lang w:eastAsia="en-GB"/>
        </w:rPr>
      </w:pPr>
      <w:r>
        <w:rPr>
          <w:rFonts w:eastAsia="Times New Roman"/>
          <w:lang w:eastAsia="en-GB"/>
        </w:rPr>
        <w:t>This provides per pupil funding of at least £5,115 for each primary school, and £</w:t>
      </w:r>
      <w:r w:rsidR="00DC0B8E">
        <w:rPr>
          <w:rFonts w:eastAsia="Times New Roman"/>
          <w:lang w:eastAsia="en-GB"/>
        </w:rPr>
        <w:t xml:space="preserve">6,640 </w:t>
      </w:r>
      <w:r w:rsidR="00B912E3">
        <w:rPr>
          <w:rFonts w:eastAsia="Times New Roman"/>
          <w:lang w:eastAsia="en-GB"/>
        </w:rPr>
        <w:t xml:space="preserve">for each secondary school with standard structures of 7 and 5 year groups, respectively. For middle schools, all-through schools, and other schools with a non-standard year group structure, this will produce a specific minimum per-pupil value that relates to the number of year groups in each phase. </w:t>
      </w:r>
    </w:p>
    <w:p w14:paraId="2F770201" w14:textId="77777777" w:rsidR="00B912E3" w:rsidRDefault="00B912E3" w:rsidP="00DC0B8E">
      <w:pPr>
        <w:jc w:val="both"/>
        <w:rPr>
          <w:rFonts w:eastAsia="Times New Roman"/>
          <w:lang w:eastAsia="en-GB"/>
        </w:rPr>
      </w:pPr>
    </w:p>
    <w:p w14:paraId="7800B95E" w14:textId="25B4D41E" w:rsidR="00B912E3" w:rsidRDefault="00B912E3" w:rsidP="00DC0B8E">
      <w:pPr>
        <w:jc w:val="both"/>
        <w:rPr>
          <w:rFonts w:eastAsia="Times New Roman"/>
          <w:lang w:eastAsia="en-GB"/>
        </w:rPr>
      </w:pPr>
      <w:r>
        <w:rPr>
          <w:rFonts w:eastAsia="Times New Roman"/>
          <w:lang w:eastAsia="en-GB"/>
        </w:rPr>
        <w:t xml:space="preserve">The only factors not included in per-pupil funding for the purpose of the MPPL calculation are the premises factors (split site, rates, PFI, and exceptional </w:t>
      </w:r>
      <w:r>
        <w:rPr>
          <w:rFonts w:eastAsia="Times New Roman"/>
          <w:lang w:eastAsia="en-GB"/>
        </w:rPr>
        <w:lastRenderedPageBreak/>
        <w:t>circumstances) and explicit growth funding. Any prior year adjustments the LA has made should also be excluded from the calculation.</w:t>
      </w:r>
    </w:p>
    <w:p w14:paraId="4AF910D9" w14:textId="77777777" w:rsidR="00B912E3" w:rsidRDefault="00B912E3" w:rsidP="00DC0B8E">
      <w:pPr>
        <w:jc w:val="both"/>
        <w:rPr>
          <w:rFonts w:eastAsia="Times New Roman"/>
          <w:lang w:eastAsia="en-GB"/>
        </w:rPr>
      </w:pPr>
    </w:p>
    <w:p w14:paraId="675A727A" w14:textId="2CE03C58" w:rsidR="00B912E3" w:rsidRPr="00B912E3" w:rsidRDefault="00B912E3" w:rsidP="00B912E3">
      <w:pPr>
        <w:pStyle w:val="Heading2"/>
        <w:rPr>
          <w:rFonts w:eastAsia="Times New Roman"/>
          <w:b/>
          <w:bCs/>
          <w:lang w:eastAsia="en-GB"/>
        </w:rPr>
      </w:pPr>
      <w:bookmarkStart w:id="16" w:name="_Toc222494850"/>
      <w:r w:rsidRPr="00B912E3">
        <w:rPr>
          <w:rFonts w:eastAsia="Times New Roman"/>
          <w:b/>
          <w:bCs/>
          <w:lang w:eastAsia="en-GB"/>
        </w:rPr>
        <w:t>Minimum Funding Guarantee (MFG)</w:t>
      </w:r>
      <w:bookmarkEnd w:id="16"/>
    </w:p>
    <w:p w14:paraId="59A92208" w14:textId="77777777" w:rsidR="00B912E3" w:rsidRDefault="00B912E3" w:rsidP="00DC0B8E">
      <w:pPr>
        <w:jc w:val="both"/>
        <w:rPr>
          <w:rFonts w:eastAsia="Times New Roman"/>
          <w:lang w:eastAsia="en-GB"/>
        </w:rPr>
      </w:pPr>
    </w:p>
    <w:p w14:paraId="26FCFE8B" w14:textId="65887F32" w:rsidR="00B912E3" w:rsidRDefault="008311F8" w:rsidP="00DC0B8E">
      <w:pPr>
        <w:jc w:val="both"/>
        <w:rPr>
          <w:rFonts w:eastAsia="Times New Roman"/>
          <w:lang w:eastAsia="en-GB"/>
        </w:rPr>
      </w:pPr>
      <w:r>
        <w:rPr>
          <w:rFonts w:eastAsia="Times New Roman"/>
          <w:lang w:eastAsia="en-GB"/>
        </w:rPr>
        <w:t xml:space="preserve">MFG is used to protect per pupil funding of schools from one year to the next against significant changes in funding and from changes in data not directly related to pupil numbers. </w:t>
      </w:r>
      <w:r w:rsidR="00BC6763">
        <w:rPr>
          <w:rFonts w:eastAsia="Times New Roman"/>
          <w:lang w:eastAsia="en-GB"/>
        </w:rPr>
        <w:t xml:space="preserve">LAs </w:t>
      </w:r>
      <w:r w:rsidR="00934872">
        <w:rPr>
          <w:rFonts w:eastAsia="Times New Roman"/>
          <w:lang w:eastAsia="en-GB"/>
        </w:rPr>
        <w:t>can</w:t>
      </w:r>
      <w:r w:rsidR="006F291B">
        <w:rPr>
          <w:rFonts w:eastAsia="Times New Roman"/>
          <w:lang w:eastAsia="en-GB"/>
        </w:rPr>
        <w:t xml:space="preserve"> set </w:t>
      </w:r>
      <w:r w:rsidR="00A55993">
        <w:rPr>
          <w:rFonts w:eastAsia="Times New Roman"/>
          <w:lang w:eastAsia="en-GB"/>
        </w:rPr>
        <w:t>an MFG rate between -0.5% and 0.</w:t>
      </w:r>
      <w:r w:rsidR="006F291B">
        <w:rPr>
          <w:rFonts w:eastAsia="Times New Roman"/>
          <w:lang w:eastAsia="en-GB"/>
        </w:rPr>
        <w:t>00</w:t>
      </w:r>
      <w:r w:rsidR="00A55993">
        <w:rPr>
          <w:rFonts w:eastAsia="Times New Roman"/>
          <w:lang w:eastAsia="en-GB"/>
        </w:rPr>
        <w:t>%</w:t>
      </w:r>
      <w:r w:rsidR="00F33AD3">
        <w:rPr>
          <w:rFonts w:eastAsia="Times New Roman"/>
          <w:lang w:eastAsia="en-GB"/>
        </w:rPr>
        <w:t xml:space="preserve"> per pupil compared to the baseline.</w:t>
      </w:r>
      <w:r w:rsidR="00A55993">
        <w:rPr>
          <w:rFonts w:eastAsia="Times New Roman"/>
          <w:lang w:eastAsia="en-GB"/>
        </w:rPr>
        <w:t xml:space="preserve"> </w:t>
      </w:r>
    </w:p>
    <w:p w14:paraId="1BDB4CAC" w14:textId="77777777" w:rsidR="008311F8" w:rsidRDefault="008311F8" w:rsidP="00DC0B8E">
      <w:pPr>
        <w:jc w:val="both"/>
        <w:rPr>
          <w:rFonts w:eastAsia="Times New Roman"/>
          <w:lang w:eastAsia="en-GB"/>
        </w:rPr>
      </w:pPr>
    </w:p>
    <w:p w14:paraId="62645DE1" w14:textId="2CCD1FC0" w:rsidR="00C3705C" w:rsidRDefault="00C3705C" w:rsidP="00DC0B8E">
      <w:pPr>
        <w:jc w:val="both"/>
        <w:rPr>
          <w:rFonts w:eastAsia="Times New Roman"/>
          <w:lang w:eastAsia="en-GB"/>
        </w:rPr>
      </w:pPr>
      <w:r>
        <w:rPr>
          <w:rFonts w:eastAsia="Times New Roman"/>
          <w:lang w:eastAsia="en-GB"/>
        </w:rPr>
        <w:t xml:space="preserve">For 2026/27, an MFG rate of -0.5% was </w:t>
      </w:r>
      <w:r w:rsidR="00934872">
        <w:rPr>
          <w:rFonts w:eastAsia="Times New Roman"/>
          <w:lang w:eastAsia="en-GB"/>
        </w:rPr>
        <w:t>applied</w:t>
      </w:r>
      <w:r w:rsidR="001A4C8A">
        <w:rPr>
          <w:rFonts w:eastAsia="Times New Roman"/>
          <w:lang w:eastAsia="en-GB"/>
        </w:rPr>
        <w:t xml:space="preserve">. </w:t>
      </w:r>
    </w:p>
    <w:p w14:paraId="6E99D722" w14:textId="77777777" w:rsidR="00DB3A79" w:rsidRDefault="00DB3A79" w:rsidP="00DC0B8E">
      <w:pPr>
        <w:jc w:val="both"/>
        <w:rPr>
          <w:rFonts w:eastAsia="Times New Roman"/>
          <w:lang w:eastAsia="en-GB"/>
        </w:rPr>
      </w:pPr>
    </w:p>
    <w:p w14:paraId="71C157D0" w14:textId="0A425D0E" w:rsidR="00DB3A79" w:rsidRPr="00DE0F2B" w:rsidRDefault="00DE0F2B" w:rsidP="00DE0F2B">
      <w:pPr>
        <w:pStyle w:val="Heading1"/>
        <w:rPr>
          <w:rFonts w:eastAsia="Times New Roman" w:cs="Arial"/>
          <w:b/>
          <w:bCs/>
          <w:sz w:val="28"/>
          <w:szCs w:val="28"/>
          <w:lang w:eastAsia="en-GB"/>
        </w:rPr>
      </w:pPr>
      <w:bookmarkStart w:id="17" w:name="_Toc222494851"/>
      <w:r w:rsidRPr="00DE0F2B">
        <w:rPr>
          <w:rFonts w:eastAsia="Times New Roman" w:cs="Arial"/>
          <w:b/>
          <w:bCs/>
          <w:sz w:val="28"/>
          <w:szCs w:val="28"/>
          <w:lang w:eastAsia="en-GB"/>
        </w:rPr>
        <w:t>De-delegation</w:t>
      </w:r>
      <w:bookmarkEnd w:id="17"/>
    </w:p>
    <w:p w14:paraId="14D8C118" w14:textId="77777777" w:rsidR="00DE0F2B" w:rsidRDefault="00DE0F2B" w:rsidP="00DC0B8E">
      <w:pPr>
        <w:jc w:val="both"/>
        <w:rPr>
          <w:rFonts w:eastAsia="Times New Roman"/>
          <w:lang w:eastAsia="en-GB"/>
        </w:rPr>
      </w:pPr>
    </w:p>
    <w:p w14:paraId="41E872D3" w14:textId="788EFD49" w:rsidR="00DE0F2B" w:rsidRDefault="006F232E" w:rsidP="00DC0B8E">
      <w:pPr>
        <w:jc w:val="both"/>
        <w:rPr>
          <w:rFonts w:eastAsia="Times New Roman"/>
          <w:lang w:eastAsia="en-GB"/>
        </w:rPr>
      </w:pPr>
      <w:r>
        <w:rPr>
          <w:rFonts w:eastAsia="Times New Roman"/>
          <w:lang w:eastAsia="en-GB"/>
        </w:rPr>
        <w:t xml:space="preserve">De-delegation only applies to maintained mainstream schools. Schools Forum members have agreed that funding for the following services would be de-delegated, i.e., allocated in the formula in the first instance then returned to the LA to provide the services centrally. </w:t>
      </w:r>
    </w:p>
    <w:p w14:paraId="7A0FFC67" w14:textId="77777777" w:rsidR="006F232E" w:rsidRDefault="006F232E" w:rsidP="00DC0B8E">
      <w:pPr>
        <w:jc w:val="both"/>
        <w:rPr>
          <w:rFonts w:eastAsia="Times New Roman"/>
          <w:lang w:eastAsia="en-GB"/>
        </w:rPr>
      </w:pPr>
    </w:p>
    <w:p w14:paraId="536981A5" w14:textId="46400E5C" w:rsidR="006F232E" w:rsidRDefault="006F232E" w:rsidP="00DC0B8E">
      <w:pPr>
        <w:jc w:val="both"/>
        <w:rPr>
          <w:rFonts w:eastAsia="Times New Roman"/>
          <w:lang w:eastAsia="en-GB"/>
        </w:rPr>
      </w:pPr>
      <w:r>
        <w:rPr>
          <w:rFonts w:eastAsia="Times New Roman"/>
          <w:lang w:eastAsia="en-GB"/>
        </w:rPr>
        <w:t xml:space="preserve">For further details regarding Schools Forum decisions, please refer to the </w:t>
      </w:r>
      <w:hyperlink r:id="rId14" w:history="1">
        <w:r w:rsidRPr="008A1476">
          <w:rPr>
            <w:rStyle w:val="Hyperlink"/>
            <w:rFonts w:eastAsia="Times New Roman"/>
            <w:lang w:eastAsia="en-GB"/>
          </w:rPr>
          <w:t>Schools Forum papers and minutes from January 202</w:t>
        </w:r>
        <w:r w:rsidR="00CE5C98" w:rsidRPr="008A1476">
          <w:rPr>
            <w:rStyle w:val="Hyperlink"/>
            <w:rFonts w:eastAsia="Times New Roman"/>
            <w:lang w:eastAsia="en-GB"/>
          </w:rPr>
          <w:t>6</w:t>
        </w:r>
        <w:r w:rsidRPr="008A1476">
          <w:rPr>
            <w:rStyle w:val="Hyperlink"/>
            <w:rFonts w:eastAsia="Times New Roman"/>
            <w:lang w:eastAsia="en-GB"/>
          </w:rPr>
          <w:t>.</w:t>
        </w:r>
      </w:hyperlink>
    </w:p>
    <w:p w14:paraId="049D5A6B" w14:textId="545C21D8" w:rsidR="006F232E" w:rsidRDefault="006F232E" w:rsidP="00DC0B8E">
      <w:pPr>
        <w:jc w:val="both"/>
        <w:rPr>
          <w:rFonts w:eastAsia="Times New Roman"/>
          <w:lang w:eastAsia="en-GB"/>
        </w:rPr>
      </w:pPr>
    </w:p>
    <w:p w14:paraId="4A18EDB9" w14:textId="5580287A" w:rsidR="008A1476" w:rsidRDefault="00500EE8" w:rsidP="00DC0B8E">
      <w:pPr>
        <w:jc w:val="both"/>
        <w:rPr>
          <w:rFonts w:eastAsia="Times New Roman"/>
          <w:lang w:eastAsia="en-GB"/>
        </w:rPr>
      </w:pPr>
      <w:r>
        <w:rPr>
          <w:rFonts w:eastAsia="Times New Roman"/>
          <w:lang w:eastAsia="en-GB"/>
        </w:rPr>
        <w:t xml:space="preserve">The following tables details the items which have been de-delegated, and the basis used to calculate the per pupil funding for primary and secondary maintained schools. </w:t>
      </w:r>
    </w:p>
    <w:p w14:paraId="55365166" w14:textId="77777777" w:rsidR="00500EE8" w:rsidRDefault="00500EE8" w:rsidP="00DC0B8E">
      <w:pPr>
        <w:jc w:val="both"/>
        <w:rPr>
          <w:rFonts w:eastAsia="Times New Roman"/>
          <w:lang w:eastAsia="en-GB"/>
        </w:rPr>
      </w:pPr>
    </w:p>
    <w:tbl>
      <w:tblPr>
        <w:tblW w:w="8784" w:type="dxa"/>
        <w:tblLook w:val="04A0" w:firstRow="1" w:lastRow="0" w:firstColumn="1" w:lastColumn="0" w:noHBand="0" w:noVBand="1"/>
        <w:tblDescription w:val="De-delegated Budgets per pupil rates - Primary"/>
      </w:tblPr>
      <w:tblGrid>
        <w:gridCol w:w="3500"/>
        <w:gridCol w:w="1300"/>
        <w:gridCol w:w="1240"/>
        <w:gridCol w:w="1610"/>
        <w:gridCol w:w="1134"/>
      </w:tblGrid>
      <w:tr w:rsidR="00B46706" w:rsidRPr="00B46706" w14:paraId="22B0554A" w14:textId="77777777" w:rsidTr="00C341E8">
        <w:trPr>
          <w:trHeight w:val="1200"/>
        </w:trPr>
        <w:tc>
          <w:tcPr>
            <w:tcW w:w="3500" w:type="dxa"/>
            <w:tcBorders>
              <w:top w:val="single" w:sz="4" w:space="0" w:color="auto"/>
              <w:left w:val="single" w:sz="4" w:space="0" w:color="auto"/>
              <w:bottom w:val="nil"/>
              <w:right w:val="single" w:sz="4" w:space="0" w:color="auto"/>
            </w:tcBorders>
            <w:vAlign w:val="center"/>
            <w:hideMark/>
          </w:tcPr>
          <w:p w14:paraId="1B0452D3" w14:textId="77777777" w:rsidR="00B46706" w:rsidRPr="00B46706" w:rsidRDefault="00B46706" w:rsidP="00B46706">
            <w:pPr>
              <w:jc w:val="center"/>
              <w:rPr>
                <w:rFonts w:ascii="Aptos Narrow" w:eastAsia="Times New Roman" w:hAnsi="Aptos Narrow" w:cs="Times New Roman"/>
                <w:b/>
                <w:bCs/>
                <w:color w:val="000000"/>
                <w:sz w:val="22"/>
                <w:szCs w:val="22"/>
                <w:lang w:eastAsia="en-GB"/>
              </w:rPr>
            </w:pPr>
            <w:r w:rsidRPr="00B46706">
              <w:rPr>
                <w:rFonts w:ascii="Aptos Narrow" w:eastAsia="Times New Roman" w:hAnsi="Aptos Narrow" w:cs="Times New Roman"/>
                <w:b/>
                <w:bCs/>
                <w:color w:val="000000"/>
                <w:sz w:val="22"/>
                <w:szCs w:val="22"/>
                <w:lang w:eastAsia="en-GB"/>
              </w:rPr>
              <w:t>De-delegated Budget</w:t>
            </w:r>
          </w:p>
        </w:tc>
        <w:tc>
          <w:tcPr>
            <w:tcW w:w="1300" w:type="dxa"/>
            <w:tcBorders>
              <w:top w:val="single" w:sz="4" w:space="0" w:color="auto"/>
              <w:left w:val="nil"/>
              <w:bottom w:val="nil"/>
              <w:right w:val="single" w:sz="4" w:space="0" w:color="auto"/>
            </w:tcBorders>
            <w:vAlign w:val="bottom"/>
            <w:hideMark/>
          </w:tcPr>
          <w:p w14:paraId="0FEA3981" w14:textId="38F81CDE" w:rsidR="00B46706" w:rsidRPr="00B46706" w:rsidRDefault="00B46706" w:rsidP="00B46706">
            <w:pPr>
              <w:jc w:val="center"/>
              <w:rPr>
                <w:rFonts w:ascii="Aptos Narrow" w:eastAsia="Times New Roman" w:hAnsi="Aptos Narrow" w:cs="Times New Roman"/>
                <w:b/>
                <w:bCs/>
                <w:color w:val="000000"/>
                <w:sz w:val="22"/>
                <w:szCs w:val="22"/>
                <w:lang w:eastAsia="en-GB"/>
              </w:rPr>
            </w:pPr>
            <w:r w:rsidRPr="00B46706">
              <w:rPr>
                <w:rFonts w:ascii="Aptos Narrow" w:eastAsia="Times New Roman" w:hAnsi="Aptos Narrow" w:cs="Times New Roman"/>
                <w:b/>
                <w:bCs/>
                <w:color w:val="000000"/>
                <w:sz w:val="22"/>
                <w:szCs w:val="22"/>
                <w:lang w:eastAsia="en-GB"/>
              </w:rPr>
              <w:t>Per Pu</w:t>
            </w:r>
            <w:r>
              <w:rPr>
                <w:rFonts w:ascii="Aptos Narrow" w:eastAsia="Times New Roman" w:hAnsi="Aptos Narrow" w:cs="Times New Roman"/>
                <w:b/>
                <w:bCs/>
                <w:color w:val="000000"/>
                <w:sz w:val="22"/>
                <w:szCs w:val="22"/>
                <w:lang w:eastAsia="en-GB"/>
              </w:rPr>
              <w:t>p</w:t>
            </w:r>
            <w:r w:rsidRPr="00B46706">
              <w:rPr>
                <w:rFonts w:ascii="Aptos Narrow" w:eastAsia="Times New Roman" w:hAnsi="Aptos Narrow" w:cs="Times New Roman"/>
                <w:b/>
                <w:bCs/>
                <w:color w:val="000000"/>
                <w:sz w:val="22"/>
                <w:szCs w:val="22"/>
                <w:lang w:eastAsia="en-GB"/>
              </w:rPr>
              <w:t>il Unit Rate 2025/26</w:t>
            </w:r>
            <w:r w:rsidRPr="00B46706">
              <w:rPr>
                <w:rFonts w:ascii="Aptos Narrow" w:eastAsia="Times New Roman" w:hAnsi="Aptos Narrow" w:cs="Times New Roman"/>
                <w:b/>
                <w:bCs/>
                <w:color w:val="000000"/>
                <w:sz w:val="22"/>
                <w:szCs w:val="22"/>
                <w:lang w:eastAsia="en-GB"/>
              </w:rPr>
              <w:br/>
              <w:t>£</w:t>
            </w:r>
          </w:p>
        </w:tc>
        <w:tc>
          <w:tcPr>
            <w:tcW w:w="1240" w:type="dxa"/>
            <w:tcBorders>
              <w:top w:val="single" w:sz="4" w:space="0" w:color="auto"/>
              <w:left w:val="nil"/>
              <w:bottom w:val="nil"/>
              <w:right w:val="single" w:sz="4" w:space="0" w:color="auto"/>
            </w:tcBorders>
            <w:vAlign w:val="bottom"/>
            <w:hideMark/>
          </w:tcPr>
          <w:p w14:paraId="27ACBCF7" w14:textId="6C4A3623" w:rsidR="00B46706" w:rsidRPr="00B46706" w:rsidRDefault="00B46706" w:rsidP="00B46706">
            <w:pPr>
              <w:jc w:val="center"/>
              <w:rPr>
                <w:rFonts w:ascii="Aptos Narrow" w:eastAsia="Times New Roman" w:hAnsi="Aptos Narrow" w:cs="Times New Roman"/>
                <w:b/>
                <w:bCs/>
                <w:color w:val="000000"/>
                <w:sz w:val="22"/>
                <w:szCs w:val="22"/>
                <w:lang w:eastAsia="en-GB"/>
              </w:rPr>
            </w:pPr>
            <w:r w:rsidRPr="00B46706">
              <w:rPr>
                <w:rFonts w:ascii="Aptos Narrow" w:eastAsia="Times New Roman" w:hAnsi="Aptos Narrow" w:cs="Times New Roman"/>
                <w:b/>
                <w:bCs/>
                <w:color w:val="000000"/>
                <w:sz w:val="22"/>
                <w:szCs w:val="22"/>
                <w:lang w:eastAsia="en-GB"/>
              </w:rPr>
              <w:t>5.</w:t>
            </w:r>
            <w:r w:rsidR="00030448">
              <w:rPr>
                <w:rFonts w:ascii="Aptos Narrow" w:eastAsia="Times New Roman" w:hAnsi="Aptos Narrow" w:cs="Times New Roman"/>
                <w:b/>
                <w:bCs/>
                <w:color w:val="000000"/>
                <w:sz w:val="22"/>
                <w:szCs w:val="22"/>
                <w:lang w:eastAsia="en-GB"/>
              </w:rPr>
              <w:t>3</w:t>
            </w:r>
            <w:r w:rsidRPr="00B46706">
              <w:rPr>
                <w:rFonts w:ascii="Aptos Narrow" w:eastAsia="Times New Roman" w:hAnsi="Aptos Narrow" w:cs="Times New Roman"/>
                <w:b/>
                <w:bCs/>
                <w:color w:val="000000"/>
                <w:sz w:val="22"/>
                <w:szCs w:val="22"/>
                <w:lang w:eastAsia="en-GB"/>
              </w:rPr>
              <w:t>% Per Pupil Unit Rate Uplift</w:t>
            </w:r>
            <w:r w:rsidRPr="00B46706">
              <w:rPr>
                <w:rFonts w:ascii="Aptos Narrow" w:eastAsia="Times New Roman" w:hAnsi="Aptos Narrow" w:cs="Times New Roman"/>
                <w:b/>
                <w:bCs/>
                <w:color w:val="000000"/>
                <w:sz w:val="22"/>
                <w:szCs w:val="22"/>
                <w:lang w:eastAsia="en-GB"/>
              </w:rPr>
              <w:br/>
              <w:t>£</w:t>
            </w:r>
          </w:p>
        </w:tc>
        <w:tc>
          <w:tcPr>
            <w:tcW w:w="1610" w:type="dxa"/>
            <w:tcBorders>
              <w:top w:val="single" w:sz="4" w:space="0" w:color="auto"/>
              <w:left w:val="nil"/>
              <w:bottom w:val="nil"/>
              <w:right w:val="single" w:sz="4" w:space="0" w:color="auto"/>
            </w:tcBorders>
            <w:vAlign w:val="bottom"/>
            <w:hideMark/>
          </w:tcPr>
          <w:p w14:paraId="28DA24ED" w14:textId="644F0DAA" w:rsidR="00B46706" w:rsidRPr="00B46706" w:rsidRDefault="00B46706" w:rsidP="00B46706">
            <w:pPr>
              <w:jc w:val="center"/>
              <w:rPr>
                <w:rFonts w:ascii="Aptos Narrow" w:eastAsia="Times New Roman" w:hAnsi="Aptos Narrow" w:cs="Times New Roman"/>
                <w:b/>
                <w:bCs/>
                <w:color w:val="000000"/>
                <w:sz w:val="22"/>
                <w:szCs w:val="22"/>
                <w:lang w:eastAsia="en-GB"/>
              </w:rPr>
            </w:pPr>
            <w:r w:rsidRPr="00B46706">
              <w:rPr>
                <w:rFonts w:ascii="Aptos Narrow" w:eastAsia="Times New Roman" w:hAnsi="Aptos Narrow" w:cs="Times New Roman"/>
                <w:b/>
                <w:bCs/>
                <w:color w:val="000000"/>
                <w:sz w:val="22"/>
                <w:szCs w:val="22"/>
                <w:lang w:eastAsia="en-GB"/>
              </w:rPr>
              <w:t>Per Pupil Unit Rate Reduction</w:t>
            </w:r>
            <w:r w:rsidRPr="00B46706">
              <w:rPr>
                <w:rFonts w:ascii="Aptos Narrow" w:eastAsia="Times New Roman" w:hAnsi="Aptos Narrow" w:cs="Times New Roman"/>
                <w:b/>
                <w:bCs/>
                <w:color w:val="000000"/>
                <w:sz w:val="22"/>
                <w:szCs w:val="22"/>
                <w:lang w:eastAsia="en-GB"/>
              </w:rPr>
              <w:br/>
              <w:t>£</w:t>
            </w:r>
          </w:p>
        </w:tc>
        <w:tc>
          <w:tcPr>
            <w:tcW w:w="1134" w:type="dxa"/>
            <w:tcBorders>
              <w:top w:val="single" w:sz="4" w:space="0" w:color="auto"/>
              <w:left w:val="nil"/>
              <w:bottom w:val="nil"/>
              <w:right w:val="single" w:sz="4" w:space="0" w:color="auto"/>
            </w:tcBorders>
            <w:vAlign w:val="bottom"/>
            <w:hideMark/>
          </w:tcPr>
          <w:p w14:paraId="53C75FBA" w14:textId="14B70C76" w:rsidR="00B46706" w:rsidRPr="00B46706" w:rsidRDefault="00B46706" w:rsidP="00B46706">
            <w:pPr>
              <w:jc w:val="center"/>
              <w:rPr>
                <w:rFonts w:ascii="Aptos Narrow" w:eastAsia="Times New Roman" w:hAnsi="Aptos Narrow" w:cs="Times New Roman"/>
                <w:b/>
                <w:bCs/>
                <w:color w:val="000000"/>
                <w:sz w:val="22"/>
                <w:szCs w:val="22"/>
                <w:lang w:eastAsia="en-GB"/>
              </w:rPr>
            </w:pPr>
            <w:r w:rsidRPr="00B46706">
              <w:rPr>
                <w:rFonts w:ascii="Aptos Narrow" w:eastAsia="Times New Roman" w:hAnsi="Aptos Narrow" w:cs="Times New Roman"/>
                <w:b/>
                <w:bCs/>
                <w:color w:val="000000"/>
                <w:sz w:val="22"/>
                <w:szCs w:val="22"/>
                <w:lang w:eastAsia="en-GB"/>
              </w:rPr>
              <w:t>Per Pu</w:t>
            </w:r>
            <w:r>
              <w:rPr>
                <w:rFonts w:ascii="Aptos Narrow" w:eastAsia="Times New Roman" w:hAnsi="Aptos Narrow" w:cs="Times New Roman"/>
                <w:b/>
                <w:bCs/>
                <w:color w:val="000000"/>
                <w:sz w:val="22"/>
                <w:szCs w:val="22"/>
                <w:lang w:eastAsia="en-GB"/>
              </w:rPr>
              <w:t>p</w:t>
            </w:r>
            <w:r w:rsidRPr="00B46706">
              <w:rPr>
                <w:rFonts w:ascii="Aptos Narrow" w:eastAsia="Times New Roman" w:hAnsi="Aptos Narrow" w:cs="Times New Roman"/>
                <w:b/>
                <w:bCs/>
                <w:color w:val="000000"/>
                <w:sz w:val="22"/>
                <w:szCs w:val="22"/>
                <w:lang w:eastAsia="en-GB"/>
              </w:rPr>
              <w:t>il Unit Rate</w:t>
            </w:r>
            <w:r w:rsidRPr="00B46706">
              <w:rPr>
                <w:rFonts w:ascii="Aptos Narrow" w:eastAsia="Times New Roman" w:hAnsi="Aptos Narrow" w:cs="Times New Roman"/>
                <w:b/>
                <w:bCs/>
                <w:color w:val="000000"/>
                <w:sz w:val="22"/>
                <w:szCs w:val="22"/>
                <w:lang w:eastAsia="en-GB"/>
              </w:rPr>
              <w:br/>
              <w:t>£</w:t>
            </w:r>
          </w:p>
        </w:tc>
      </w:tr>
      <w:tr w:rsidR="00B46706" w:rsidRPr="00B46706" w14:paraId="6D9471C7" w14:textId="77777777" w:rsidTr="00C341E8">
        <w:trPr>
          <w:trHeight w:val="300"/>
        </w:trPr>
        <w:tc>
          <w:tcPr>
            <w:tcW w:w="3500" w:type="dxa"/>
            <w:tcBorders>
              <w:top w:val="single" w:sz="4" w:space="0" w:color="auto"/>
              <w:left w:val="single" w:sz="4" w:space="0" w:color="auto"/>
              <w:bottom w:val="single" w:sz="4" w:space="0" w:color="auto"/>
              <w:right w:val="single" w:sz="4" w:space="0" w:color="auto"/>
            </w:tcBorders>
            <w:shd w:val="clear" w:color="000000" w:fill="595959"/>
            <w:noWrap/>
            <w:vAlign w:val="bottom"/>
            <w:hideMark/>
          </w:tcPr>
          <w:p w14:paraId="61C4AEE1" w14:textId="77777777" w:rsidR="00B46706" w:rsidRPr="00B46706" w:rsidRDefault="00B46706" w:rsidP="00B46706">
            <w:pPr>
              <w:rPr>
                <w:rFonts w:ascii="Aptos Narrow" w:eastAsia="Times New Roman" w:hAnsi="Aptos Narrow" w:cs="Times New Roman"/>
                <w:color w:val="000000"/>
                <w:sz w:val="22"/>
                <w:szCs w:val="22"/>
                <w:lang w:eastAsia="en-GB"/>
              </w:rPr>
            </w:pPr>
            <w:r w:rsidRPr="00B46706">
              <w:rPr>
                <w:rFonts w:ascii="Aptos Narrow" w:eastAsia="Times New Roman" w:hAnsi="Aptos Narrow" w:cs="Times New Roman"/>
                <w:color w:val="000000"/>
                <w:sz w:val="22"/>
                <w:szCs w:val="22"/>
                <w:lang w:eastAsia="en-GB"/>
              </w:rPr>
              <w:t> </w:t>
            </w:r>
          </w:p>
        </w:tc>
        <w:tc>
          <w:tcPr>
            <w:tcW w:w="1300" w:type="dxa"/>
            <w:tcBorders>
              <w:top w:val="single" w:sz="4" w:space="0" w:color="auto"/>
              <w:left w:val="nil"/>
              <w:bottom w:val="single" w:sz="4" w:space="0" w:color="auto"/>
              <w:right w:val="single" w:sz="4" w:space="0" w:color="auto"/>
            </w:tcBorders>
            <w:shd w:val="clear" w:color="000000" w:fill="595959"/>
            <w:noWrap/>
            <w:vAlign w:val="bottom"/>
            <w:hideMark/>
          </w:tcPr>
          <w:p w14:paraId="5175D404" w14:textId="77777777" w:rsidR="00B46706" w:rsidRPr="00B46706" w:rsidRDefault="00B46706" w:rsidP="00B46706">
            <w:pPr>
              <w:rPr>
                <w:rFonts w:ascii="Aptos Narrow" w:eastAsia="Times New Roman" w:hAnsi="Aptos Narrow" w:cs="Times New Roman"/>
                <w:color w:val="000000"/>
                <w:sz w:val="22"/>
                <w:szCs w:val="22"/>
                <w:lang w:eastAsia="en-GB"/>
              </w:rPr>
            </w:pPr>
            <w:r w:rsidRPr="00B46706">
              <w:rPr>
                <w:rFonts w:ascii="Aptos Narrow" w:eastAsia="Times New Roman" w:hAnsi="Aptos Narrow" w:cs="Times New Roman"/>
                <w:color w:val="000000"/>
                <w:sz w:val="22"/>
                <w:szCs w:val="22"/>
                <w:lang w:eastAsia="en-GB"/>
              </w:rPr>
              <w:t> </w:t>
            </w:r>
          </w:p>
        </w:tc>
        <w:tc>
          <w:tcPr>
            <w:tcW w:w="1240" w:type="dxa"/>
            <w:tcBorders>
              <w:top w:val="single" w:sz="4" w:space="0" w:color="auto"/>
              <w:left w:val="nil"/>
              <w:bottom w:val="single" w:sz="4" w:space="0" w:color="auto"/>
              <w:right w:val="single" w:sz="4" w:space="0" w:color="auto"/>
            </w:tcBorders>
            <w:shd w:val="clear" w:color="000000" w:fill="595959"/>
            <w:noWrap/>
            <w:vAlign w:val="bottom"/>
            <w:hideMark/>
          </w:tcPr>
          <w:p w14:paraId="305374F8" w14:textId="77777777" w:rsidR="00B46706" w:rsidRPr="00B46706" w:rsidRDefault="00B46706" w:rsidP="00B46706">
            <w:pPr>
              <w:rPr>
                <w:rFonts w:ascii="Aptos Narrow" w:eastAsia="Times New Roman" w:hAnsi="Aptos Narrow" w:cs="Times New Roman"/>
                <w:color w:val="000000"/>
                <w:sz w:val="22"/>
                <w:szCs w:val="22"/>
                <w:lang w:eastAsia="en-GB"/>
              </w:rPr>
            </w:pPr>
            <w:r w:rsidRPr="00B46706">
              <w:rPr>
                <w:rFonts w:ascii="Aptos Narrow" w:eastAsia="Times New Roman" w:hAnsi="Aptos Narrow" w:cs="Times New Roman"/>
                <w:color w:val="000000"/>
                <w:sz w:val="22"/>
                <w:szCs w:val="22"/>
                <w:lang w:eastAsia="en-GB"/>
              </w:rPr>
              <w:t> </w:t>
            </w:r>
          </w:p>
        </w:tc>
        <w:tc>
          <w:tcPr>
            <w:tcW w:w="1610" w:type="dxa"/>
            <w:tcBorders>
              <w:top w:val="single" w:sz="4" w:space="0" w:color="auto"/>
              <w:left w:val="nil"/>
              <w:bottom w:val="single" w:sz="4" w:space="0" w:color="auto"/>
              <w:right w:val="single" w:sz="4" w:space="0" w:color="auto"/>
            </w:tcBorders>
            <w:shd w:val="clear" w:color="000000" w:fill="595959"/>
            <w:noWrap/>
            <w:vAlign w:val="bottom"/>
            <w:hideMark/>
          </w:tcPr>
          <w:p w14:paraId="0CBB2DEE" w14:textId="77777777" w:rsidR="00B46706" w:rsidRPr="00B46706" w:rsidRDefault="00B46706" w:rsidP="00B46706">
            <w:pPr>
              <w:rPr>
                <w:rFonts w:ascii="Aptos Narrow" w:eastAsia="Times New Roman" w:hAnsi="Aptos Narrow" w:cs="Times New Roman"/>
                <w:color w:val="000000"/>
                <w:sz w:val="22"/>
                <w:szCs w:val="22"/>
                <w:lang w:eastAsia="en-GB"/>
              </w:rPr>
            </w:pPr>
            <w:r w:rsidRPr="00B46706">
              <w:rPr>
                <w:rFonts w:ascii="Aptos Narrow" w:eastAsia="Times New Roman" w:hAnsi="Aptos Narrow" w:cs="Times New Roman"/>
                <w:color w:val="000000"/>
                <w:sz w:val="22"/>
                <w:szCs w:val="22"/>
                <w:lang w:eastAsia="en-GB"/>
              </w:rPr>
              <w:t> </w:t>
            </w:r>
          </w:p>
        </w:tc>
        <w:tc>
          <w:tcPr>
            <w:tcW w:w="1134" w:type="dxa"/>
            <w:tcBorders>
              <w:top w:val="single" w:sz="4" w:space="0" w:color="auto"/>
              <w:left w:val="nil"/>
              <w:bottom w:val="single" w:sz="4" w:space="0" w:color="auto"/>
              <w:right w:val="single" w:sz="4" w:space="0" w:color="auto"/>
            </w:tcBorders>
            <w:shd w:val="clear" w:color="000000" w:fill="595959"/>
            <w:noWrap/>
            <w:vAlign w:val="bottom"/>
            <w:hideMark/>
          </w:tcPr>
          <w:p w14:paraId="03DDC327" w14:textId="77777777" w:rsidR="00B46706" w:rsidRPr="00B46706" w:rsidRDefault="00B46706" w:rsidP="00B46706">
            <w:pPr>
              <w:rPr>
                <w:rFonts w:ascii="Aptos Narrow" w:eastAsia="Times New Roman" w:hAnsi="Aptos Narrow" w:cs="Times New Roman"/>
                <w:color w:val="000000"/>
                <w:sz w:val="22"/>
                <w:szCs w:val="22"/>
                <w:lang w:eastAsia="en-GB"/>
              </w:rPr>
            </w:pPr>
            <w:r w:rsidRPr="00B46706">
              <w:rPr>
                <w:rFonts w:ascii="Aptos Narrow" w:eastAsia="Times New Roman" w:hAnsi="Aptos Narrow" w:cs="Times New Roman"/>
                <w:color w:val="000000"/>
                <w:sz w:val="22"/>
                <w:szCs w:val="22"/>
                <w:lang w:eastAsia="en-GB"/>
              </w:rPr>
              <w:t> </w:t>
            </w:r>
          </w:p>
        </w:tc>
      </w:tr>
      <w:tr w:rsidR="00B46706" w:rsidRPr="00B46706" w14:paraId="4CDBA9C3" w14:textId="77777777" w:rsidTr="00C341E8">
        <w:trPr>
          <w:trHeight w:val="300"/>
        </w:trPr>
        <w:tc>
          <w:tcPr>
            <w:tcW w:w="3500" w:type="dxa"/>
            <w:tcBorders>
              <w:top w:val="nil"/>
              <w:left w:val="single" w:sz="4" w:space="0" w:color="auto"/>
              <w:bottom w:val="single" w:sz="4" w:space="0" w:color="auto"/>
              <w:right w:val="single" w:sz="4" w:space="0" w:color="auto"/>
            </w:tcBorders>
            <w:noWrap/>
            <w:vAlign w:val="bottom"/>
            <w:hideMark/>
          </w:tcPr>
          <w:p w14:paraId="72DDCB7D" w14:textId="77777777" w:rsidR="00B46706" w:rsidRPr="00B46706" w:rsidRDefault="00B46706" w:rsidP="00B46706">
            <w:pPr>
              <w:rPr>
                <w:rFonts w:ascii="Aptos Narrow" w:eastAsia="Times New Roman" w:hAnsi="Aptos Narrow" w:cs="Times New Roman"/>
                <w:color w:val="000000"/>
                <w:sz w:val="22"/>
                <w:szCs w:val="22"/>
                <w:lang w:eastAsia="en-GB"/>
              </w:rPr>
            </w:pPr>
            <w:r w:rsidRPr="00B46706">
              <w:rPr>
                <w:rFonts w:ascii="Aptos Narrow" w:eastAsia="Times New Roman" w:hAnsi="Aptos Narrow" w:cs="Times New Roman"/>
                <w:color w:val="000000"/>
                <w:sz w:val="22"/>
                <w:szCs w:val="22"/>
                <w:lang w:eastAsia="en-GB"/>
              </w:rPr>
              <w:t>Contingencies - Primary</w:t>
            </w:r>
          </w:p>
        </w:tc>
        <w:tc>
          <w:tcPr>
            <w:tcW w:w="1300" w:type="dxa"/>
            <w:tcBorders>
              <w:top w:val="nil"/>
              <w:left w:val="nil"/>
              <w:bottom w:val="single" w:sz="4" w:space="0" w:color="auto"/>
              <w:right w:val="single" w:sz="4" w:space="0" w:color="auto"/>
            </w:tcBorders>
            <w:noWrap/>
            <w:vAlign w:val="bottom"/>
            <w:hideMark/>
          </w:tcPr>
          <w:p w14:paraId="41D45F57" w14:textId="77777777" w:rsidR="00B46706" w:rsidRPr="00B46706" w:rsidRDefault="00B46706" w:rsidP="00B46706">
            <w:pPr>
              <w:jc w:val="center"/>
              <w:rPr>
                <w:rFonts w:ascii="Aptos Narrow" w:eastAsia="Times New Roman" w:hAnsi="Aptos Narrow" w:cs="Times New Roman"/>
                <w:color w:val="000000"/>
                <w:sz w:val="22"/>
                <w:szCs w:val="22"/>
                <w:lang w:eastAsia="en-GB"/>
              </w:rPr>
            </w:pPr>
            <w:r w:rsidRPr="00B46706">
              <w:rPr>
                <w:rFonts w:ascii="Aptos Narrow" w:eastAsia="Times New Roman" w:hAnsi="Aptos Narrow" w:cs="Times New Roman"/>
                <w:color w:val="000000"/>
                <w:sz w:val="22"/>
                <w:szCs w:val="22"/>
                <w:lang w:eastAsia="en-GB"/>
              </w:rPr>
              <w:t>16.32</w:t>
            </w:r>
          </w:p>
        </w:tc>
        <w:tc>
          <w:tcPr>
            <w:tcW w:w="1240" w:type="dxa"/>
            <w:tcBorders>
              <w:top w:val="nil"/>
              <w:left w:val="nil"/>
              <w:bottom w:val="single" w:sz="4" w:space="0" w:color="auto"/>
              <w:right w:val="single" w:sz="4" w:space="0" w:color="auto"/>
            </w:tcBorders>
            <w:noWrap/>
            <w:vAlign w:val="bottom"/>
            <w:hideMark/>
          </w:tcPr>
          <w:p w14:paraId="0B5A59DC" w14:textId="5A733988" w:rsidR="00B46706" w:rsidRPr="00B46706" w:rsidRDefault="00B46706" w:rsidP="00B46706">
            <w:pPr>
              <w:jc w:val="center"/>
              <w:rPr>
                <w:rFonts w:ascii="Aptos Narrow" w:eastAsia="Times New Roman" w:hAnsi="Aptos Narrow" w:cs="Times New Roman"/>
                <w:color w:val="000000"/>
                <w:sz w:val="22"/>
                <w:szCs w:val="22"/>
                <w:lang w:eastAsia="en-GB"/>
              </w:rPr>
            </w:pPr>
            <w:r w:rsidRPr="00B46706">
              <w:rPr>
                <w:rFonts w:ascii="Aptos Narrow" w:eastAsia="Times New Roman" w:hAnsi="Aptos Narrow" w:cs="Times New Roman"/>
                <w:color w:val="000000"/>
                <w:sz w:val="22"/>
                <w:szCs w:val="22"/>
                <w:lang w:eastAsia="en-GB"/>
              </w:rPr>
              <w:t>0.8</w:t>
            </w:r>
            <w:r w:rsidR="00615D69">
              <w:rPr>
                <w:rFonts w:ascii="Aptos Narrow" w:eastAsia="Times New Roman" w:hAnsi="Aptos Narrow" w:cs="Times New Roman"/>
                <w:color w:val="000000"/>
                <w:sz w:val="22"/>
                <w:szCs w:val="22"/>
                <w:lang w:eastAsia="en-GB"/>
              </w:rPr>
              <w:t>6</w:t>
            </w:r>
          </w:p>
        </w:tc>
        <w:tc>
          <w:tcPr>
            <w:tcW w:w="1610" w:type="dxa"/>
            <w:tcBorders>
              <w:top w:val="nil"/>
              <w:left w:val="nil"/>
              <w:bottom w:val="nil"/>
              <w:right w:val="nil"/>
            </w:tcBorders>
            <w:noWrap/>
            <w:vAlign w:val="bottom"/>
            <w:hideMark/>
          </w:tcPr>
          <w:p w14:paraId="24360AD1" w14:textId="77777777" w:rsidR="00B46706" w:rsidRPr="00B46706" w:rsidRDefault="00B46706" w:rsidP="00B46706">
            <w:pPr>
              <w:jc w:val="center"/>
              <w:rPr>
                <w:rFonts w:ascii="Aptos Narrow" w:eastAsia="Times New Roman" w:hAnsi="Aptos Narrow" w:cs="Times New Roman"/>
                <w:color w:val="000000"/>
                <w:sz w:val="22"/>
                <w:szCs w:val="22"/>
                <w:lang w:eastAsia="en-GB"/>
              </w:rPr>
            </w:pPr>
          </w:p>
        </w:tc>
        <w:tc>
          <w:tcPr>
            <w:tcW w:w="1134" w:type="dxa"/>
            <w:tcBorders>
              <w:top w:val="nil"/>
              <w:left w:val="single" w:sz="4" w:space="0" w:color="auto"/>
              <w:bottom w:val="single" w:sz="4" w:space="0" w:color="auto"/>
              <w:right w:val="single" w:sz="4" w:space="0" w:color="auto"/>
            </w:tcBorders>
            <w:noWrap/>
            <w:vAlign w:val="bottom"/>
            <w:hideMark/>
          </w:tcPr>
          <w:p w14:paraId="4849A8C0" w14:textId="0415346E" w:rsidR="00B46706" w:rsidRPr="00B46706" w:rsidRDefault="00B46706" w:rsidP="00B46706">
            <w:pPr>
              <w:jc w:val="center"/>
              <w:rPr>
                <w:rFonts w:ascii="Aptos Narrow" w:eastAsia="Times New Roman" w:hAnsi="Aptos Narrow" w:cs="Times New Roman"/>
                <w:color w:val="000000"/>
                <w:sz w:val="22"/>
                <w:szCs w:val="22"/>
                <w:lang w:eastAsia="en-GB"/>
              </w:rPr>
            </w:pPr>
            <w:r w:rsidRPr="00B46706">
              <w:rPr>
                <w:rFonts w:ascii="Aptos Narrow" w:eastAsia="Times New Roman" w:hAnsi="Aptos Narrow" w:cs="Times New Roman"/>
                <w:color w:val="000000"/>
                <w:sz w:val="22"/>
                <w:szCs w:val="22"/>
                <w:lang w:eastAsia="en-GB"/>
              </w:rPr>
              <w:t>17.1</w:t>
            </w:r>
            <w:r w:rsidR="00615D69">
              <w:rPr>
                <w:rFonts w:ascii="Aptos Narrow" w:eastAsia="Times New Roman" w:hAnsi="Aptos Narrow" w:cs="Times New Roman"/>
                <w:color w:val="000000"/>
                <w:sz w:val="22"/>
                <w:szCs w:val="22"/>
                <w:lang w:eastAsia="en-GB"/>
              </w:rPr>
              <w:t>8</w:t>
            </w:r>
          </w:p>
        </w:tc>
      </w:tr>
      <w:tr w:rsidR="00B46706" w:rsidRPr="00B46706" w14:paraId="7C3DDA78" w14:textId="77777777" w:rsidTr="00C341E8">
        <w:trPr>
          <w:trHeight w:val="300"/>
        </w:trPr>
        <w:tc>
          <w:tcPr>
            <w:tcW w:w="3500" w:type="dxa"/>
            <w:tcBorders>
              <w:top w:val="nil"/>
              <w:left w:val="single" w:sz="4" w:space="0" w:color="auto"/>
              <w:bottom w:val="single" w:sz="4" w:space="0" w:color="auto"/>
              <w:right w:val="single" w:sz="4" w:space="0" w:color="auto"/>
            </w:tcBorders>
            <w:noWrap/>
            <w:vAlign w:val="bottom"/>
            <w:hideMark/>
          </w:tcPr>
          <w:p w14:paraId="220C79C7" w14:textId="77777777" w:rsidR="00B46706" w:rsidRPr="00B46706" w:rsidRDefault="00B46706" w:rsidP="00B46706">
            <w:pPr>
              <w:rPr>
                <w:rFonts w:ascii="Aptos Narrow" w:eastAsia="Times New Roman" w:hAnsi="Aptos Narrow" w:cs="Times New Roman"/>
                <w:color w:val="000000"/>
                <w:sz w:val="22"/>
                <w:szCs w:val="22"/>
                <w:lang w:eastAsia="en-GB"/>
              </w:rPr>
            </w:pPr>
            <w:r w:rsidRPr="00B46706">
              <w:rPr>
                <w:rFonts w:ascii="Aptos Narrow" w:eastAsia="Times New Roman" w:hAnsi="Aptos Narrow" w:cs="Times New Roman"/>
                <w:color w:val="000000"/>
                <w:sz w:val="22"/>
                <w:szCs w:val="22"/>
                <w:lang w:eastAsia="en-GB"/>
              </w:rPr>
              <w:t>School Facilities - Primary</w:t>
            </w:r>
          </w:p>
        </w:tc>
        <w:tc>
          <w:tcPr>
            <w:tcW w:w="1300" w:type="dxa"/>
            <w:tcBorders>
              <w:top w:val="nil"/>
              <w:left w:val="nil"/>
              <w:bottom w:val="single" w:sz="4" w:space="0" w:color="auto"/>
              <w:right w:val="single" w:sz="4" w:space="0" w:color="auto"/>
            </w:tcBorders>
            <w:noWrap/>
            <w:vAlign w:val="bottom"/>
            <w:hideMark/>
          </w:tcPr>
          <w:p w14:paraId="53A89C43" w14:textId="77777777" w:rsidR="00B46706" w:rsidRPr="00B46706" w:rsidRDefault="00B46706" w:rsidP="00B46706">
            <w:pPr>
              <w:jc w:val="center"/>
              <w:rPr>
                <w:rFonts w:ascii="Aptos Narrow" w:eastAsia="Times New Roman" w:hAnsi="Aptos Narrow" w:cs="Times New Roman"/>
                <w:color w:val="000000"/>
                <w:sz w:val="22"/>
                <w:szCs w:val="22"/>
                <w:lang w:eastAsia="en-GB"/>
              </w:rPr>
            </w:pPr>
            <w:r w:rsidRPr="00B46706">
              <w:rPr>
                <w:rFonts w:ascii="Aptos Narrow" w:eastAsia="Times New Roman" w:hAnsi="Aptos Narrow" w:cs="Times New Roman"/>
                <w:color w:val="000000"/>
                <w:sz w:val="22"/>
                <w:szCs w:val="22"/>
                <w:lang w:eastAsia="en-GB"/>
              </w:rPr>
              <w:t>4.63</w:t>
            </w:r>
          </w:p>
        </w:tc>
        <w:tc>
          <w:tcPr>
            <w:tcW w:w="1240" w:type="dxa"/>
            <w:tcBorders>
              <w:top w:val="nil"/>
              <w:left w:val="nil"/>
              <w:bottom w:val="single" w:sz="4" w:space="0" w:color="auto"/>
              <w:right w:val="single" w:sz="4" w:space="0" w:color="auto"/>
            </w:tcBorders>
            <w:noWrap/>
            <w:vAlign w:val="bottom"/>
            <w:hideMark/>
          </w:tcPr>
          <w:p w14:paraId="067F8F6F" w14:textId="045B8BAA" w:rsidR="00B46706" w:rsidRPr="00B46706" w:rsidRDefault="00B46706" w:rsidP="00B46706">
            <w:pPr>
              <w:jc w:val="center"/>
              <w:rPr>
                <w:rFonts w:ascii="Aptos Narrow" w:eastAsia="Times New Roman" w:hAnsi="Aptos Narrow" w:cs="Times New Roman"/>
                <w:color w:val="000000"/>
                <w:sz w:val="22"/>
                <w:szCs w:val="22"/>
                <w:lang w:eastAsia="en-GB"/>
              </w:rPr>
            </w:pPr>
          </w:p>
        </w:tc>
        <w:tc>
          <w:tcPr>
            <w:tcW w:w="1610" w:type="dxa"/>
            <w:tcBorders>
              <w:top w:val="single" w:sz="4" w:space="0" w:color="auto"/>
              <w:left w:val="nil"/>
              <w:bottom w:val="single" w:sz="4" w:space="0" w:color="auto"/>
              <w:right w:val="single" w:sz="4" w:space="0" w:color="auto"/>
            </w:tcBorders>
            <w:noWrap/>
            <w:vAlign w:val="bottom"/>
            <w:hideMark/>
          </w:tcPr>
          <w:p w14:paraId="66AE47AD" w14:textId="4709A856" w:rsidR="00B46706" w:rsidRPr="00B46706" w:rsidRDefault="00B46706" w:rsidP="00B46706">
            <w:pPr>
              <w:jc w:val="center"/>
              <w:rPr>
                <w:rFonts w:ascii="Aptos Narrow" w:eastAsia="Times New Roman" w:hAnsi="Aptos Narrow" w:cs="Times New Roman"/>
                <w:color w:val="000000"/>
                <w:sz w:val="22"/>
                <w:szCs w:val="22"/>
                <w:lang w:eastAsia="en-GB"/>
              </w:rPr>
            </w:pPr>
            <w:r w:rsidRPr="00B46706">
              <w:rPr>
                <w:rFonts w:ascii="Aptos Narrow" w:eastAsia="Times New Roman" w:hAnsi="Aptos Narrow" w:cs="Times New Roman"/>
                <w:color w:val="FF0000"/>
                <w:sz w:val="22"/>
                <w:szCs w:val="22"/>
                <w:lang w:eastAsia="en-GB"/>
              </w:rPr>
              <w:t>(2.32)</w:t>
            </w:r>
          </w:p>
        </w:tc>
        <w:tc>
          <w:tcPr>
            <w:tcW w:w="1134" w:type="dxa"/>
            <w:tcBorders>
              <w:top w:val="nil"/>
              <w:left w:val="nil"/>
              <w:bottom w:val="single" w:sz="4" w:space="0" w:color="auto"/>
              <w:right w:val="single" w:sz="4" w:space="0" w:color="auto"/>
            </w:tcBorders>
            <w:noWrap/>
            <w:vAlign w:val="bottom"/>
            <w:hideMark/>
          </w:tcPr>
          <w:p w14:paraId="47009416" w14:textId="070B91AC" w:rsidR="00B46706" w:rsidRPr="00B46706" w:rsidRDefault="00B46706" w:rsidP="00B46706">
            <w:pPr>
              <w:jc w:val="center"/>
              <w:rPr>
                <w:rFonts w:ascii="Aptos Narrow" w:eastAsia="Times New Roman" w:hAnsi="Aptos Narrow" w:cs="Times New Roman"/>
                <w:color w:val="000000"/>
                <w:sz w:val="22"/>
                <w:szCs w:val="22"/>
                <w:lang w:eastAsia="en-GB"/>
              </w:rPr>
            </w:pPr>
            <w:r w:rsidRPr="00B46706">
              <w:rPr>
                <w:rFonts w:ascii="Aptos Narrow" w:eastAsia="Times New Roman" w:hAnsi="Aptos Narrow" w:cs="Times New Roman"/>
                <w:color w:val="000000"/>
                <w:sz w:val="22"/>
                <w:szCs w:val="22"/>
                <w:lang w:eastAsia="en-GB"/>
              </w:rPr>
              <w:t>2.32</w:t>
            </w:r>
          </w:p>
        </w:tc>
      </w:tr>
      <w:tr w:rsidR="00B46706" w:rsidRPr="00B46706" w14:paraId="4DD435F4" w14:textId="77777777" w:rsidTr="00C341E8">
        <w:trPr>
          <w:trHeight w:val="300"/>
        </w:trPr>
        <w:tc>
          <w:tcPr>
            <w:tcW w:w="3500" w:type="dxa"/>
            <w:tcBorders>
              <w:top w:val="nil"/>
              <w:left w:val="single" w:sz="4" w:space="0" w:color="auto"/>
              <w:bottom w:val="single" w:sz="4" w:space="0" w:color="auto"/>
              <w:right w:val="single" w:sz="4" w:space="0" w:color="auto"/>
            </w:tcBorders>
            <w:noWrap/>
            <w:vAlign w:val="bottom"/>
            <w:hideMark/>
          </w:tcPr>
          <w:p w14:paraId="6BF31C8F" w14:textId="77777777" w:rsidR="00B46706" w:rsidRPr="00B46706" w:rsidRDefault="00B46706" w:rsidP="00B46706">
            <w:pPr>
              <w:rPr>
                <w:rFonts w:ascii="Aptos Narrow" w:eastAsia="Times New Roman" w:hAnsi="Aptos Narrow" w:cs="Times New Roman"/>
                <w:color w:val="000000"/>
                <w:sz w:val="22"/>
                <w:szCs w:val="22"/>
                <w:lang w:eastAsia="en-GB"/>
              </w:rPr>
            </w:pPr>
            <w:r w:rsidRPr="00B46706">
              <w:rPr>
                <w:rFonts w:ascii="Aptos Narrow" w:eastAsia="Times New Roman" w:hAnsi="Aptos Narrow" w:cs="Times New Roman"/>
                <w:color w:val="000000"/>
                <w:sz w:val="22"/>
                <w:szCs w:val="22"/>
                <w:lang w:eastAsia="en-GB"/>
              </w:rPr>
              <w:t>Behaviour Support - Primary</w:t>
            </w:r>
          </w:p>
        </w:tc>
        <w:tc>
          <w:tcPr>
            <w:tcW w:w="1300" w:type="dxa"/>
            <w:tcBorders>
              <w:top w:val="nil"/>
              <w:left w:val="nil"/>
              <w:bottom w:val="single" w:sz="4" w:space="0" w:color="auto"/>
              <w:right w:val="single" w:sz="4" w:space="0" w:color="auto"/>
            </w:tcBorders>
            <w:noWrap/>
            <w:vAlign w:val="bottom"/>
            <w:hideMark/>
          </w:tcPr>
          <w:p w14:paraId="689B9A99" w14:textId="77777777" w:rsidR="00B46706" w:rsidRPr="00B46706" w:rsidRDefault="00B46706" w:rsidP="00B46706">
            <w:pPr>
              <w:jc w:val="center"/>
              <w:rPr>
                <w:rFonts w:ascii="Aptos Narrow" w:eastAsia="Times New Roman" w:hAnsi="Aptos Narrow" w:cs="Times New Roman"/>
                <w:color w:val="000000"/>
                <w:sz w:val="22"/>
                <w:szCs w:val="22"/>
                <w:lang w:eastAsia="en-GB"/>
              </w:rPr>
            </w:pPr>
            <w:r w:rsidRPr="00B46706">
              <w:rPr>
                <w:rFonts w:ascii="Aptos Narrow" w:eastAsia="Times New Roman" w:hAnsi="Aptos Narrow" w:cs="Times New Roman"/>
                <w:color w:val="000000"/>
                <w:sz w:val="22"/>
                <w:szCs w:val="22"/>
                <w:lang w:eastAsia="en-GB"/>
              </w:rPr>
              <w:t>5.13</w:t>
            </w:r>
          </w:p>
        </w:tc>
        <w:tc>
          <w:tcPr>
            <w:tcW w:w="1240" w:type="dxa"/>
            <w:tcBorders>
              <w:top w:val="nil"/>
              <w:left w:val="nil"/>
              <w:bottom w:val="single" w:sz="4" w:space="0" w:color="auto"/>
              <w:right w:val="single" w:sz="4" w:space="0" w:color="auto"/>
            </w:tcBorders>
            <w:noWrap/>
            <w:vAlign w:val="bottom"/>
            <w:hideMark/>
          </w:tcPr>
          <w:p w14:paraId="3486DB24" w14:textId="705A507E" w:rsidR="00B46706" w:rsidRPr="00B46706" w:rsidRDefault="00B46706" w:rsidP="00B46706">
            <w:pPr>
              <w:jc w:val="center"/>
              <w:rPr>
                <w:rFonts w:ascii="Aptos Narrow" w:eastAsia="Times New Roman" w:hAnsi="Aptos Narrow" w:cs="Times New Roman"/>
                <w:color w:val="000000"/>
                <w:sz w:val="22"/>
                <w:szCs w:val="22"/>
                <w:lang w:eastAsia="en-GB"/>
              </w:rPr>
            </w:pPr>
            <w:r w:rsidRPr="00B46706">
              <w:rPr>
                <w:rFonts w:ascii="Aptos Narrow" w:eastAsia="Times New Roman" w:hAnsi="Aptos Narrow" w:cs="Times New Roman"/>
                <w:color w:val="000000"/>
                <w:sz w:val="22"/>
                <w:szCs w:val="22"/>
                <w:lang w:eastAsia="en-GB"/>
              </w:rPr>
              <w:t>0.27</w:t>
            </w:r>
          </w:p>
        </w:tc>
        <w:tc>
          <w:tcPr>
            <w:tcW w:w="1610" w:type="dxa"/>
            <w:tcBorders>
              <w:top w:val="nil"/>
              <w:left w:val="nil"/>
              <w:bottom w:val="single" w:sz="4" w:space="0" w:color="auto"/>
              <w:right w:val="single" w:sz="4" w:space="0" w:color="auto"/>
            </w:tcBorders>
            <w:noWrap/>
            <w:vAlign w:val="bottom"/>
            <w:hideMark/>
          </w:tcPr>
          <w:p w14:paraId="3491BBB6" w14:textId="53CEE16A" w:rsidR="00B46706" w:rsidRPr="00B46706" w:rsidRDefault="00B46706" w:rsidP="00B46706">
            <w:pPr>
              <w:jc w:val="center"/>
              <w:rPr>
                <w:rFonts w:ascii="Aptos Narrow" w:eastAsia="Times New Roman" w:hAnsi="Aptos Narrow" w:cs="Times New Roman"/>
                <w:color w:val="000000"/>
                <w:sz w:val="22"/>
                <w:szCs w:val="22"/>
                <w:lang w:eastAsia="en-GB"/>
              </w:rPr>
            </w:pPr>
          </w:p>
        </w:tc>
        <w:tc>
          <w:tcPr>
            <w:tcW w:w="1134" w:type="dxa"/>
            <w:tcBorders>
              <w:top w:val="nil"/>
              <w:left w:val="nil"/>
              <w:bottom w:val="single" w:sz="4" w:space="0" w:color="auto"/>
              <w:right w:val="single" w:sz="4" w:space="0" w:color="auto"/>
            </w:tcBorders>
            <w:noWrap/>
            <w:vAlign w:val="bottom"/>
            <w:hideMark/>
          </w:tcPr>
          <w:p w14:paraId="55DB0178" w14:textId="24B87212" w:rsidR="00B46706" w:rsidRPr="00B46706" w:rsidRDefault="00B46706" w:rsidP="00B46706">
            <w:pPr>
              <w:jc w:val="center"/>
              <w:rPr>
                <w:rFonts w:ascii="Aptos Narrow" w:eastAsia="Times New Roman" w:hAnsi="Aptos Narrow" w:cs="Times New Roman"/>
                <w:color w:val="000000"/>
                <w:sz w:val="22"/>
                <w:szCs w:val="22"/>
                <w:lang w:eastAsia="en-GB"/>
              </w:rPr>
            </w:pPr>
            <w:r w:rsidRPr="00B46706">
              <w:rPr>
                <w:rFonts w:ascii="Aptos Narrow" w:eastAsia="Times New Roman" w:hAnsi="Aptos Narrow" w:cs="Times New Roman"/>
                <w:color w:val="000000"/>
                <w:sz w:val="22"/>
                <w:szCs w:val="22"/>
                <w:lang w:eastAsia="en-GB"/>
              </w:rPr>
              <w:t>5.40</w:t>
            </w:r>
          </w:p>
        </w:tc>
      </w:tr>
    </w:tbl>
    <w:p w14:paraId="441EA8E3" w14:textId="77777777" w:rsidR="00497ABC" w:rsidRDefault="00497ABC" w:rsidP="00DC0B8E">
      <w:pPr>
        <w:jc w:val="both"/>
        <w:rPr>
          <w:rFonts w:eastAsia="Times New Roman"/>
          <w:lang w:eastAsia="en-GB"/>
        </w:rPr>
      </w:pPr>
    </w:p>
    <w:tbl>
      <w:tblPr>
        <w:tblW w:w="8784" w:type="dxa"/>
        <w:tblLook w:val="04A0" w:firstRow="1" w:lastRow="0" w:firstColumn="1" w:lastColumn="0" w:noHBand="0" w:noVBand="1"/>
        <w:tblDescription w:val="De-delegated Budgets Per Pupil Rate - Secondary"/>
      </w:tblPr>
      <w:tblGrid>
        <w:gridCol w:w="3500"/>
        <w:gridCol w:w="1300"/>
        <w:gridCol w:w="1240"/>
        <w:gridCol w:w="1610"/>
        <w:gridCol w:w="1134"/>
      </w:tblGrid>
      <w:tr w:rsidR="00815E72" w:rsidRPr="00815E72" w14:paraId="04EB16AD" w14:textId="77777777" w:rsidTr="00C341E8">
        <w:trPr>
          <w:trHeight w:val="1200"/>
        </w:trPr>
        <w:tc>
          <w:tcPr>
            <w:tcW w:w="3500" w:type="dxa"/>
            <w:tcBorders>
              <w:top w:val="single" w:sz="4" w:space="0" w:color="auto"/>
              <w:left w:val="single" w:sz="4" w:space="0" w:color="auto"/>
              <w:bottom w:val="nil"/>
              <w:right w:val="single" w:sz="4" w:space="0" w:color="auto"/>
            </w:tcBorders>
            <w:vAlign w:val="center"/>
            <w:hideMark/>
          </w:tcPr>
          <w:p w14:paraId="776A74F2" w14:textId="77777777" w:rsidR="00815E72" w:rsidRPr="00815E72" w:rsidRDefault="00815E72" w:rsidP="00815E72">
            <w:pPr>
              <w:jc w:val="center"/>
              <w:rPr>
                <w:rFonts w:ascii="Aptos Narrow" w:eastAsia="Times New Roman" w:hAnsi="Aptos Narrow" w:cs="Times New Roman"/>
                <w:b/>
                <w:bCs/>
                <w:color w:val="000000"/>
                <w:sz w:val="22"/>
                <w:szCs w:val="22"/>
                <w:lang w:eastAsia="en-GB"/>
              </w:rPr>
            </w:pPr>
            <w:r w:rsidRPr="00815E72">
              <w:rPr>
                <w:rFonts w:ascii="Aptos Narrow" w:eastAsia="Times New Roman" w:hAnsi="Aptos Narrow" w:cs="Times New Roman"/>
                <w:b/>
                <w:bCs/>
                <w:color w:val="000000"/>
                <w:sz w:val="22"/>
                <w:szCs w:val="22"/>
                <w:lang w:eastAsia="en-GB"/>
              </w:rPr>
              <w:t>De-delegated Budget</w:t>
            </w:r>
          </w:p>
        </w:tc>
        <w:tc>
          <w:tcPr>
            <w:tcW w:w="1300" w:type="dxa"/>
            <w:tcBorders>
              <w:top w:val="single" w:sz="4" w:space="0" w:color="auto"/>
              <w:left w:val="nil"/>
              <w:bottom w:val="nil"/>
              <w:right w:val="single" w:sz="4" w:space="0" w:color="auto"/>
            </w:tcBorders>
            <w:vAlign w:val="bottom"/>
            <w:hideMark/>
          </w:tcPr>
          <w:p w14:paraId="4A154DD1" w14:textId="77777777" w:rsidR="00815E72" w:rsidRPr="00815E72" w:rsidRDefault="00815E72" w:rsidP="00815E72">
            <w:pPr>
              <w:jc w:val="center"/>
              <w:rPr>
                <w:rFonts w:ascii="Aptos Narrow" w:eastAsia="Times New Roman" w:hAnsi="Aptos Narrow" w:cs="Times New Roman"/>
                <w:b/>
                <w:bCs/>
                <w:color w:val="000000"/>
                <w:sz w:val="22"/>
                <w:szCs w:val="22"/>
                <w:lang w:eastAsia="en-GB"/>
              </w:rPr>
            </w:pPr>
            <w:r w:rsidRPr="00815E72">
              <w:rPr>
                <w:rFonts w:ascii="Aptos Narrow" w:eastAsia="Times New Roman" w:hAnsi="Aptos Narrow" w:cs="Times New Roman"/>
                <w:b/>
                <w:bCs/>
                <w:color w:val="000000"/>
                <w:sz w:val="22"/>
                <w:szCs w:val="22"/>
                <w:lang w:eastAsia="en-GB"/>
              </w:rPr>
              <w:t>Per Pupil Unit Rate 2025/26</w:t>
            </w:r>
            <w:r w:rsidRPr="00815E72">
              <w:rPr>
                <w:rFonts w:ascii="Aptos Narrow" w:eastAsia="Times New Roman" w:hAnsi="Aptos Narrow" w:cs="Times New Roman"/>
                <w:b/>
                <w:bCs/>
                <w:color w:val="000000"/>
                <w:sz w:val="22"/>
                <w:szCs w:val="22"/>
                <w:lang w:eastAsia="en-GB"/>
              </w:rPr>
              <w:br/>
              <w:t>£</w:t>
            </w:r>
          </w:p>
        </w:tc>
        <w:tc>
          <w:tcPr>
            <w:tcW w:w="1240" w:type="dxa"/>
            <w:tcBorders>
              <w:top w:val="single" w:sz="4" w:space="0" w:color="auto"/>
              <w:left w:val="nil"/>
              <w:bottom w:val="nil"/>
              <w:right w:val="single" w:sz="4" w:space="0" w:color="auto"/>
            </w:tcBorders>
            <w:vAlign w:val="bottom"/>
            <w:hideMark/>
          </w:tcPr>
          <w:p w14:paraId="2E5725F7" w14:textId="3EB705AC" w:rsidR="00815E72" w:rsidRPr="00815E72" w:rsidRDefault="00815E72" w:rsidP="00815E72">
            <w:pPr>
              <w:jc w:val="center"/>
              <w:rPr>
                <w:rFonts w:ascii="Aptos Narrow" w:eastAsia="Times New Roman" w:hAnsi="Aptos Narrow" w:cs="Times New Roman"/>
                <w:b/>
                <w:bCs/>
                <w:color w:val="000000"/>
                <w:sz w:val="22"/>
                <w:szCs w:val="22"/>
                <w:lang w:eastAsia="en-GB"/>
              </w:rPr>
            </w:pPr>
            <w:r w:rsidRPr="00815E72">
              <w:rPr>
                <w:rFonts w:ascii="Aptos Narrow" w:eastAsia="Times New Roman" w:hAnsi="Aptos Narrow" w:cs="Times New Roman"/>
                <w:b/>
                <w:bCs/>
                <w:color w:val="000000"/>
                <w:sz w:val="22"/>
                <w:szCs w:val="22"/>
                <w:lang w:eastAsia="en-GB"/>
              </w:rPr>
              <w:t xml:space="preserve"> 5.</w:t>
            </w:r>
            <w:r w:rsidR="00030448">
              <w:rPr>
                <w:rFonts w:ascii="Aptos Narrow" w:eastAsia="Times New Roman" w:hAnsi="Aptos Narrow" w:cs="Times New Roman"/>
                <w:b/>
                <w:bCs/>
                <w:color w:val="000000"/>
                <w:sz w:val="22"/>
                <w:szCs w:val="22"/>
                <w:lang w:eastAsia="en-GB"/>
              </w:rPr>
              <w:t>3</w:t>
            </w:r>
            <w:r w:rsidRPr="00815E72">
              <w:rPr>
                <w:rFonts w:ascii="Aptos Narrow" w:eastAsia="Times New Roman" w:hAnsi="Aptos Narrow" w:cs="Times New Roman"/>
                <w:b/>
                <w:bCs/>
                <w:color w:val="000000"/>
                <w:sz w:val="22"/>
                <w:szCs w:val="22"/>
                <w:lang w:eastAsia="en-GB"/>
              </w:rPr>
              <w:t>% Per Pupil Unit Rate Uplift</w:t>
            </w:r>
            <w:r w:rsidRPr="00815E72">
              <w:rPr>
                <w:rFonts w:ascii="Aptos Narrow" w:eastAsia="Times New Roman" w:hAnsi="Aptos Narrow" w:cs="Times New Roman"/>
                <w:b/>
                <w:bCs/>
                <w:color w:val="000000"/>
                <w:sz w:val="22"/>
                <w:szCs w:val="22"/>
                <w:lang w:eastAsia="en-GB"/>
              </w:rPr>
              <w:br/>
              <w:t>£</w:t>
            </w:r>
          </w:p>
        </w:tc>
        <w:tc>
          <w:tcPr>
            <w:tcW w:w="1610" w:type="dxa"/>
            <w:tcBorders>
              <w:top w:val="single" w:sz="4" w:space="0" w:color="auto"/>
              <w:left w:val="nil"/>
              <w:bottom w:val="nil"/>
              <w:right w:val="single" w:sz="4" w:space="0" w:color="auto"/>
            </w:tcBorders>
            <w:vAlign w:val="bottom"/>
            <w:hideMark/>
          </w:tcPr>
          <w:p w14:paraId="605842CE" w14:textId="57F7CC57" w:rsidR="00815E72" w:rsidRPr="00815E72" w:rsidRDefault="00815E72" w:rsidP="00815E72">
            <w:pPr>
              <w:jc w:val="center"/>
              <w:rPr>
                <w:rFonts w:ascii="Aptos Narrow" w:eastAsia="Times New Roman" w:hAnsi="Aptos Narrow" w:cs="Times New Roman"/>
                <w:b/>
                <w:bCs/>
                <w:color w:val="000000"/>
                <w:sz w:val="22"/>
                <w:szCs w:val="22"/>
                <w:lang w:eastAsia="en-GB"/>
              </w:rPr>
            </w:pPr>
            <w:r w:rsidRPr="00815E72">
              <w:rPr>
                <w:rFonts w:ascii="Aptos Narrow" w:eastAsia="Times New Roman" w:hAnsi="Aptos Narrow" w:cs="Times New Roman"/>
                <w:b/>
                <w:bCs/>
                <w:color w:val="000000"/>
                <w:sz w:val="22"/>
                <w:szCs w:val="22"/>
                <w:lang w:eastAsia="en-GB"/>
              </w:rPr>
              <w:t>Per Pupil Unit Rate Reduction</w:t>
            </w:r>
            <w:r w:rsidRPr="00815E72">
              <w:rPr>
                <w:rFonts w:ascii="Aptos Narrow" w:eastAsia="Times New Roman" w:hAnsi="Aptos Narrow" w:cs="Times New Roman"/>
                <w:b/>
                <w:bCs/>
                <w:color w:val="000000"/>
                <w:sz w:val="22"/>
                <w:szCs w:val="22"/>
                <w:lang w:eastAsia="en-GB"/>
              </w:rPr>
              <w:br/>
              <w:t>£</w:t>
            </w:r>
          </w:p>
        </w:tc>
        <w:tc>
          <w:tcPr>
            <w:tcW w:w="1134" w:type="dxa"/>
            <w:tcBorders>
              <w:top w:val="single" w:sz="4" w:space="0" w:color="auto"/>
              <w:left w:val="nil"/>
              <w:bottom w:val="nil"/>
              <w:right w:val="single" w:sz="4" w:space="0" w:color="auto"/>
            </w:tcBorders>
            <w:vAlign w:val="bottom"/>
            <w:hideMark/>
          </w:tcPr>
          <w:p w14:paraId="3507BD04" w14:textId="77777777" w:rsidR="00815E72" w:rsidRPr="00815E72" w:rsidRDefault="00815E72" w:rsidP="00815E72">
            <w:pPr>
              <w:jc w:val="center"/>
              <w:rPr>
                <w:rFonts w:ascii="Aptos Narrow" w:eastAsia="Times New Roman" w:hAnsi="Aptos Narrow" w:cs="Times New Roman"/>
                <w:b/>
                <w:bCs/>
                <w:color w:val="000000"/>
                <w:sz w:val="22"/>
                <w:szCs w:val="22"/>
                <w:lang w:eastAsia="en-GB"/>
              </w:rPr>
            </w:pPr>
            <w:r w:rsidRPr="00815E72">
              <w:rPr>
                <w:rFonts w:ascii="Aptos Narrow" w:eastAsia="Times New Roman" w:hAnsi="Aptos Narrow" w:cs="Times New Roman"/>
                <w:b/>
                <w:bCs/>
                <w:color w:val="000000"/>
                <w:sz w:val="22"/>
                <w:szCs w:val="22"/>
                <w:lang w:eastAsia="en-GB"/>
              </w:rPr>
              <w:t>Per Pupil Unit Rate</w:t>
            </w:r>
            <w:r w:rsidRPr="00815E72">
              <w:rPr>
                <w:rFonts w:ascii="Aptos Narrow" w:eastAsia="Times New Roman" w:hAnsi="Aptos Narrow" w:cs="Times New Roman"/>
                <w:b/>
                <w:bCs/>
                <w:color w:val="000000"/>
                <w:sz w:val="22"/>
                <w:szCs w:val="22"/>
                <w:lang w:eastAsia="en-GB"/>
              </w:rPr>
              <w:br/>
              <w:t>£</w:t>
            </w:r>
          </w:p>
        </w:tc>
      </w:tr>
      <w:tr w:rsidR="00815E72" w:rsidRPr="00815E72" w14:paraId="15A86FFE" w14:textId="77777777" w:rsidTr="00C341E8">
        <w:trPr>
          <w:trHeight w:val="77"/>
        </w:trPr>
        <w:tc>
          <w:tcPr>
            <w:tcW w:w="3500" w:type="dxa"/>
            <w:tcBorders>
              <w:top w:val="single" w:sz="4" w:space="0" w:color="auto"/>
              <w:left w:val="single" w:sz="4" w:space="0" w:color="auto"/>
              <w:bottom w:val="single" w:sz="4" w:space="0" w:color="auto"/>
              <w:right w:val="single" w:sz="4" w:space="0" w:color="auto"/>
            </w:tcBorders>
            <w:shd w:val="clear" w:color="000000" w:fill="595959"/>
            <w:noWrap/>
            <w:vAlign w:val="bottom"/>
            <w:hideMark/>
          </w:tcPr>
          <w:p w14:paraId="49D1A49E" w14:textId="77777777" w:rsidR="00815E72" w:rsidRPr="00815E72" w:rsidRDefault="00815E72" w:rsidP="00815E72">
            <w:pPr>
              <w:rPr>
                <w:rFonts w:ascii="Aptos Narrow" w:eastAsia="Times New Roman" w:hAnsi="Aptos Narrow" w:cs="Times New Roman"/>
                <w:color w:val="000000"/>
                <w:sz w:val="22"/>
                <w:szCs w:val="22"/>
                <w:lang w:eastAsia="en-GB"/>
              </w:rPr>
            </w:pPr>
            <w:r w:rsidRPr="00815E72">
              <w:rPr>
                <w:rFonts w:ascii="Aptos Narrow" w:eastAsia="Times New Roman" w:hAnsi="Aptos Narrow" w:cs="Times New Roman"/>
                <w:color w:val="000000"/>
                <w:sz w:val="22"/>
                <w:szCs w:val="22"/>
                <w:lang w:eastAsia="en-GB"/>
              </w:rPr>
              <w:t> </w:t>
            </w:r>
          </w:p>
        </w:tc>
        <w:tc>
          <w:tcPr>
            <w:tcW w:w="1300" w:type="dxa"/>
            <w:tcBorders>
              <w:top w:val="single" w:sz="4" w:space="0" w:color="auto"/>
              <w:left w:val="nil"/>
              <w:bottom w:val="single" w:sz="4" w:space="0" w:color="auto"/>
              <w:right w:val="single" w:sz="4" w:space="0" w:color="auto"/>
            </w:tcBorders>
            <w:shd w:val="clear" w:color="000000" w:fill="595959"/>
            <w:noWrap/>
            <w:vAlign w:val="bottom"/>
            <w:hideMark/>
          </w:tcPr>
          <w:p w14:paraId="0AA51CF7" w14:textId="77777777" w:rsidR="00815E72" w:rsidRPr="00815E72" w:rsidRDefault="00815E72" w:rsidP="00815E72">
            <w:pPr>
              <w:rPr>
                <w:rFonts w:ascii="Aptos Narrow" w:eastAsia="Times New Roman" w:hAnsi="Aptos Narrow" w:cs="Times New Roman"/>
                <w:color w:val="000000"/>
                <w:sz w:val="22"/>
                <w:szCs w:val="22"/>
                <w:lang w:eastAsia="en-GB"/>
              </w:rPr>
            </w:pPr>
            <w:r w:rsidRPr="00815E72">
              <w:rPr>
                <w:rFonts w:ascii="Aptos Narrow" w:eastAsia="Times New Roman" w:hAnsi="Aptos Narrow" w:cs="Times New Roman"/>
                <w:color w:val="000000"/>
                <w:sz w:val="22"/>
                <w:szCs w:val="22"/>
                <w:lang w:eastAsia="en-GB"/>
              </w:rPr>
              <w:t> </w:t>
            </w:r>
          </w:p>
        </w:tc>
        <w:tc>
          <w:tcPr>
            <w:tcW w:w="1240" w:type="dxa"/>
            <w:tcBorders>
              <w:top w:val="single" w:sz="4" w:space="0" w:color="auto"/>
              <w:left w:val="nil"/>
              <w:bottom w:val="single" w:sz="4" w:space="0" w:color="auto"/>
              <w:right w:val="single" w:sz="4" w:space="0" w:color="auto"/>
            </w:tcBorders>
            <w:shd w:val="clear" w:color="000000" w:fill="595959"/>
            <w:noWrap/>
            <w:vAlign w:val="bottom"/>
            <w:hideMark/>
          </w:tcPr>
          <w:p w14:paraId="7B54E1DB" w14:textId="77777777" w:rsidR="00815E72" w:rsidRPr="00815E72" w:rsidRDefault="00815E72" w:rsidP="00815E72">
            <w:pPr>
              <w:rPr>
                <w:rFonts w:ascii="Aptos Narrow" w:eastAsia="Times New Roman" w:hAnsi="Aptos Narrow" w:cs="Times New Roman"/>
                <w:color w:val="000000"/>
                <w:sz w:val="22"/>
                <w:szCs w:val="22"/>
                <w:lang w:eastAsia="en-GB"/>
              </w:rPr>
            </w:pPr>
            <w:r w:rsidRPr="00815E72">
              <w:rPr>
                <w:rFonts w:ascii="Aptos Narrow" w:eastAsia="Times New Roman" w:hAnsi="Aptos Narrow" w:cs="Times New Roman"/>
                <w:color w:val="000000"/>
                <w:sz w:val="22"/>
                <w:szCs w:val="22"/>
                <w:lang w:eastAsia="en-GB"/>
              </w:rPr>
              <w:t> </w:t>
            </w:r>
          </w:p>
        </w:tc>
        <w:tc>
          <w:tcPr>
            <w:tcW w:w="1610" w:type="dxa"/>
            <w:tcBorders>
              <w:top w:val="single" w:sz="4" w:space="0" w:color="auto"/>
              <w:left w:val="nil"/>
              <w:bottom w:val="single" w:sz="4" w:space="0" w:color="auto"/>
              <w:right w:val="single" w:sz="4" w:space="0" w:color="auto"/>
            </w:tcBorders>
            <w:shd w:val="clear" w:color="000000" w:fill="595959"/>
            <w:noWrap/>
            <w:vAlign w:val="bottom"/>
            <w:hideMark/>
          </w:tcPr>
          <w:p w14:paraId="02697C42" w14:textId="77777777" w:rsidR="00815E72" w:rsidRPr="00815E72" w:rsidRDefault="00815E72" w:rsidP="00815E72">
            <w:pPr>
              <w:rPr>
                <w:rFonts w:ascii="Aptos Narrow" w:eastAsia="Times New Roman" w:hAnsi="Aptos Narrow" w:cs="Times New Roman"/>
                <w:color w:val="000000"/>
                <w:sz w:val="22"/>
                <w:szCs w:val="22"/>
                <w:lang w:eastAsia="en-GB"/>
              </w:rPr>
            </w:pPr>
            <w:r w:rsidRPr="00815E72">
              <w:rPr>
                <w:rFonts w:ascii="Aptos Narrow" w:eastAsia="Times New Roman" w:hAnsi="Aptos Narrow" w:cs="Times New Roman"/>
                <w:color w:val="000000"/>
                <w:sz w:val="22"/>
                <w:szCs w:val="22"/>
                <w:lang w:eastAsia="en-GB"/>
              </w:rPr>
              <w:t> </w:t>
            </w:r>
          </w:p>
        </w:tc>
        <w:tc>
          <w:tcPr>
            <w:tcW w:w="1134" w:type="dxa"/>
            <w:tcBorders>
              <w:top w:val="single" w:sz="4" w:space="0" w:color="auto"/>
              <w:left w:val="nil"/>
              <w:bottom w:val="single" w:sz="4" w:space="0" w:color="auto"/>
              <w:right w:val="single" w:sz="4" w:space="0" w:color="auto"/>
            </w:tcBorders>
            <w:shd w:val="clear" w:color="000000" w:fill="595959"/>
            <w:noWrap/>
            <w:vAlign w:val="bottom"/>
            <w:hideMark/>
          </w:tcPr>
          <w:p w14:paraId="23D0A075" w14:textId="77777777" w:rsidR="00815E72" w:rsidRPr="00815E72" w:rsidRDefault="00815E72" w:rsidP="00815E72">
            <w:pPr>
              <w:rPr>
                <w:rFonts w:ascii="Aptos Narrow" w:eastAsia="Times New Roman" w:hAnsi="Aptos Narrow" w:cs="Times New Roman"/>
                <w:color w:val="000000"/>
                <w:sz w:val="22"/>
                <w:szCs w:val="22"/>
                <w:lang w:eastAsia="en-GB"/>
              </w:rPr>
            </w:pPr>
            <w:r w:rsidRPr="00815E72">
              <w:rPr>
                <w:rFonts w:ascii="Aptos Narrow" w:eastAsia="Times New Roman" w:hAnsi="Aptos Narrow" w:cs="Times New Roman"/>
                <w:color w:val="000000"/>
                <w:sz w:val="22"/>
                <w:szCs w:val="22"/>
                <w:lang w:eastAsia="en-GB"/>
              </w:rPr>
              <w:t> </w:t>
            </w:r>
          </w:p>
        </w:tc>
      </w:tr>
      <w:tr w:rsidR="00815E72" w:rsidRPr="00815E72" w14:paraId="15F9E98E" w14:textId="77777777" w:rsidTr="00C341E8">
        <w:trPr>
          <w:trHeight w:val="300"/>
        </w:trPr>
        <w:tc>
          <w:tcPr>
            <w:tcW w:w="3500" w:type="dxa"/>
            <w:tcBorders>
              <w:top w:val="nil"/>
              <w:left w:val="single" w:sz="4" w:space="0" w:color="auto"/>
              <w:bottom w:val="single" w:sz="4" w:space="0" w:color="auto"/>
              <w:right w:val="single" w:sz="4" w:space="0" w:color="auto"/>
            </w:tcBorders>
            <w:noWrap/>
            <w:vAlign w:val="bottom"/>
            <w:hideMark/>
          </w:tcPr>
          <w:p w14:paraId="79DD1253" w14:textId="77777777" w:rsidR="00815E72" w:rsidRPr="00815E72" w:rsidRDefault="00815E72" w:rsidP="00815E72">
            <w:pPr>
              <w:rPr>
                <w:rFonts w:ascii="Aptos Narrow" w:eastAsia="Times New Roman" w:hAnsi="Aptos Narrow" w:cs="Times New Roman"/>
                <w:color w:val="000000"/>
                <w:sz w:val="22"/>
                <w:szCs w:val="22"/>
                <w:lang w:eastAsia="en-GB"/>
              </w:rPr>
            </w:pPr>
            <w:r w:rsidRPr="00815E72">
              <w:rPr>
                <w:rFonts w:ascii="Aptos Narrow" w:eastAsia="Times New Roman" w:hAnsi="Aptos Narrow" w:cs="Times New Roman"/>
                <w:color w:val="000000"/>
                <w:sz w:val="22"/>
                <w:szCs w:val="22"/>
                <w:lang w:eastAsia="en-GB"/>
              </w:rPr>
              <w:t>Contingencies - Secondary</w:t>
            </w:r>
          </w:p>
        </w:tc>
        <w:tc>
          <w:tcPr>
            <w:tcW w:w="1300" w:type="dxa"/>
            <w:tcBorders>
              <w:top w:val="nil"/>
              <w:left w:val="nil"/>
              <w:bottom w:val="single" w:sz="4" w:space="0" w:color="auto"/>
              <w:right w:val="single" w:sz="4" w:space="0" w:color="auto"/>
            </w:tcBorders>
            <w:noWrap/>
            <w:vAlign w:val="bottom"/>
            <w:hideMark/>
          </w:tcPr>
          <w:p w14:paraId="3114FD0E" w14:textId="77777777" w:rsidR="00815E72" w:rsidRPr="00815E72" w:rsidRDefault="00815E72" w:rsidP="00815E72">
            <w:pPr>
              <w:jc w:val="center"/>
              <w:rPr>
                <w:rFonts w:ascii="Aptos Narrow" w:eastAsia="Times New Roman" w:hAnsi="Aptos Narrow" w:cs="Times New Roman"/>
                <w:color w:val="000000"/>
                <w:sz w:val="22"/>
                <w:szCs w:val="22"/>
                <w:lang w:eastAsia="en-GB"/>
              </w:rPr>
            </w:pPr>
            <w:r w:rsidRPr="00815E72">
              <w:rPr>
                <w:rFonts w:ascii="Aptos Narrow" w:eastAsia="Times New Roman" w:hAnsi="Aptos Narrow" w:cs="Times New Roman"/>
                <w:color w:val="000000"/>
                <w:sz w:val="22"/>
                <w:szCs w:val="22"/>
                <w:lang w:eastAsia="en-GB"/>
              </w:rPr>
              <w:t>16.32</w:t>
            </w:r>
          </w:p>
        </w:tc>
        <w:tc>
          <w:tcPr>
            <w:tcW w:w="1240" w:type="dxa"/>
            <w:tcBorders>
              <w:top w:val="nil"/>
              <w:left w:val="nil"/>
              <w:bottom w:val="single" w:sz="4" w:space="0" w:color="auto"/>
              <w:right w:val="single" w:sz="4" w:space="0" w:color="auto"/>
            </w:tcBorders>
            <w:noWrap/>
            <w:vAlign w:val="bottom"/>
            <w:hideMark/>
          </w:tcPr>
          <w:p w14:paraId="0D3CC227" w14:textId="1C178888" w:rsidR="00815E72" w:rsidRPr="00815E72" w:rsidRDefault="00815E72" w:rsidP="00815E72">
            <w:pPr>
              <w:jc w:val="center"/>
              <w:rPr>
                <w:rFonts w:ascii="Aptos Narrow" w:eastAsia="Times New Roman" w:hAnsi="Aptos Narrow" w:cs="Times New Roman"/>
                <w:color w:val="000000"/>
                <w:sz w:val="22"/>
                <w:szCs w:val="22"/>
                <w:lang w:eastAsia="en-GB"/>
              </w:rPr>
            </w:pPr>
            <w:r w:rsidRPr="00815E72">
              <w:rPr>
                <w:rFonts w:ascii="Aptos Narrow" w:eastAsia="Times New Roman" w:hAnsi="Aptos Narrow" w:cs="Times New Roman"/>
                <w:color w:val="000000"/>
                <w:sz w:val="22"/>
                <w:szCs w:val="22"/>
                <w:lang w:eastAsia="en-GB"/>
              </w:rPr>
              <w:t>0.8</w:t>
            </w:r>
            <w:r w:rsidR="00615D69">
              <w:rPr>
                <w:rFonts w:ascii="Aptos Narrow" w:eastAsia="Times New Roman" w:hAnsi="Aptos Narrow" w:cs="Times New Roman"/>
                <w:color w:val="000000"/>
                <w:sz w:val="22"/>
                <w:szCs w:val="22"/>
                <w:lang w:eastAsia="en-GB"/>
              </w:rPr>
              <w:t>6</w:t>
            </w:r>
          </w:p>
        </w:tc>
        <w:tc>
          <w:tcPr>
            <w:tcW w:w="1610" w:type="dxa"/>
            <w:tcBorders>
              <w:top w:val="nil"/>
              <w:left w:val="nil"/>
              <w:bottom w:val="single" w:sz="4" w:space="0" w:color="auto"/>
              <w:right w:val="single" w:sz="4" w:space="0" w:color="auto"/>
            </w:tcBorders>
            <w:noWrap/>
            <w:vAlign w:val="bottom"/>
            <w:hideMark/>
          </w:tcPr>
          <w:p w14:paraId="6EF11141" w14:textId="73D2716C" w:rsidR="00815E72" w:rsidRPr="00815E72" w:rsidRDefault="00815E72" w:rsidP="00815E72">
            <w:pPr>
              <w:jc w:val="center"/>
              <w:rPr>
                <w:rFonts w:ascii="Aptos Narrow" w:eastAsia="Times New Roman" w:hAnsi="Aptos Narrow" w:cs="Times New Roman"/>
                <w:color w:val="000000"/>
                <w:sz w:val="22"/>
                <w:szCs w:val="22"/>
                <w:lang w:eastAsia="en-GB"/>
              </w:rPr>
            </w:pPr>
          </w:p>
        </w:tc>
        <w:tc>
          <w:tcPr>
            <w:tcW w:w="1134" w:type="dxa"/>
            <w:tcBorders>
              <w:top w:val="nil"/>
              <w:left w:val="nil"/>
              <w:bottom w:val="single" w:sz="4" w:space="0" w:color="auto"/>
              <w:right w:val="single" w:sz="4" w:space="0" w:color="auto"/>
            </w:tcBorders>
            <w:noWrap/>
            <w:vAlign w:val="bottom"/>
            <w:hideMark/>
          </w:tcPr>
          <w:p w14:paraId="312FE892" w14:textId="717F2413" w:rsidR="00815E72" w:rsidRPr="00815E72" w:rsidRDefault="00815E72" w:rsidP="00815E72">
            <w:pPr>
              <w:jc w:val="center"/>
              <w:rPr>
                <w:rFonts w:ascii="Aptos Narrow" w:eastAsia="Times New Roman" w:hAnsi="Aptos Narrow" w:cs="Times New Roman"/>
                <w:color w:val="000000"/>
                <w:sz w:val="22"/>
                <w:szCs w:val="22"/>
                <w:lang w:eastAsia="en-GB"/>
              </w:rPr>
            </w:pPr>
            <w:r w:rsidRPr="00815E72">
              <w:rPr>
                <w:rFonts w:ascii="Aptos Narrow" w:eastAsia="Times New Roman" w:hAnsi="Aptos Narrow" w:cs="Times New Roman"/>
                <w:color w:val="000000"/>
                <w:sz w:val="22"/>
                <w:szCs w:val="22"/>
                <w:lang w:eastAsia="en-GB"/>
              </w:rPr>
              <w:t>17.1</w:t>
            </w:r>
            <w:r w:rsidR="00615D69">
              <w:rPr>
                <w:rFonts w:ascii="Aptos Narrow" w:eastAsia="Times New Roman" w:hAnsi="Aptos Narrow" w:cs="Times New Roman"/>
                <w:color w:val="000000"/>
                <w:sz w:val="22"/>
                <w:szCs w:val="22"/>
                <w:lang w:eastAsia="en-GB"/>
              </w:rPr>
              <w:t>8</w:t>
            </w:r>
          </w:p>
        </w:tc>
      </w:tr>
      <w:tr w:rsidR="00815E72" w:rsidRPr="00815E72" w14:paraId="3D136C03" w14:textId="77777777" w:rsidTr="00C341E8">
        <w:trPr>
          <w:trHeight w:val="300"/>
        </w:trPr>
        <w:tc>
          <w:tcPr>
            <w:tcW w:w="3500" w:type="dxa"/>
            <w:tcBorders>
              <w:top w:val="nil"/>
              <w:left w:val="single" w:sz="4" w:space="0" w:color="auto"/>
              <w:bottom w:val="single" w:sz="4" w:space="0" w:color="auto"/>
              <w:right w:val="single" w:sz="4" w:space="0" w:color="auto"/>
            </w:tcBorders>
            <w:noWrap/>
            <w:vAlign w:val="bottom"/>
            <w:hideMark/>
          </w:tcPr>
          <w:p w14:paraId="2F81AF20" w14:textId="77777777" w:rsidR="00815E72" w:rsidRPr="00815E72" w:rsidRDefault="00815E72" w:rsidP="00815E72">
            <w:pPr>
              <w:rPr>
                <w:rFonts w:ascii="Aptos Narrow" w:eastAsia="Times New Roman" w:hAnsi="Aptos Narrow" w:cs="Times New Roman"/>
                <w:color w:val="000000"/>
                <w:sz w:val="22"/>
                <w:szCs w:val="22"/>
                <w:lang w:eastAsia="en-GB"/>
              </w:rPr>
            </w:pPr>
            <w:r w:rsidRPr="00815E72">
              <w:rPr>
                <w:rFonts w:ascii="Aptos Narrow" w:eastAsia="Times New Roman" w:hAnsi="Aptos Narrow" w:cs="Times New Roman"/>
                <w:color w:val="000000"/>
                <w:sz w:val="22"/>
                <w:szCs w:val="22"/>
                <w:lang w:eastAsia="en-GB"/>
              </w:rPr>
              <w:t>School Facilities - Secondary</w:t>
            </w:r>
          </w:p>
        </w:tc>
        <w:tc>
          <w:tcPr>
            <w:tcW w:w="1300" w:type="dxa"/>
            <w:tcBorders>
              <w:top w:val="nil"/>
              <w:left w:val="nil"/>
              <w:bottom w:val="single" w:sz="4" w:space="0" w:color="auto"/>
              <w:right w:val="single" w:sz="4" w:space="0" w:color="auto"/>
            </w:tcBorders>
            <w:noWrap/>
            <w:vAlign w:val="bottom"/>
            <w:hideMark/>
          </w:tcPr>
          <w:p w14:paraId="1D281D7E" w14:textId="77777777" w:rsidR="00815E72" w:rsidRPr="00815E72" w:rsidRDefault="00815E72" w:rsidP="00815E72">
            <w:pPr>
              <w:jc w:val="center"/>
              <w:rPr>
                <w:rFonts w:ascii="Aptos Narrow" w:eastAsia="Times New Roman" w:hAnsi="Aptos Narrow" w:cs="Times New Roman"/>
                <w:color w:val="000000"/>
                <w:sz w:val="22"/>
                <w:szCs w:val="22"/>
                <w:lang w:eastAsia="en-GB"/>
              </w:rPr>
            </w:pPr>
            <w:r w:rsidRPr="00815E72">
              <w:rPr>
                <w:rFonts w:ascii="Aptos Narrow" w:eastAsia="Times New Roman" w:hAnsi="Aptos Narrow" w:cs="Times New Roman"/>
                <w:color w:val="000000"/>
                <w:sz w:val="22"/>
                <w:szCs w:val="22"/>
                <w:lang w:eastAsia="en-GB"/>
              </w:rPr>
              <w:t>3.81</w:t>
            </w:r>
          </w:p>
        </w:tc>
        <w:tc>
          <w:tcPr>
            <w:tcW w:w="1240" w:type="dxa"/>
            <w:tcBorders>
              <w:top w:val="nil"/>
              <w:left w:val="nil"/>
              <w:bottom w:val="single" w:sz="4" w:space="0" w:color="auto"/>
              <w:right w:val="single" w:sz="4" w:space="0" w:color="auto"/>
            </w:tcBorders>
            <w:noWrap/>
            <w:vAlign w:val="bottom"/>
            <w:hideMark/>
          </w:tcPr>
          <w:p w14:paraId="27002D76" w14:textId="4C4171DA" w:rsidR="00815E72" w:rsidRPr="00815E72" w:rsidRDefault="00815E72" w:rsidP="00815E72">
            <w:pPr>
              <w:jc w:val="center"/>
              <w:rPr>
                <w:rFonts w:ascii="Aptos Narrow" w:eastAsia="Times New Roman" w:hAnsi="Aptos Narrow" w:cs="Times New Roman"/>
                <w:color w:val="000000"/>
                <w:sz w:val="22"/>
                <w:szCs w:val="22"/>
                <w:lang w:eastAsia="en-GB"/>
              </w:rPr>
            </w:pPr>
          </w:p>
        </w:tc>
        <w:tc>
          <w:tcPr>
            <w:tcW w:w="1610" w:type="dxa"/>
            <w:tcBorders>
              <w:top w:val="nil"/>
              <w:left w:val="nil"/>
              <w:bottom w:val="single" w:sz="4" w:space="0" w:color="auto"/>
              <w:right w:val="single" w:sz="4" w:space="0" w:color="auto"/>
            </w:tcBorders>
            <w:noWrap/>
            <w:vAlign w:val="bottom"/>
            <w:hideMark/>
          </w:tcPr>
          <w:p w14:paraId="4CDCD4AB" w14:textId="05B99AF4" w:rsidR="00815E72" w:rsidRPr="00815E72" w:rsidRDefault="00815E72" w:rsidP="00815E72">
            <w:pPr>
              <w:jc w:val="center"/>
              <w:rPr>
                <w:rFonts w:ascii="Aptos Narrow" w:eastAsia="Times New Roman" w:hAnsi="Aptos Narrow" w:cs="Times New Roman"/>
                <w:color w:val="000000"/>
                <w:sz w:val="22"/>
                <w:szCs w:val="22"/>
                <w:lang w:eastAsia="en-GB"/>
              </w:rPr>
            </w:pPr>
            <w:r w:rsidRPr="00815E72">
              <w:rPr>
                <w:rFonts w:ascii="Aptos Narrow" w:eastAsia="Times New Roman" w:hAnsi="Aptos Narrow" w:cs="Times New Roman"/>
                <w:color w:val="FF0000"/>
                <w:sz w:val="22"/>
                <w:szCs w:val="22"/>
                <w:lang w:eastAsia="en-GB"/>
              </w:rPr>
              <w:t>(1.49)</w:t>
            </w:r>
          </w:p>
        </w:tc>
        <w:tc>
          <w:tcPr>
            <w:tcW w:w="1134" w:type="dxa"/>
            <w:tcBorders>
              <w:top w:val="nil"/>
              <w:left w:val="nil"/>
              <w:bottom w:val="single" w:sz="4" w:space="0" w:color="auto"/>
              <w:right w:val="single" w:sz="4" w:space="0" w:color="auto"/>
            </w:tcBorders>
            <w:noWrap/>
            <w:vAlign w:val="bottom"/>
            <w:hideMark/>
          </w:tcPr>
          <w:p w14:paraId="4ED784EE" w14:textId="39CB13EE" w:rsidR="00815E72" w:rsidRPr="00815E72" w:rsidRDefault="00815E72" w:rsidP="00815E72">
            <w:pPr>
              <w:jc w:val="center"/>
              <w:rPr>
                <w:rFonts w:ascii="Aptos Narrow" w:eastAsia="Times New Roman" w:hAnsi="Aptos Narrow" w:cs="Times New Roman"/>
                <w:color w:val="000000"/>
                <w:sz w:val="22"/>
                <w:szCs w:val="22"/>
                <w:lang w:eastAsia="en-GB"/>
              </w:rPr>
            </w:pPr>
            <w:r w:rsidRPr="00815E72">
              <w:rPr>
                <w:rFonts w:ascii="Aptos Narrow" w:eastAsia="Times New Roman" w:hAnsi="Aptos Narrow" w:cs="Times New Roman"/>
                <w:color w:val="000000"/>
                <w:sz w:val="22"/>
                <w:szCs w:val="22"/>
                <w:lang w:eastAsia="en-GB"/>
              </w:rPr>
              <w:t>2.32</w:t>
            </w:r>
          </w:p>
        </w:tc>
      </w:tr>
    </w:tbl>
    <w:p w14:paraId="5C22E32F" w14:textId="77777777" w:rsidR="009222AD" w:rsidRDefault="009222AD" w:rsidP="00DC0B8E">
      <w:pPr>
        <w:jc w:val="both"/>
        <w:rPr>
          <w:rFonts w:eastAsia="Times New Roman"/>
          <w:lang w:eastAsia="en-GB"/>
        </w:rPr>
      </w:pPr>
    </w:p>
    <w:p w14:paraId="7F851584" w14:textId="08AFF864" w:rsidR="00D23208" w:rsidRDefault="0046664B" w:rsidP="00DC0B8E">
      <w:pPr>
        <w:jc w:val="both"/>
        <w:rPr>
          <w:rFonts w:eastAsia="Times New Roman"/>
          <w:lang w:eastAsia="en-GB"/>
        </w:rPr>
      </w:pPr>
      <w:r>
        <w:rPr>
          <w:rFonts w:eastAsia="Times New Roman"/>
          <w:lang w:eastAsia="en-GB"/>
        </w:rPr>
        <w:t>The de-delegated funding is used to provide the following services to schools:</w:t>
      </w:r>
    </w:p>
    <w:p w14:paraId="564A866D" w14:textId="77777777" w:rsidR="0046664B" w:rsidRDefault="0046664B" w:rsidP="00DC0B8E">
      <w:pPr>
        <w:jc w:val="both"/>
        <w:rPr>
          <w:rFonts w:eastAsia="Times New Roman"/>
          <w:lang w:eastAsia="en-GB"/>
        </w:rPr>
      </w:pPr>
    </w:p>
    <w:p w14:paraId="0BE323AE" w14:textId="7DC7ABDF" w:rsidR="0046664B" w:rsidRPr="004D6260" w:rsidRDefault="0046664B" w:rsidP="004D6260">
      <w:pPr>
        <w:rPr>
          <w:rFonts w:eastAsia="Times New Roman"/>
          <w:b/>
          <w:bCs/>
          <w:lang w:eastAsia="en-GB"/>
        </w:rPr>
      </w:pPr>
      <w:r w:rsidRPr="004D6260">
        <w:rPr>
          <w:rFonts w:eastAsia="Times New Roman"/>
          <w:b/>
          <w:bCs/>
          <w:lang w:eastAsia="en-GB"/>
        </w:rPr>
        <w:t>Contingency</w:t>
      </w:r>
    </w:p>
    <w:p w14:paraId="1D37648F" w14:textId="32C54A43" w:rsidR="0046664B" w:rsidRDefault="0046664B" w:rsidP="00DC0B8E">
      <w:pPr>
        <w:jc w:val="both"/>
        <w:rPr>
          <w:rFonts w:eastAsia="Times New Roman"/>
          <w:lang w:eastAsia="en-GB"/>
        </w:rPr>
      </w:pPr>
      <w:r>
        <w:rPr>
          <w:rFonts w:eastAsia="Times New Roman"/>
          <w:lang w:eastAsia="en-GB"/>
        </w:rPr>
        <w:t>A contingency budget is held centrally for maintained schools to access in the following circumstances:</w:t>
      </w:r>
    </w:p>
    <w:p w14:paraId="113BD61B" w14:textId="70B91CE8" w:rsidR="0046664B" w:rsidRDefault="0046664B" w:rsidP="0046664B">
      <w:pPr>
        <w:pStyle w:val="ListParagraph"/>
        <w:numPr>
          <w:ilvl w:val="0"/>
          <w:numId w:val="42"/>
        </w:numPr>
        <w:jc w:val="both"/>
        <w:rPr>
          <w:rFonts w:eastAsia="Times New Roman"/>
          <w:lang w:eastAsia="en-GB"/>
        </w:rPr>
      </w:pPr>
      <w:r>
        <w:rPr>
          <w:rFonts w:eastAsia="Times New Roman"/>
          <w:lang w:eastAsia="en-GB"/>
        </w:rPr>
        <w:lastRenderedPageBreak/>
        <w:t>Exceptional unforeseen costs</w:t>
      </w:r>
    </w:p>
    <w:p w14:paraId="1E335DCC" w14:textId="0A962E88" w:rsidR="0046664B" w:rsidRDefault="0046664B" w:rsidP="0046664B">
      <w:pPr>
        <w:pStyle w:val="ListParagraph"/>
        <w:numPr>
          <w:ilvl w:val="0"/>
          <w:numId w:val="42"/>
        </w:numPr>
        <w:jc w:val="both"/>
        <w:rPr>
          <w:rFonts w:eastAsia="Times New Roman"/>
          <w:lang w:eastAsia="en-GB"/>
        </w:rPr>
      </w:pPr>
      <w:r>
        <w:rPr>
          <w:rFonts w:eastAsia="Times New Roman"/>
          <w:lang w:eastAsia="en-GB"/>
        </w:rPr>
        <w:t>Schools in financial difficulty</w:t>
      </w:r>
    </w:p>
    <w:p w14:paraId="62332473" w14:textId="26EE4574" w:rsidR="0046664B" w:rsidRDefault="0046664B" w:rsidP="0046664B">
      <w:pPr>
        <w:pStyle w:val="ListParagraph"/>
        <w:numPr>
          <w:ilvl w:val="0"/>
          <w:numId w:val="42"/>
        </w:numPr>
        <w:jc w:val="both"/>
        <w:rPr>
          <w:rFonts w:eastAsia="Times New Roman"/>
          <w:lang w:eastAsia="en-GB"/>
        </w:rPr>
      </w:pPr>
      <w:r>
        <w:rPr>
          <w:rFonts w:eastAsia="Times New Roman"/>
          <w:lang w:eastAsia="en-GB"/>
        </w:rPr>
        <w:t>Deficits of closing schools</w:t>
      </w:r>
    </w:p>
    <w:p w14:paraId="644BC981" w14:textId="77777777" w:rsidR="0046664B" w:rsidRDefault="0046664B" w:rsidP="0046664B">
      <w:pPr>
        <w:jc w:val="both"/>
        <w:rPr>
          <w:rFonts w:eastAsia="Times New Roman"/>
          <w:lang w:eastAsia="en-GB"/>
        </w:rPr>
      </w:pPr>
    </w:p>
    <w:p w14:paraId="27B13971" w14:textId="144D6BD1" w:rsidR="0046664B" w:rsidRPr="004D6260" w:rsidRDefault="006C52F1" w:rsidP="004D6260">
      <w:pPr>
        <w:rPr>
          <w:rFonts w:eastAsia="Times New Roman"/>
          <w:b/>
          <w:bCs/>
          <w:lang w:eastAsia="en-GB"/>
        </w:rPr>
      </w:pPr>
      <w:r w:rsidRPr="004D6260">
        <w:rPr>
          <w:rFonts w:eastAsia="Times New Roman"/>
          <w:b/>
          <w:bCs/>
          <w:lang w:eastAsia="en-GB"/>
        </w:rPr>
        <w:t>School Facilities</w:t>
      </w:r>
    </w:p>
    <w:p w14:paraId="011AC965" w14:textId="77777777" w:rsidR="009C32E4" w:rsidRPr="00E31E2C" w:rsidRDefault="009C32E4" w:rsidP="009C32E4">
      <w:pPr>
        <w:numPr>
          <w:ilvl w:val="0"/>
          <w:numId w:val="43"/>
        </w:numPr>
        <w:jc w:val="both"/>
        <w:rPr>
          <w:rFonts w:cs="Arial"/>
        </w:rPr>
      </w:pPr>
      <w:r w:rsidRPr="00E31E2C">
        <w:rPr>
          <w:rFonts w:cs="Arial"/>
        </w:rPr>
        <w:t>Carrying out trade union duties or undergoing training under </w:t>
      </w:r>
      <w:hyperlink r:id="rId15" w:history="1">
        <w:r w:rsidRPr="00E31E2C">
          <w:rPr>
            <w:rStyle w:val="Hyperlink"/>
            <w:rFonts w:cs="Arial"/>
          </w:rPr>
          <w:t>section 168 and 168A of the Trade Union and Labour Relations (Consolidation) Act 1992</w:t>
        </w:r>
      </w:hyperlink>
    </w:p>
    <w:p w14:paraId="7BACD77E" w14:textId="77777777" w:rsidR="009C32E4" w:rsidRPr="00E31E2C" w:rsidRDefault="009C32E4" w:rsidP="009C32E4">
      <w:pPr>
        <w:numPr>
          <w:ilvl w:val="0"/>
          <w:numId w:val="43"/>
        </w:numPr>
        <w:jc w:val="both"/>
        <w:rPr>
          <w:rFonts w:cs="Arial"/>
        </w:rPr>
      </w:pPr>
      <w:r w:rsidRPr="00E31E2C">
        <w:rPr>
          <w:rFonts w:cs="Arial"/>
        </w:rPr>
        <w:t>taking part in trade union activities under </w:t>
      </w:r>
      <w:hyperlink r:id="rId16" w:history="1">
        <w:r w:rsidRPr="00E31E2C">
          <w:rPr>
            <w:rStyle w:val="Hyperlink"/>
            <w:rFonts w:cs="Arial"/>
          </w:rPr>
          <w:t>section 170 of the Trade Union and Labour Relations (Consolidation) Act 1992</w:t>
        </w:r>
      </w:hyperlink>
      <w:r w:rsidRPr="00E31E2C">
        <w:rPr>
          <w:rFonts w:cs="Arial"/>
        </w:rPr>
        <w:t> (although such activities should attract unpaid time off)</w:t>
      </w:r>
    </w:p>
    <w:p w14:paraId="30D3F8A2" w14:textId="77777777" w:rsidR="009C32E4" w:rsidRPr="00E31E2C" w:rsidRDefault="009C32E4" w:rsidP="009C32E4">
      <w:pPr>
        <w:numPr>
          <w:ilvl w:val="0"/>
          <w:numId w:val="43"/>
        </w:numPr>
        <w:jc w:val="both"/>
        <w:rPr>
          <w:rFonts w:cs="Arial"/>
        </w:rPr>
      </w:pPr>
      <w:r w:rsidRPr="00E31E2C">
        <w:rPr>
          <w:rFonts w:cs="Arial"/>
        </w:rPr>
        <w:t>who are officials of a recognised trade union acting as safety representatives under the </w:t>
      </w:r>
      <w:hyperlink r:id="rId17" w:history="1">
        <w:r w:rsidRPr="00E31E2C">
          <w:rPr>
            <w:rStyle w:val="Hyperlink"/>
            <w:rFonts w:cs="Arial"/>
          </w:rPr>
          <w:t>Safety Representatives and Safety Committee Regulations 1977</w:t>
        </w:r>
      </w:hyperlink>
    </w:p>
    <w:p w14:paraId="4EF6279B" w14:textId="77777777" w:rsidR="009C32E4" w:rsidRPr="00E31E2C" w:rsidRDefault="009C32E4" w:rsidP="009C32E4">
      <w:pPr>
        <w:numPr>
          <w:ilvl w:val="0"/>
          <w:numId w:val="43"/>
        </w:numPr>
        <w:jc w:val="both"/>
        <w:rPr>
          <w:rFonts w:cs="Arial"/>
        </w:rPr>
      </w:pPr>
      <w:r w:rsidRPr="00E31E2C">
        <w:rPr>
          <w:rFonts w:cs="Arial"/>
        </w:rPr>
        <w:t>who are officials of a recognised trade union acting as employee representatives for the purposes of Chapter II of Part IV of the </w:t>
      </w:r>
      <w:hyperlink r:id="rId18" w:history="1">
        <w:r w:rsidRPr="00E31E2C">
          <w:rPr>
            <w:rStyle w:val="Hyperlink"/>
            <w:rFonts w:cs="Arial"/>
          </w:rPr>
          <w:t>Trade Union and Labour Relations (Consolidation) Act 1992</w:t>
        </w:r>
      </w:hyperlink>
      <w:r w:rsidRPr="00E31E2C">
        <w:rPr>
          <w:rFonts w:cs="Arial"/>
        </w:rPr>
        <w:t> as defined in section 196 of that Act or </w:t>
      </w:r>
      <w:hyperlink r:id="rId19" w:history="1">
        <w:r w:rsidRPr="00E31E2C">
          <w:rPr>
            <w:rStyle w:val="Hyperlink"/>
            <w:rFonts w:cs="Arial"/>
          </w:rPr>
          <w:t>regulation 13 (3) of the Transfer of Undertakings(Protection of Employment) Regulations 2006</w:t>
        </w:r>
      </w:hyperlink>
    </w:p>
    <w:p w14:paraId="545A4D75" w14:textId="77777777" w:rsidR="009C32E4" w:rsidRPr="00E31E2C" w:rsidRDefault="009C32E4" w:rsidP="009C32E4">
      <w:pPr>
        <w:numPr>
          <w:ilvl w:val="0"/>
          <w:numId w:val="43"/>
        </w:numPr>
        <w:jc w:val="both"/>
        <w:rPr>
          <w:rFonts w:cs="Arial"/>
        </w:rPr>
      </w:pPr>
      <w:r w:rsidRPr="00E31E2C">
        <w:rPr>
          <w:rFonts w:cs="Arial"/>
        </w:rPr>
        <w:t>who are appointed learning representatives of recognised trade unions under </w:t>
      </w:r>
      <w:hyperlink r:id="rId20" w:history="1">
        <w:r w:rsidRPr="00E31E2C">
          <w:rPr>
            <w:rStyle w:val="Hyperlink"/>
            <w:rFonts w:cs="Arial"/>
          </w:rPr>
          <w:t>section 168A of the Trade Union and Labour Relations (Consolidation) Act 1992</w:t>
        </w:r>
      </w:hyperlink>
      <w:r w:rsidRPr="00E31E2C">
        <w:rPr>
          <w:rFonts w:cs="Arial"/>
        </w:rPr>
        <w:t>, in order for them to analyse training requirements or to provide or promote training opportunities, and to carry out consultative or preparatory work in connection with such functions</w:t>
      </w:r>
    </w:p>
    <w:p w14:paraId="72F5FA30" w14:textId="77777777" w:rsidR="006C52F1" w:rsidRDefault="006C52F1" w:rsidP="0046664B">
      <w:pPr>
        <w:jc w:val="both"/>
        <w:rPr>
          <w:rFonts w:eastAsia="Times New Roman"/>
          <w:lang w:eastAsia="en-GB"/>
        </w:rPr>
      </w:pPr>
    </w:p>
    <w:p w14:paraId="76E4F4FC" w14:textId="34829ACB" w:rsidR="009C32E4" w:rsidRPr="004D6260" w:rsidRDefault="009C32E4" w:rsidP="004D6260">
      <w:pPr>
        <w:rPr>
          <w:rFonts w:eastAsia="Times New Roman"/>
          <w:b/>
          <w:bCs/>
          <w:lang w:eastAsia="en-GB"/>
        </w:rPr>
      </w:pPr>
      <w:r w:rsidRPr="004D6260">
        <w:rPr>
          <w:rFonts w:eastAsia="Times New Roman"/>
          <w:b/>
          <w:bCs/>
          <w:lang w:eastAsia="en-GB"/>
        </w:rPr>
        <w:t>Behaviour Support</w:t>
      </w:r>
    </w:p>
    <w:p w14:paraId="734D878A" w14:textId="53BB3EA9" w:rsidR="009C32E4" w:rsidRDefault="009C32E4" w:rsidP="0046664B">
      <w:pPr>
        <w:jc w:val="both"/>
        <w:rPr>
          <w:rFonts w:eastAsia="Times New Roman"/>
          <w:lang w:eastAsia="en-GB"/>
        </w:rPr>
      </w:pPr>
      <w:r>
        <w:rPr>
          <w:rFonts w:eastAsia="Times New Roman"/>
          <w:lang w:eastAsia="en-GB"/>
        </w:rPr>
        <w:t xml:space="preserve">The cost of providing or purchasing specialist behaviour support services, both advisory and teaching. Funding is allocated to the City of Birmingham School. </w:t>
      </w:r>
    </w:p>
    <w:p w14:paraId="5F1E39F5" w14:textId="77777777" w:rsidR="009C32E4" w:rsidRDefault="009C32E4" w:rsidP="0046664B">
      <w:pPr>
        <w:jc w:val="both"/>
        <w:rPr>
          <w:rFonts w:eastAsia="Times New Roman"/>
          <w:lang w:eastAsia="en-GB"/>
        </w:rPr>
      </w:pPr>
    </w:p>
    <w:p w14:paraId="627A264C" w14:textId="18CBB6CC" w:rsidR="009C32E4" w:rsidRPr="0060733B" w:rsidRDefault="0060733B" w:rsidP="0060733B">
      <w:pPr>
        <w:pStyle w:val="Heading1"/>
        <w:rPr>
          <w:rFonts w:eastAsia="Times New Roman" w:cs="Arial"/>
          <w:b/>
          <w:bCs/>
          <w:sz w:val="28"/>
          <w:szCs w:val="28"/>
          <w:lang w:eastAsia="en-GB"/>
        </w:rPr>
      </w:pPr>
      <w:bookmarkStart w:id="18" w:name="_Toc222494852"/>
      <w:r w:rsidRPr="0060733B">
        <w:rPr>
          <w:rFonts w:eastAsia="Times New Roman" w:cs="Arial"/>
          <w:b/>
          <w:bCs/>
          <w:sz w:val="28"/>
          <w:szCs w:val="28"/>
          <w:lang w:eastAsia="en-GB"/>
        </w:rPr>
        <w:t>Additional Information</w:t>
      </w:r>
      <w:bookmarkEnd w:id="18"/>
    </w:p>
    <w:p w14:paraId="10436252" w14:textId="77777777" w:rsidR="0060733B" w:rsidRDefault="0060733B" w:rsidP="0046664B">
      <w:pPr>
        <w:jc w:val="both"/>
        <w:rPr>
          <w:rFonts w:eastAsia="Times New Roman"/>
          <w:lang w:eastAsia="en-GB"/>
        </w:rPr>
      </w:pPr>
    </w:p>
    <w:p w14:paraId="72143DC7" w14:textId="71EC71CB" w:rsidR="00233D6A" w:rsidRPr="004D6260" w:rsidRDefault="00233D6A" w:rsidP="004D6260">
      <w:pPr>
        <w:rPr>
          <w:rFonts w:eastAsia="Times New Roman"/>
          <w:b/>
          <w:bCs/>
          <w:lang w:eastAsia="en-GB"/>
        </w:rPr>
      </w:pPr>
      <w:r w:rsidRPr="004D6260">
        <w:rPr>
          <w:rFonts w:eastAsia="Times New Roman"/>
          <w:b/>
          <w:bCs/>
          <w:lang w:eastAsia="en-GB"/>
        </w:rPr>
        <w:t>Notional SEN Budget</w:t>
      </w:r>
    </w:p>
    <w:p w14:paraId="385608CA" w14:textId="402B381F" w:rsidR="00233D6A" w:rsidRDefault="00123D18" w:rsidP="0046664B">
      <w:pPr>
        <w:jc w:val="both"/>
        <w:rPr>
          <w:rFonts w:eastAsia="Times New Roman"/>
          <w:lang w:eastAsia="en-GB"/>
        </w:rPr>
      </w:pPr>
      <w:r>
        <w:rPr>
          <w:rFonts w:eastAsia="Times New Roman"/>
          <w:lang w:eastAsia="en-GB"/>
        </w:rPr>
        <w:t xml:space="preserve">The notional SEN budget is the element of a school’s delegated budget allocates for its SEN provision. This is calculated on an annual basis and will not change during the financial year regardless of any children with SEN joining or leaving the school during the year. </w:t>
      </w:r>
    </w:p>
    <w:p w14:paraId="1D6FBC65" w14:textId="77777777" w:rsidR="00123D18" w:rsidRDefault="00123D18" w:rsidP="0046664B">
      <w:pPr>
        <w:jc w:val="both"/>
        <w:rPr>
          <w:rFonts w:eastAsia="Times New Roman"/>
          <w:lang w:eastAsia="en-GB"/>
        </w:rPr>
      </w:pPr>
    </w:p>
    <w:p w14:paraId="7424612B" w14:textId="42B25ED4" w:rsidR="00123D18" w:rsidRDefault="00123D18" w:rsidP="0046664B">
      <w:pPr>
        <w:jc w:val="both"/>
        <w:rPr>
          <w:rFonts w:eastAsia="Times New Roman"/>
          <w:lang w:eastAsia="en-GB"/>
        </w:rPr>
      </w:pPr>
      <w:r>
        <w:rPr>
          <w:rFonts w:eastAsia="Times New Roman"/>
          <w:lang w:eastAsia="en-GB"/>
        </w:rPr>
        <w:t>The notional SEN budget is not intended to be used exclusively for those pupils in the school with E</w:t>
      </w:r>
      <w:r w:rsidR="00AA776C">
        <w:rPr>
          <w:rFonts w:eastAsia="Times New Roman"/>
          <w:lang w:eastAsia="en-GB"/>
        </w:rPr>
        <w:t>ducation, Health and Care Plans (E</w:t>
      </w:r>
      <w:r>
        <w:rPr>
          <w:rFonts w:eastAsia="Times New Roman"/>
          <w:lang w:eastAsia="en-GB"/>
        </w:rPr>
        <w:t>HCPs</w:t>
      </w:r>
      <w:r w:rsidR="00AA776C">
        <w:rPr>
          <w:rFonts w:eastAsia="Times New Roman"/>
          <w:lang w:eastAsia="en-GB"/>
        </w:rPr>
        <w:t>)</w:t>
      </w:r>
      <w:r>
        <w:rPr>
          <w:rFonts w:eastAsia="Times New Roman"/>
          <w:lang w:eastAsia="en-GB"/>
        </w:rPr>
        <w:t xml:space="preserve">, but to enable the school to make the necessary provision over and above the standard offer of teaching and learning for all pupils. The notional budget simply “earmarks” an element of the school’s budget share using proxy indicators with no additional funding attached and, as a purely notional sum, it is not a fixed sum that can be “used up”. </w:t>
      </w:r>
    </w:p>
    <w:p w14:paraId="42D539B7" w14:textId="77777777" w:rsidR="00123D18" w:rsidRDefault="00123D18" w:rsidP="0046664B">
      <w:pPr>
        <w:jc w:val="both"/>
        <w:rPr>
          <w:rFonts w:eastAsia="Times New Roman"/>
          <w:lang w:eastAsia="en-GB"/>
        </w:rPr>
      </w:pPr>
    </w:p>
    <w:p w14:paraId="5DE8329B" w14:textId="6764D20A" w:rsidR="00123D18" w:rsidRPr="004D6260" w:rsidRDefault="00123D18" w:rsidP="004D6260">
      <w:pPr>
        <w:rPr>
          <w:rFonts w:eastAsia="Times New Roman"/>
          <w:b/>
          <w:bCs/>
          <w:lang w:eastAsia="en-GB"/>
        </w:rPr>
      </w:pPr>
      <w:r w:rsidRPr="004D6260">
        <w:rPr>
          <w:rFonts w:eastAsia="Times New Roman"/>
          <w:b/>
          <w:bCs/>
          <w:lang w:eastAsia="en-GB"/>
        </w:rPr>
        <w:t>Top-up Funding for pupils with EHCPs</w:t>
      </w:r>
    </w:p>
    <w:p w14:paraId="5DCF12D5" w14:textId="1985BAF1" w:rsidR="00123D18" w:rsidRDefault="00123D18" w:rsidP="0046664B">
      <w:pPr>
        <w:jc w:val="both"/>
        <w:rPr>
          <w:rFonts w:eastAsia="Times New Roman"/>
          <w:lang w:eastAsia="en-GB"/>
        </w:rPr>
      </w:pPr>
      <w:r>
        <w:rPr>
          <w:rFonts w:eastAsia="Times New Roman"/>
          <w:lang w:eastAsia="en-GB"/>
        </w:rPr>
        <w:t xml:space="preserve">Schools are required to fund the first £6,000 per annum of additional support for each pupil with SEN from the delegated budget share. </w:t>
      </w:r>
    </w:p>
    <w:p w14:paraId="4496DB6C" w14:textId="77777777" w:rsidR="00123D18" w:rsidRDefault="00123D18" w:rsidP="0046664B">
      <w:pPr>
        <w:jc w:val="both"/>
        <w:rPr>
          <w:rFonts w:eastAsia="Times New Roman"/>
          <w:lang w:eastAsia="en-GB"/>
        </w:rPr>
      </w:pPr>
    </w:p>
    <w:p w14:paraId="63E79901" w14:textId="22C10CC5" w:rsidR="00123D18" w:rsidRDefault="00123D18" w:rsidP="0046664B">
      <w:pPr>
        <w:jc w:val="both"/>
        <w:rPr>
          <w:rFonts w:eastAsia="Times New Roman"/>
          <w:lang w:eastAsia="en-GB"/>
        </w:rPr>
      </w:pPr>
      <w:r>
        <w:rPr>
          <w:rFonts w:eastAsia="Times New Roman"/>
          <w:lang w:eastAsia="en-GB"/>
        </w:rPr>
        <w:t xml:space="preserve">Additional top-up funding for pupils with an </w:t>
      </w:r>
      <w:r w:rsidR="00AA776C">
        <w:rPr>
          <w:rFonts w:eastAsia="Times New Roman"/>
          <w:lang w:eastAsia="en-GB"/>
        </w:rPr>
        <w:t xml:space="preserve">EHCP is paid to mainstream schools for pupils whose costs exceed £6,000. This is funded by the local authority’s High Needs Block, which is part of the Dedicated Schools Grant (DSG). </w:t>
      </w:r>
    </w:p>
    <w:p w14:paraId="1D89BDE7" w14:textId="77777777" w:rsidR="00FB32B7" w:rsidRDefault="00FB32B7" w:rsidP="0046664B">
      <w:pPr>
        <w:jc w:val="both"/>
        <w:rPr>
          <w:rFonts w:eastAsia="Times New Roman"/>
          <w:lang w:eastAsia="en-GB"/>
        </w:rPr>
      </w:pPr>
    </w:p>
    <w:p w14:paraId="66CFBD0D" w14:textId="305EBB40" w:rsidR="00FB32B7" w:rsidRDefault="00FB32B7" w:rsidP="0046664B">
      <w:pPr>
        <w:jc w:val="both"/>
        <w:rPr>
          <w:rFonts w:eastAsia="Times New Roman"/>
          <w:lang w:eastAsia="en-GB"/>
        </w:rPr>
      </w:pPr>
      <w:r w:rsidRPr="00740670">
        <w:rPr>
          <w:rFonts w:eastAsia="Times New Roman"/>
          <w:lang w:eastAsia="en-GB"/>
        </w:rPr>
        <w:t>Allocations for top-up funding in 2026/27 will be made monthly based on an indicative yearly figure, with adjustments at the end of each term.</w:t>
      </w:r>
    </w:p>
    <w:p w14:paraId="35FD0912" w14:textId="77777777" w:rsidR="00957B6B" w:rsidRDefault="00957B6B" w:rsidP="0046664B">
      <w:pPr>
        <w:jc w:val="both"/>
        <w:rPr>
          <w:rFonts w:eastAsia="Times New Roman"/>
          <w:lang w:eastAsia="en-GB"/>
        </w:rPr>
      </w:pPr>
    </w:p>
    <w:p w14:paraId="29DFDC25" w14:textId="46975BB5" w:rsidR="00957B6B" w:rsidRDefault="00957B6B" w:rsidP="0046664B">
      <w:pPr>
        <w:jc w:val="both"/>
        <w:rPr>
          <w:rFonts w:eastAsia="Times New Roman"/>
          <w:lang w:eastAsia="en-GB"/>
        </w:rPr>
      </w:pPr>
      <w:r>
        <w:rPr>
          <w:rFonts w:eastAsia="Times New Roman"/>
          <w:lang w:eastAsia="en-GB"/>
        </w:rPr>
        <w:t>Funding for pupils living outside of Birmingham, but attending a Birmingham sc</w:t>
      </w:r>
      <w:r w:rsidR="00BF1CCC">
        <w:rPr>
          <w:rFonts w:eastAsia="Times New Roman"/>
          <w:lang w:eastAsia="en-GB"/>
        </w:rPr>
        <w:t xml:space="preserve">hool, top-up funding must be claimed from the home authority. It is recommended that claims are invoiced on a termly basis. The receiving school will need to liaise directly with the other local authority regarding the financial transaction. </w:t>
      </w:r>
    </w:p>
    <w:p w14:paraId="7A817FE9" w14:textId="77777777" w:rsidR="00BF1CCC" w:rsidRDefault="00BF1CCC" w:rsidP="0046664B">
      <w:pPr>
        <w:jc w:val="both"/>
        <w:rPr>
          <w:rFonts w:eastAsia="Times New Roman"/>
          <w:lang w:eastAsia="en-GB"/>
        </w:rPr>
      </w:pPr>
    </w:p>
    <w:p w14:paraId="216E0A47" w14:textId="1C192213" w:rsidR="00BF1CCC" w:rsidRPr="004D6260" w:rsidRDefault="00BF1CCC" w:rsidP="004D6260">
      <w:pPr>
        <w:rPr>
          <w:rFonts w:eastAsia="Times New Roman"/>
          <w:b/>
          <w:bCs/>
          <w:lang w:eastAsia="en-GB"/>
        </w:rPr>
      </w:pPr>
      <w:r w:rsidRPr="004D6260">
        <w:rPr>
          <w:rFonts w:eastAsia="Times New Roman"/>
          <w:b/>
          <w:bCs/>
          <w:lang w:eastAsia="en-GB"/>
        </w:rPr>
        <w:t>Sixth Form Funding</w:t>
      </w:r>
    </w:p>
    <w:p w14:paraId="3A50950F" w14:textId="31F3AAF4" w:rsidR="00BF1CCC" w:rsidRDefault="00BF1CCC" w:rsidP="0046664B">
      <w:pPr>
        <w:jc w:val="both"/>
        <w:rPr>
          <w:rFonts w:eastAsia="Times New Roman"/>
          <w:lang w:eastAsia="en-GB"/>
        </w:rPr>
      </w:pPr>
      <w:r>
        <w:rPr>
          <w:rFonts w:eastAsia="Times New Roman"/>
          <w:lang w:eastAsia="en-GB"/>
        </w:rPr>
        <w:t xml:space="preserve">A national funding formula is used to calculate how much money is paid for teaching 16–19-year-olds. </w:t>
      </w:r>
    </w:p>
    <w:p w14:paraId="0F5F1767" w14:textId="77777777" w:rsidR="00BF1CCC" w:rsidRDefault="00BF1CCC" w:rsidP="0046664B">
      <w:pPr>
        <w:jc w:val="both"/>
        <w:rPr>
          <w:rFonts w:eastAsia="Times New Roman"/>
          <w:lang w:eastAsia="en-GB"/>
        </w:rPr>
      </w:pPr>
    </w:p>
    <w:p w14:paraId="12DAAC0D" w14:textId="1D7BFA62" w:rsidR="00BF1CCC" w:rsidRDefault="00BF1CCC" w:rsidP="0046664B">
      <w:pPr>
        <w:jc w:val="both"/>
        <w:rPr>
          <w:rFonts w:eastAsia="Times New Roman"/>
          <w:lang w:eastAsia="en-GB"/>
        </w:rPr>
      </w:pPr>
      <w:r>
        <w:rPr>
          <w:rFonts w:eastAsia="Times New Roman"/>
          <w:lang w:eastAsia="en-GB"/>
        </w:rPr>
        <w:t>Funding will be delivered via the following:</w:t>
      </w:r>
    </w:p>
    <w:p w14:paraId="37EEB9D4" w14:textId="35B4C974" w:rsidR="00BF1CCC" w:rsidRDefault="00BF1CCC" w:rsidP="00BF1CCC">
      <w:pPr>
        <w:pStyle w:val="ListParagraph"/>
        <w:numPr>
          <w:ilvl w:val="0"/>
          <w:numId w:val="44"/>
        </w:numPr>
        <w:jc w:val="both"/>
        <w:rPr>
          <w:rFonts w:eastAsia="Times New Roman"/>
          <w:lang w:eastAsia="en-GB"/>
        </w:rPr>
      </w:pPr>
      <w:r>
        <w:rPr>
          <w:rFonts w:eastAsia="Times New Roman"/>
          <w:lang w:eastAsia="en-GB"/>
        </w:rPr>
        <w:t>Funding for maintained schools with sixth forms flows from the DfE through to local authorities, who pass the allocations onto the schools.</w:t>
      </w:r>
    </w:p>
    <w:p w14:paraId="0D7A4105" w14:textId="1906CEA5" w:rsidR="00BF1CCC" w:rsidRDefault="00BF1CCC" w:rsidP="00BF1CCC">
      <w:pPr>
        <w:pStyle w:val="ListParagraph"/>
        <w:numPr>
          <w:ilvl w:val="0"/>
          <w:numId w:val="44"/>
        </w:numPr>
        <w:jc w:val="both"/>
        <w:rPr>
          <w:rFonts w:eastAsia="Times New Roman"/>
          <w:lang w:eastAsia="en-GB"/>
        </w:rPr>
      </w:pPr>
      <w:r>
        <w:rPr>
          <w:rFonts w:eastAsia="Times New Roman"/>
          <w:lang w:eastAsia="en-GB"/>
        </w:rPr>
        <w:t xml:space="preserve">Funding for academies, further education colleges, sixth form colleges and independent providers </w:t>
      </w:r>
      <w:r w:rsidR="005C0357">
        <w:rPr>
          <w:rFonts w:eastAsia="Times New Roman"/>
          <w:lang w:eastAsia="en-GB"/>
        </w:rPr>
        <w:t>pass</w:t>
      </w:r>
      <w:r>
        <w:rPr>
          <w:rFonts w:eastAsia="Times New Roman"/>
          <w:lang w:eastAsia="en-GB"/>
        </w:rPr>
        <w:t xml:space="preserve"> directly to the provider from the DfE. </w:t>
      </w:r>
    </w:p>
    <w:p w14:paraId="1A285BA5" w14:textId="560DB96B" w:rsidR="00BF1CCC" w:rsidRDefault="005C0357" w:rsidP="00BF1CCC">
      <w:pPr>
        <w:pStyle w:val="ListParagraph"/>
        <w:numPr>
          <w:ilvl w:val="0"/>
          <w:numId w:val="44"/>
        </w:numPr>
        <w:jc w:val="both"/>
        <w:rPr>
          <w:rFonts w:eastAsia="Times New Roman"/>
          <w:lang w:eastAsia="en-GB"/>
        </w:rPr>
      </w:pPr>
      <w:r>
        <w:rPr>
          <w:rFonts w:eastAsia="Times New Roman"/>
          <w:lang w:eastAsia="en-GB"/>
        </w:rPr>
        <w:t xml:space="preserve">For apprenticeships, funding for all ages comes from the DfE. </w:t>
      </w:r>
    </w:p>
    <w:p w14:paraId="79AF9A37" w14:textId="77777777" w:rsidR="005C0357" w:rsidRDefault="005C0357" w:rsidP="005C0357">
      <w:pPr>
        <w:jc w:val="both"/>
        <w:rPr>
          <w:rFonts w:eastAsia="Times New Roman"/>
          <w:lang w:eastAsia="en-GB"/>
        </w:rPr>
      </w:pPr>
    </w:p>
    <w:p w14:paraId="4AD8249B" w14:textId="130E28E5" w:rsidR="005C0357" w:rsidRDefault="008B24E8" w:rsidP="005C0357">
      <w:pPr>
        <w:jc w:val="both"/>
        <w:rPr>
          <w:rFonts w:eastAsia="Times New Roman"/>
          <w:lang w:eastAsia="en-GB"/>
        </w:rPr>
      </w:pPr>
      <w:r>
        <w:rPr>
          <w:rFonts w:eastAsia="Times New Roman"/>
          <w:lang w:eastAsia="en-GB"/>
        </w:rPr>
        <w:t>Maintained schools will receive an allocation breakdown for the following categories:</w:t>
      </w:r>
    </w:p>
    <w:p w14:paraId="378F4CC2" w14:textId="6D4097EE" w:rsidR="008B24E8" w:rsidRDefault="008B24E8" w:rsidP="008B24E8">
      <w:pPr>
        <w:pStyle w:val="ListParagraph"/>
        <w:numPr>
          <w:ilvl w:val="0"/>
          <w:numId w:val="45"/>
        </w:numPr>
        <w:jc w:val="both"/>
        <w:rPr>
          <w:rFonts w:eastAsia="Times New Roman"/>
          <w:lang w:eastAsia="en-GB"/>
        </w:rPr>
      </w:pPr>
      <w:r>
        <w:rPr>
          <w:rFonts w:eastAsia="Times New Roman"/>
          <w:lang w:eastAsia="en-GB"/>
        </w:rPr>
        <w:t>Programme funding</w:t>
      </w:r>
    </w:p>
    <w:p w14:paraId="54A9436F" w14:textId="0C47E485" w:rsidR="008B24E8" w:rsidRDefault="008B24E8" w:rsidP="008B24E8">
      <w:pPr>
        <w:pStyle w:val="ListParagraph"/>
        <w:numPr>
          <w:ilvl w:val="0"/>
          <w:numId w:val="45"/>
        </w:numPr>
        <w:jc w:val="both"/>
        <w:rPr>
          <w:rFonts w:eastAsia="Times New Roman"/>
          <w:lang w:eastAsia="en-GB"/>
        </w:rPr>
      </w:pPr>
      <w:r>
        <w:rPr>
          <w:rFonts w:eastAsia="Times New Roman"/>
          <w:lang w:eastAsia="en-GB"/>
        </w:rPr>
        <w:t>High Needs funding</w:t>
      </w:r>
    </w:p>
    <w:p w14:paraId="23D105FA" w14:textId="01CEB615" w:rsidR="008B24E8" w:rsidRDefault="008B24E8" w:rsidP="008B24E8">
      <w:pPr>
        <w:pStyle w:val="ListParagraph"/>
        <w:numPr>
          <w:ilvl w:val="0"/>
          <w:numId w:val="45"/>
        </w:numPr>
        <w:jc w:val="both"/>
        <w:rPr>
          <w:rFonts w:eastAsia="Times New Roman"/>
          <w:lang w:eastAsia="en-GB"/>
        </w:rPr>
      </w:pPr>
      <w:r>
        <w:rPr>
          <w:rFonts w:eastAsia="Times New Roman"/>
          <w:lang w:eastAsia="en-GB"/>
        </w:rPr>
        <w:t>16-19 bursary funding</w:t>
      </w:r>
    </w:p>
    <w:p w14:paraId="1CB64CD9" w14:textId="77777777" w:rsidR="008B24E8" w:rsidRDefault="008B24E8" w:rsidP="008B24E8">
      <w:pPr>
        <w:jc w:val="both"/>
        <w:rPr>
          <w:rFonts w:eastAsia="Times New Roman"/>
          <w:lang w:eastAsia="en-GB"/>
        </w:rPr>
      </w:pPr>
    </w:p>
    <w:p w14:paraId="0A460FFB" w14:textId="661CC5B8" w:rsidR="008B24E8" w:rsidRDefault="008B24E8" w:rsidP="008B24E8">
      <w:pPr>
        <w:jc w:val="both"/>
        <w:rPr>
          <w:rFonts w:eastAsia="Times New Roman"/>
          <w:lang w:eastAsia="en-GB"/>
        </w:rPr>
      </w:pPr>
      <w:r>
        <w:rPr>
          <w:rFonts w:eastAsia="Times New Roman"/>
          <w:lang w:eastAsia="en-GB"/>
        </w:rPr>
        <w:t xml:space="preserve">The budget share includes </w:t>
      </w:r>
      <w:r w:rsidR="00FC16DE">
        <w:rPr>
          <w:rFonts w:eastAsia="Times New Roman"/>
          <w:lang w:eastAsia="en-GB"/>
        </w:rPr>
        <w:t>a full year allocation including an estimation of funding for August 2026 to March 2027. The budget share, and allocation, will be updated to reflect the actual allocation once confirmed.</w:t>
      </w:r>
    </w:p>
    <w:p w14:paraId="6163EC06" w14:textId="77777777" w:rsidR="00FC16DE" w:rsidRDefault="00FC16DE" w:rsidP="008B24E8">
      <w:pPr>
        <w:jc w:val="both"/>
        <w:rPr>
          <w:rFonts w:eastAsia="Times New Roman"/>
          <w:lang w:eastAsia="en-GB"/>
        </w:rPr>
      </w:pPr>
    </w:p>
    <w:p w14:paraId="4D9536F3" w14:textId="79F85098" w:rsidR="00FC16DE" w:rsidRPr="004D6260" w:rsidRDefault="00FA5106" w:rsidP="004D6260">
      <w:pPr>
        <w:rPr>
          <w:rFonts w:eastAsia="Times New Roman"/>
          <w:b/>
          <w:bCs/>
          <w:lang w:eastAsia="en-GB"/>
        </w:rPr>
      </w:pPr>
      <w:r w:rsidRPr="004D6260">
        <w:rPr>
          <w:rFonts w:eastAsia="Times New Roman"/>
          <w:b/>
          <w:bCs/>
          <w:lang w:eastAsia="en-GB"/>
        </w:rPr>
        <w:t>Growth Fund</w:t>
      </w:r>
    </w:p>
    <w:p w14:paraId="451C293E" w14:textId="1EBF6E99" w:rsidR="00C74B47" w:rsidRDefault="001912B2" w:rsidP="008B24E8">
      <w:pPr>
        <w:jc w:val="both"/>
        <w:rPr>
          <w:rFonts w:eastAsia="Times New Roman"/>
          <w:lang w:eastAsia="en-GB"/>
        </w:rPr>
      </w:pPr>
      <w:r>
        <w:rPr>
          <w:rFonts w:eastAsia="Times New Roman"/>
          <w:lang w:eastAsia="en-GB"/>
        </w:rPr>
        <w:t>The growth fund can only be used to:</w:t>
      </w:r>
    </w:p>
    <w:p w14:paraId="4E388BCA" w14:textId="3E5C090E" w:rsidR="001912B2" w:rsidRDefault="001912B2" w:rsidP="001912B2">
      <w:pPr>
        <w:pStyle w:val="ListParagraph"/>
        <w:numPr>
          <w:ilvl w:val="0"/>
          <w:numId w:val="46"/>
        </w:numPr>
        <w:jc w:val="both"/>
        <w:rPr>
          <w:rFonts w:eastAsia="Times New Roman"/>
          <w:lang w:eastAsia="en-GB"/>
        </w:rPr>
      </w:pPr>
      <w:r>
        <w:rPr>
          <w:rFonts w:eastAsia="Times New Roman"/>
          <w:lang w:eastAsia="en-GB"/>
        </w:rPr>
        <w:t>Support growth in pre-16 pupil numbers to meet basic need</w:t>
      </w:r>
    </w:p>
    <w:p w14:paraId="453C0A3F" w14:textId="7B268117" w:rsidR="001912B2" w:rsidRDefault="001912B2" w:rsidP="001912B2">
      <w:pPr>
        <w:pStyle w:val="ListParagraph"/>
        <w:numPr>
          <w:ilvl w:val="0"/>
          <w:numId w:val="46"/>
        </w:numPr>
        <w:jc w:val="both"/>
        <w:rPr>
          <w:rFonts w:eastAsia="Times New Roman"/>
          <w:lang w:eastAsia="en-GB"/>
        </w:rPr>
      </w:pPr>
      <w:r>
        <w:rPr>
          <w:rFonts w:eastAsia="Times New Roman"/>
          <w:lang w:eastAsia="en-GB"/>
        </w:rPr>
        <w:t>Support additional classes needed to meet the infant class size regulation</w:t>
      </w:r>
    </w:p>
    <w:p w14:paraId="3FDBC2F9" w14:textId="18808D2F" w:rsidR="001912B2" w:rsidRDefault="00B503BF" w:rsidP="001912B2">
      <w:pPr>
        <w:pStyle w:val="ListParagraph"/>
        <w:numPr>
          <w:ilvl w:val="0"/>
          <w:numId w:val="46"/>
        </w:numPr>
        <w:jc w:val="both"/>
        <w:rPr>
          <w:rFonts w:eastAsia="Times New Roman"/>
          <w:lang w:eastAsia="en-GB"/>
        </w:rPr>
      </w:pPr>
      <w:r>
        <w:rPr>
          <w:rFonts w:eastAsia="Times New Roman"/>
          <w:lang w:eastAsia="en-GB"/>
        </w:rPr>
        <w:t>Meet revenue costs for new schools (these are new schools identified from the latest census data)</w:t>
      </w:r>
    </w:p>
    <w:p w14:paraId="0BFFEEC6" w14:textId="045A234A" w:rsidR="00021E54" w:rsidRDefault="00021E54" w:rsidP="00021E54">
      <w:pPr>
        <w:jc w:val="both"/>
        <w:rPr>
          <w:rFonts w:eastAsia="Times New Roman"/>
          <w:lang w:eastAsia="en-GB"/>
        </w:rPr>
      </w:pPr>
    </w:p>
    <w:p w14:paraId="32AA997F" w14:textId="5D351FBD" w:rsidR="00021E54" w:rsidRDefault="00021E54" w:rsidP="00021E54">
      <w:pPr>
        <w:jc w:val="both"/>
        <w:rPr>
          <w:rFonts w:eastAsia="Times New Roman"/>
          <w:lang w:eastAsia="en-GB"/>
        </w:rPr>
      </w:pPr>
      <w:r>
        <w:rPr>
          <w:rFonts w:eastAsia="Times New Roman"/>
          <w:lang w:eastAsia="en-GB"/>
        </w:rPr>
        <w:t>This funding is outside the school’s local formula and is based on the pupil census data the LA has projected that there will be a need for an extra 30 places in primary or secondary provision in the next school year. Expansion will be agreed with schools to increase provision from September 202</w:t>
      </w:r>
      <w:r w:rsidR="00F56886">
        <w:rPr>
          <w:rFonts w:eastAsia="Times New Roman"/>
          <w:lang w:eastAsia="en-GB"/>
        </w:rPr>
        <w:t>6</w:t>
      </w:r>
      <w:r>
        <w:rPr>
          <w:rFonts w:eastAsia="Times New Roman"/>
          <w:lang w:eastAsia="en-GB"/>
        </w:rPr>
        <w:t xml:space="preserve">. </w:t>
      </w:r>
    </w:p>
    <w:p w14:paraId="67BC2808" w14:textId="77777777" w:rsidR="00021E54" w:rsidRDefault="00021E54" w:rsidP="00021E54">
      <w:pPr>
        <w:jc w:val="both"/>
        <w:rPr>
          <w:rFonts w:eastAsia="Times New Roman"/>
          <w:lang w:eastAsia="en-GB"/>
        </w:rPr>
      </w:pPr>
    </w:p>
    <w:p w14:paraId="3B1280C1" w14:textId="56664FCB" w:rsidR="00021E54" w:rsidRDefault="00F5664D" w:rsidP="00021E54">
      <w:pPr>
        <w:jc w:val="both"/>
        <w:rPr>
          <w:rFonts w:eastAsia="Times New Roman"/>
          <w:lang w:eastAsia="en-GB"/>
        </w:rPr>
      </w:pPr>
      <w:r>
        <w:rPr>
          <w:rFonts w:eastAsia="Times New Roman"/>
          <w:lang w:eastAsia="en-GB"/>
        </w:rPr>
        <w:t xml:space="preserve">Funding will be allocated to the school via the growth fund for the respective intake for the beginning of the academic year and the school will receive 7/12ths of funding for the period to </w:t>
      </w:r>
      <w:r w:rsidR="00E665AF">
        <w:rPr>
          <w:rFonts w:eastAsia="Times New Roman"/>
          <w:lang w:eastAsia="en-GB"/>
        </w:rPr>
        <w:t xml:space="preserve">March 2027. The funding will be in equal instalments from September 2026 to March 2027. </w:t>
      </w:r>
    </w:p>
    <w:p w14:paraId="5DF7C367" w14:textId="77777777" w:rsidR="0083271E" w:rsidRDefault="0083271E" w:rsidP="00021E54">
      <w:pPr>
        <w:jc w:val="both"/>
        <w:rPr>
          <w:rFonts w:eastAsia="Times New Roman"/>
          <w:lang w:eastAsia="en-GB"/>
        </w:rPr>
      </w:pPr>
    </w:p>
    <w:p w14:paraId="57E307F0" w14:textId="1D7EE1CC" w:rsidR="0083271E" w:rsidRDefault="0083271E" w:rsidP="00021E54">
      <w:pPr>
        <w:jc w:val="both"/>
        <w:rPr>
          <w:rFonts w:eastAsia="Times New Roman"/>
          <w:lang w:eastAsia="en-GB"/>
        </w:rPr>
      </w:pPr>
      <w:r>
        <w:rPr>
          <w:rFonts w:eastAsia="Times New Roman"/>
          <w:lang w:eastAsia="en-GB"/>
        </w:rPr>
        <w:t xml:space="preserve">Funding for temporary growth, i.e., ‘bulges’ will be paid for the first year from the growth fund and will then be picked up under the schools’ local formulae from the following financial year. </w:t>
      </w:r>
    </w:p>
    <w:p w14:paraId="22B27945" w14:textId="77777777" w:rsidR="0083271E" w:rsidRDefault="0083271E" w:rsidP="00021E54">
      <w:pPr>
        <w:jc w:val="both"/>
        <w:rPr>
          <w:rFonts w:eastAsia="Times New Roman"/>
          <w:lang w:eastAsia="en-GB"/>
        </w:rPr>
      </w:pPr>
    </w:p>
    <w:p w14:paraId="27B43AAF" w14:textId="3C7D5691" w:rsidR="0083271E" w:rsidRPr="00021E54" w:rsidRDefault="0083271E" w:rsidP="00021E54">
      <w:pPr>
        <w:jc w:val="both"/>
        <w:rPr>
          <w:rFonts w:eastAsia="Times New Roman"/>
          <w:lang w:eastAsia="en-GB"/>
        </w:rPr>
      </w:pPr>
      <w:r>
        <w:rPr>
          <w:rFonts w:eastAsia="Times New Roman"/>
          <w:lang w:eastAsia="en-GB"/>
        </w:rPr>
        <w:lastRenderedPageBreak/>
        <w:t xml:space="preserve">Funding for temporary growth will be allocated to the school via the growth fund for the respective intake for the beginning of the academic year and the school will receive 7/12ths of funding for the period to March 2027. The funding will be in equal instalments from September 2026 to March 2027. </w:t>
      </w:r>
    </w:p>
    <w:p w14:paraId="5D414497" w14:textId="77777777" w:rsidR="00C74B47" w:rsidRDefault="00C74B47" w:rsidP="008B24E8">
      <w:pPr>
        <w:jc w:val="both"/>
        <w:rPr>
          <w:rFonts w:eastAsia="Times New Roman"/>
          <w:lang w:eastAsia="en-GB"/>
        </w:rPr>
      </w:pPr>
    </w:p>
    <w:p w14:paraId="5EB3132C" w14:textId="553694B1" w:rsidR="00C74B47" w:rsidRPr="004D6260" w:rsidRDefault="00ED5515" w:rsidP="004D6260">
      <w:pPr>
        <w:rPr>
          <w:rFonts w:eastAsia="Times New Roman"/>
          <w:b/>
          <w:bCs/>
          <w:lang w:eastAsia="en-GB"/>
        </w:rPr>
      </w:pPr>
      <w:r w:rsidRPr="004D6260">
        <w:rPr>
          <w:rFonts w:eastAsia="Times New Roman"/>
          <w:b/>
          <w:bCs/>
          <w:lang w:eastAsia="en-GB"/>
        </w:rPr>
        <w:t>Falling Rolls</w:t>
      </w:r>
    </w:p>
    <w:p w14:paraId="72816AEF" w14:textId="2721E16B" w:rsidR="00ED5515" w:rsidRDefault="003D0EC0" w:rsidP="008B24E8">
      <w:pPr>
        <w:jc w:val="both"/>
        <w:rPr>
          <w:rFonts w:eastAsia="Times New Roman"/>
          <w:lang w:eastAsia="en-GB"/>
        </w:rPr>
      </w:pPr>
      <w:r>
        <w:rPr>
          <w:rFonts w:eastAsia="Times New Roman"/>
          <w:lang w:eastAsia="en-GB"/>
        </w:rPr>
        <w:t xml:space="preserve">The falling rolls criteria for 2026/27 was presented to </w:t>
      </w:r>
      <w:r w:rsidR="00440BE8">
        <w:rPr>
          <w:rFonts w:eastAsia="Times New Roman"/>
          <w:lang w:eastAsia="en-GB"/>
        </w:rPr>
        <w:t>S</w:t>
      </w:r>
      <w:r>
        <w:rPr>
          <w:rFonts w:eastAsia="Times New Roman"/>
          <w:lang w:eastAsia="en-GB"/>
        </w:rPr>
        <w:t xml:space="preserve">chools </w:t>
      </w:r>
      <w:r w:rsidR="00440BE8">
        <w:rPr>
          <w:rFonts w:eastAsia="Times New Roman"/>
          <w:lang w:eastAsia="en-GB"/>
        </w:rPr>
        <w:t>F</w:t>
      </w:r>
      <w:r>
        <w:rPr>
          <w:rFonts w:eastAsia="Times New Roman"/>
          <w:lang w:eastAsia="en-GB"/>
        </w:rPr>
        <w:t xml:space="preserve">orum in October 2024. </w:t>
      </w:r>
    </w:p>
    <w:p w14:paraId="1FCCC1B0" w14:textId="77777777" w:rsidR="003D0EC0" w:rsidRDefault="003D0EC0" w:rsidP="008B24E8">
      <w:pPr>
        <w:jc w:val="both"/>
        <w:rPr>
          <w:rFonts w:eastAsia="Times New Roman"/>
          <w:lang w:eastAsia="en-GB"/>
        </w:rPr>
      </w:pPr>
    </w:p>
    <w:p w14:paraId="68D987BA" w14:textId="0CB8A394" w:rsidR="003D0EC0" w:rsidRDefault="003D0EC0" w:rsidP="008B24E8">
      <w:pPr>
        <w:jc w:val="both"/>
        <w:rPr>
          <w:rFonts w:eastAsia="Times New Roman"/>
          <w:lang w:eastAsia="en-GB"/>
        </w:rPr>
      </w:pPr>
      <w:r>
        <w:rPr>
          <w:rFonts w:eastAsia="Times New Roman"/>
          <w:lang w:eastAsia="en-GB"/>
        </w:rPr>
        <w:t xml:space="preserve">Falling Rolls funding is distributed based on the reduction in pupil numbers that LAs experience for each year. It is based on the observed differences between the primary and secondary number on roll in each local authority </w:t>
      </w:r>
      <w:r w:rsidR="007D43AC">
        <w:rPr>
          <w:rFonts w:eastAsia="Times New Roman"/>
          <w:lang w:eastAsia="en-GB"/>
        </w:rPr>
        <w:t xml:space="preserve">between the October 2025 and October 2024 census. </w:t>
      </w:r>
    </w:p>
    <w:p w14:paraId="6A0FD8A2" w14:textId="77777777" w:rsidR="00C01E1E" w:rsidRDefault="00C01E1E" w:rsidP="008B24E8">
      <w:pPr>
        <w:jc w:val="both"/>
        <w:rPr>
          <w:rFonts w:eastAsia="Times New Roman"/>
          <w:lang w:eastAsia="en-GB"/>
        </w:rPr>
      </w:pPr>
    </w:p>
    <w:p w14:paraId="1DD9129E" w14:textId="592D1C54" w:rsidR="00C01E1E" w:rsidRDefault="00C01E1E" w:rsidP="008B24E8">
      <w:pPr>
        <w:jc w:val="both"/>
        <w:rPr>
          <w:rFonts w:eastAsia="Times New Roman"/>
          <w:lang w:eastAsia="en-GB"/>
        </w:rPr>
      </w:pPr>
      <w:r>
        <w:rPr>
          <w:rFonts w:eastAsia="Times New Roman"/>
          <w:lang w:eastAsia="en-GB"/>
        </w:rPr>
        <w:t xml:space="preserve">Local authorities have discretion over </w:t>
      </w:r>
      <w:r w:rsidR="0069287E">
        <w:rPr>
          <w:rFonts w:eastAsia="Times New Roman"/>
          <w:lang w:eastAsia="en-GB"/>
        </w:rPr>
        <w:t>whether</w:t>
      </w:r>
      <w:r>
        <w:rPr>
          <w:rFonts w:eastAsia="Times New Roman"/>
          <w:lang w:eastAsia="en-GB"/>
        </w:rPr>
        <w:t xml:space="preserve"> to operate a falling rolls fund within their local formulae. </w:t>
      </w:r>
    </w:p>
    <w:p w14:paraId="10C306E8" w14:textId="77777777" w:rsidR="00C74B47" w:rsidRDefault="00C74B47" w:rsidP="008B24E8">
      <w:pPr>
        <w:jc w:val="both"/>
        <w:rPr>
          <w:rFonts w:eastAsia="Times New Roman"/>
          <w:lang w:eastAsia="en-GB"/>
        </w:rPr>
      </w:pPr>
    </w:p>
    <w:p w14:paraId="248341F4" w14:textId="0B0940D7" w:rsidR="00C74B47" w:rsidRPr="004D6260" w:rsidRDefault="00C74B47" w:rsidP="004D6260">
      <w:pPr>
        <w:rPr>
          <w:rFonts w:eastAsia="Times New Roman"/>
          <w:b/>
          <w:bCs/>
          <w:lang w:eastAsia="en-GB"/>
        </w:rPr>
      </w:pPr>
      <w:r w:rsidRPr="004D6260">
        <w:rPr>
          <w:rFonts w:eastAsia="Times New Roman"/>
          <w:b/>
          <w:bCs/>
          <w:lang w:eastAsia="en-GB"/>
        </w:rPr>
        <w:t>Money Following Excluded Pupils</w:t>
      </w:r>
    </w:p>
    <w:p w14:paraId="2C1F51D3" w14:textId="33CDEE7B" w:rsidR="00C74B47" w:rsidRDefault="00C74B47" w:rsidP="008B24E8">
      <w:pPr>
        <w:jc w:val="both"/>
        <w:rPr>
          <w:rFonts w:eastAsia="Times New Roman"/>
          <w:lang w:eastAsia="en-GB"/>
        </w:rPr>
      </w:pPr>
      <w:r>
        <w:rPr>
          <w:rFonts w:eastAsia="Times New Roman"/>
          <w:lang w:eastAsia="en-GB"/>
        </w:rPr>
        <w:t xml:space="preserve">The Schools and Early Years Finance Regulations state that the local authority is responsible for adjusting the budget of a mainstream school if a pupil is excluded so that the funding follows the pupil. </w:t>
      </w:r>
    </w:p>
    <w:p w14:paraId="61E74899" w14:textId="77777777" w:rsidR="00C74B47" w:rsidRDefault="00C74B47" w:rsidP="008B24E8">
      <w:pPr>
        <w:jc w:val="both"/>
        <w:rPr>
          <w:rFonts w:eastAsia="Times New Roman"/>
          <w:lang w:eastAsia="en-GB"/>
        </w:rPr>
      </w:pPr>
    </w:p>
    <w:p w14:paraId="226D99F8" w14:textId="61758549" w:rsidR="00C74B47" w:rsidRDefault="00C74B47" w:rsidP="008B24E8">
      <w:pPr>
        <w:jc w:val="both"/>
        <w:rPr>
          <w:rFonts w:eastAsia="Times New Roman"/>
          <w:lang w:eastAsia="en-GB"/>
        </w:rPr>
      </w:pPr>
      <w:r>
        <w:rPr>
          <w:rFonts w:eastAsia="Times New Roman"/>
          <w:lang w:eastAsia="en-GB"/>
        </w:rPr>
        <w:t>Therefore, the funding of the excluding school will be reduced accordingly and the funding for the admitting school will be increased accordingly. This includes funding for Pupil Premium payable in respect of the pupil.</w:t>
      </w:r>
    </w:p>
    <w:p w14:paraId="01C380F9" w14:textId="77777777" w:rsidR="00C74B47" w:rsidRDefault="00C74B47" w:rsidP="008B24E8">
      <w:pPr>
        <w:jc w:val="both"/>
        <w:rPr>
          <w:rFonts w:eastAsia="Times New Roman"/>
          <w:lang w:eastAsia="en-GB"/>
        </w:rPr>
      </w:pPr>
    </w:p>
    <w:p w14:paraId="1FD044E2" w14:textId="43A7E951" w:rsidR="00C74B47" w:rsidRDefault="00C74B47" w:rsidP="008B24E8">
      <w:pPr>
        <w:jc w:val="both"/>
        <w:rPr>
          <w:rFonts w:eastAsia="Times New Roman"/>
          <w:lang w:eastAsia="en-GB"/>
        </w:rPr>
      </w:pPr>
      <w:r>
        <w:rPr>
          <w:rFonts w:eastAsia="Times New Roman"/>
          <w:lang w:eastAsia="en-GB"/>
        </w:rPr>
        <w:t>Different funding arrangements apply to special schools, education centres and alternative provisions (APs). The exception to this is for the pupil premium which must be adjusted and follow the pupil.</w:t>
      </w:r>
    </w:p>
    <w:p w14:paraId="16855184" w14:textId="77777777" w:rsidR="00C74B47" w:rsidRDefault="00C74B47" w:rsidP="008B24E8">
      <w:pPr>
        <w:jc w:val="both"/>
        <w:rPr>
          <w:rFonts w:eastAsia="Times New Roman"/>
          <w:lang w:eastAsia="en-GB"/>
        </w:rPr>
      </w:pPr>
    </w:p>
    <w:p w14:paraId="5271D7F6" w14:textId="557BA818" w:rsidR="00440BE8" w:rsidRDefault="00440BE8" w:rsidP="008B24E8">
      <w:pPr>
        <w:jc w:val="both"/>
        <w:rPr>
          <w:rFonts w:eastAsia="Times New Roman"/>
          <w:lang w:eastAsia="en-GB"/>
        </w:rPr>
      </w:pPr>
    </w:p>
    <w:p w14:paraId="03EC729F" w14:textId="77777777" w:rsidR="00440BE8" w:rsidRDefault="00440BE8">
      <w:pPr>
        <w:spacing w:after="160" w:line="259" w:lineRule="auto"/>
        <w:rPr>
          <w:rFonts w:eastAsia="Times New Roman"/>
          <w:lang w:eastAsia="en-GB"/>
        </w:rPr>
      </w:pPr>
      <w:r>
        <w:rPr>
          <w:rFonts w:eastAsia="Times New Roman"/>
          <w:lang w:eastAsia="en-GB"/>
        </w:rPr>
        <w:br w:type="page"/>
      </w:r>
    </w:p>
    <w:p w14:paraId="57B85402" w14:textId="233A1B04" w:rsidR="00C74B47" w:rsidRDefault="00440BE8" w:rsidP="00440BE8">
      <w:pPr>
        <w:pStyle w:val="Heading1"/>
        <w:rPr>
          <w:rFonts w:eastAsia="Times New Roman" w:cs="Arial"/>
          <w:b/>
          <w:bCs/>
          <w:sz w:val="28"/>
          <w:szCs w:val="28"/>
          <w:lang w:eastAsia="en-GB"/>
        </w:rPr>
      </w:pPr>
      <w:bookmarkStart w:id="19" w:name="_Toc222494853"/>
      <w:r w:rsidRPr="00440BE8">
        <w:rPr>
          <w:rFonts w:eastAsia="Times New Roman" w:cs="Arial"/>
          <w:b/>
          <w:bCs/>
          <w:sz w:val="28"/>
          <w:szCs w:val="28"/>
          <w:lang w:eastAsia="en-GB"/>
        </w:rPr>
        <w:lastRenderedPageBreak/>
        <w:t>Appendix 1: School Budget Factor Values</w:t>
      </w:r>
      <w:bookmarkEnd w:id="19"/>
    </w:p>
    <w:p w14:paraId="397DBDEB" w14:textId="77777777" w:rsidR="00310D89" w:rsidRPr="00310D89" w:rsidRDefault="00310D89" w:rsidP="00310D89">
      <w:pPr>
        <w:rPr>
          <w:lang w:eastAsia="en-GB"/>
        </w:rPr>
      </w:pPr>
    </w:p>
    <w:p w14:paraId="1F1CE5A1" w14:textId="042A14C7" w:rsidR="00440BE8" w:rsidRPr="008B24E8" w:rsidRDefault="00310D89" w:rsidP="008B24E8">
      <w:pPr>
        <w:jc w:val="both"/>
        <w:rPr>
          <w:rFonts w:eastAsia="Times New Roman"/>
          <w:lang w:eastAsia="en-GB"/>
        </w:rPr>
      </w:pPr>
      <w:r w:rsidRPr="00310D89">
        <w:rPr>
          <w:rFonts w:eastAsia="Times New Roman"/>
          <w:noProof/>
          <w:lang w:eastAsia="en-GB"/>
        </w:rPr>
        <w:drawing>
          <wp:inline distT="0" distB="0" distL="0" distR="0" wp14:anchorId="5D6BBB4E" wp14:editId="65D6E6CB">
            <wp:extent cx="6092456" cy="5450079"/>
            <wp:effectExtent l="0" t="0" r="3810" b="0"/>
            <wp:docPr id="1877866809" name="Picture 1" descr="School Budget Factor Value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866809" name="Picture 1" descr="School Budget Factor Values">
                      <a:extLst>
                        <a:ext uri="{C183D7F6-B498-43B3-948B-1728B52AA6E4}">
                          <adec:decorative xmlns:adec="http://schemas.microsoft.com/office/drawing/2017/decorative" val="0"/>
                        </a:ext>
                      </a:extLst>
                    </pic:cNvPr>
                    <pic:cNvPicPr/>
                  </pic:nvPicPr>
                  <pic:blipFill>
                    <a:blip r:embed="rId21"/>
                    <a:stretch>
                      <a:fillRect/>
                    </a:stretch>
                  </pic:blipFill>
                  <pic:spPr>
                    <a:xfrm>
                      <a:off x="0" y="0"/>
                      <a:ext cx="6097894" cy="5454943"/>
                    </a:xfrm>
                    <a:prstGeom prst="rect">
                      <a:avLst/>
                    </a:prstGeom>
                  </pic:spPr>
                </pic:pic>
              </a:graphicData>
            </a:graphic>
          </wp:inline>
        </w:drawing>
      </w:r>
    </w:p>
    <w:sectPr w:rsidR="00440BE8" w:rsidRPr="008B24E8" w:rsidSect="00801478">
      <w:headerReference w:type="even" r:id="rId22"/>
      <w:headerReference w:type="default" r:id="rId23"/>
      <w:footerReference w:type="even" r:id="rId24"/>
      <w:footerReference w:type="default" r:id="rId25"/>
      <w:headerReference w:type="first" r:id="rId26"/>
      <w:footerReference w:type="first" r:id="rId27"/>
      <w:type w:val="continuous"/>
      <w:pgSz w:w="11909" w:h="16834" w:code="9"/>
      <w:pgMar w:top="1440" w:right="1440" w:bottom="1440" w:left="1440" w:header="720" w:footer="431" w:gutter="0"/>
      <w:paperSrc w:first="1" w:other="2"/>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AB0A6" w14:textId="77777777" w:rsidR="00FE6B59" w:rsidRDefault="00FE6B59" w:rsidP="00730D90">
      <w:r>
        <w:separator/>
      </w:r>
    </w:p>
  </w:endnote>
  <w:endnote w:type="continuationSeparator" w:id="0">
    <w:p w14:paraId="117E900F" w14:textId="77777777" w:rsidR="00FE6B59" w:rsidRDefault="00FE6B59" w:rsidP="00730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BF5F9" w14:textId="4918FA20" w:rsidR="0080345D" w:rsidRDefault="00172E70">
    <w:pPr>
      <w:pStyle w:val="Footer"/>
    </w:pPr>
    <w:r>
      <w:rPr>
        <w:noProof/>
      </w:rPr>
      <mc:AlternateContent>
        <mc:Choice Requires="wps">
          <w:drawing>
            <wp:anchor distT="0" distB="0" distL="0" distR="0" simplePos="0" relativeHeight="251657216" behindDoc="0" locked="0" layoutInCell="1" allowOverlap="1" wp14:anchorId="5E406F4C" wp14:editId="323EFB87">
              <wp:simplePos x="635" y="635"/>
              <wp:positionH relativeFrom="page">
                <wp:align>center</wp:align>
              </wp:positionH>
              <wp:positionV relativeFrom="page">
                <wp:align>bottom</wp:align>
              </wp:positionV>
              <wp:extent cx="443865" cy="443865"/>
              <wp:effectExtent l="0" t="0" r="16510" b="0"/>
              <wp:wrapNone/>
              <wp:docPr id="3"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E5B62D3" w14:textId="02EB04B5" w:rsidR="00172E70" w:rsidRPr="00172E70" w:rsidRDefault="00172E70" w:rsidP="00172E70">
                          <w:pPr>
                            <w:rPr>
                              <w:rFonts w:ascii="Calibri" w:eastAsia="Calibri" w:hAnsi="Calibri" w:cs="Calibri"/>
                              <w:noProof/>
                              <w:color w:val="000000"/>
                              <w:sz w:val="20"/>
                              <w:szCs w:val="20"/>
                            </w:rPr>
                          </w:pPr>
                          <w:r w:rsidRPr="00172E70">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E406F4C" id="_x0000_t202" coordsize="21600,21600" o:spt="202" path="m,l,21600r21600,l21600,xe">
              <v:stroke joinstyle="miter"/>
              <v:path gradientshapeok="t" o:connecttype="rect"/>
            </v:shapetype>
            <v:shape id="Text Box 3" o:spid="_x0000_s1026" type="#_x0000_t202" alt="OFFICIAL" style="position:absolute;margin-left:0;margin-top:0;width:34.95pt;height:34.95pt;z-index:2516572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2E5B62D3" w14:textId="02EB04B5" w:rsidR="00172E70" w:rsidRPr="00172E70" w:rsidRDefault="00172E70" w:rsidP="00172E70">
                    <w:pPr>
                      <w:rPr>
                        <w:rFonts w:ascii="Calibri" w:eastAsia="Calibri" w:hAnsi="Calibri" w:cs="Calibri"/>
                        <w:noProof/>
                        <w:color w:val="000000"/>
                        <w:sz w:val="20"/>
                        <w:szCs w:val="20"/>
                      </w:rPr>
                    </w:pPr>
                    <w:r w:rsidRPr="00172E70">
                      <w:rPr>
                        <w:rFonts w:ascii="Calibri" w:eastAsia="Calibri" w:hAnsi="Calibri" w:cs="Calibri"/>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8493087"/>
      <w:docPartObj>
        <w:docPartGallery w:val="Page Numbers (Bottom of Page)"/>
        <w:docPartUnique/>
      </w:docPartObj>
    </w:sdtPr>
    <w:sdtContent>
      <w:sdt>
        <w:sdtPr>
          <w:id w:val="1728636285"/>
          <w:docPartObj>
            <w:docPartGallery w:val="Page Numbers (Top of Page)"/>
            <w:docPartUnique/>
          </w:docPartObj>
        </w:sdtPr>
        <w:sdtContent>
          <w:p w14:paraId="66015BC6" w14:textId="42581203" w:rsidR="00E95C57" w:rsidRDefault="00E95C57">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2FA07DC8" w14:textId="321AC7D7" w:rsidR="00730D90" w:rsidRPr="0080345D" w:rsidRDefault="00033FAE" w:rsidP="00033FAE">
    <w:pPr>
      <w:pStyle w:val="Footer"/>
      <w:tabs>
        <w:tab w:val="clear" w:pos="4513"/>
        <w:tab w:val="clear" w:pos="9026"/>
        <w:tab w:val="left" w:pos="7335"/>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1624487"/>
      <w:docPartObj>
        <w:docPartGallery w:val="Page Numbers (Bottom of Page)"/>
        <w:docPartUnique/>
      </w:docPartObj>
    </w:sdtPr>
    <w:sdtContent>
      <w:sdt>
        <w:sdtPr>
          <w:id w:val="-311184914"/>
          <w:docPartObj>
            <w:docPartGallery w:val="Page Numbers (Top of Page)"/>
            <w:docPartUnique/>
          </w:docPartObj>
        </w:sdtPr>
        <w:sdtContent>
          <w:p w14:paraId="2B148FF6" w14:textId="1144A805" w:rsidR="002528AF" w:rsidRDefault="002528AF">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3CE185BA" w14:textId="303830EF" w:rsidR="007D2B6D" w:rsidRPr="008C6027" w:rsidRDefault="007D2B6D" w:rsidP="008C60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10B23" w14:textId="77777777" w:rsidR="00FE6B59" w:rsidRDefault="00FE6B59" w:rsidP="00730D90">
      <w:r>
        <w:separator/>
      </w:r>
    </w:p>
  </w:footnote>
  <w:footnote w:type="continuationSeparator" w:id="0">
    <w:p w14:paraId="3342B3AC" w14:textId="77777777" w:rsidR="00FE6B59" w:rsidRDefault="00FE6B59" w:rsidP="00730D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46492" w14:textId="77777777" w:rsidR="00517EC2" w:rsidRDefault="00517E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AE554" w14:textId="7F62C8E4" w:rsidR="00EE5063" w:rsidRDefault="00696A0C">
    <w:pPr>
      <w:pStyle w:val="Header"/>
    </w:pPr>
    <w:r>
      <w:rPr>
        <w:noProof/>
      </w:rPr>
      <w:drawing>
        <wp:inline distT="0" distB="0" distL="0" distR="0" wp14:anchorId="0BC1D954" wp14:editId="26BB20CB">
          <wp:extent cx="1524000" cy="347484"/>
          <wp:effectExtent l="0" t="0" r="0" b="0"/>
          <wp:docPr id="1083920510" name="Picture 1" descr="A black and white image of a c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3920510" name="Picture 1" descr="A black and white image of a city&#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543678" cy="35197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71E69" w14:textId="08534C67" w:rsidR="00A0556B" w:rsidRDefault="00696A0C" w:rsidP="00696A0C">
    <w:pPr>
      <w:pStyle w:val="Header"/>
      <w:tabs>
        <w:tab w:val="clear" w:pos="4513"/>
        <w:tab w:val="clear" w:pos="9026"/>
        <w:tab w:val="left" w:pos="3780"/>
        <w:tab w:val="center" w:pos="4514"/>
      </w:tabs>
    </w:pPr>
    <w:r>
      <w:rPr>
        <w:noProof/>
      </w:rPr>
      <w:drawing>
        <wp:inline distT="0" distB="0" distL="0" distR="0" wp14:anchorId="365F69BB" wp14:editId="05680C6B">
          <wp:extent cx="1524000" cy="347484"/>
          <wp:effectExtent l="0" t="0" r="0" b="0"/>
          <wp:docPr id="1178979813" name="Picture 1" descr="A black and white image of a c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3920510" name="Picture 1" descr="A black and white image of a city&#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543678" cy="351971"/>
                  </a:xfrm>
                  <a:prstGeom prst="rect">
                    <a:avLst/>
                  </a:prstGeom>
                </pic:spPr>
              </pic:pic>
            </a:graphicData>
          </a:graphic>
        </wp:inline>
      </w:drawing>
    </w:r>
    <w:r>
      <w:tab/>
    </w:r>
    <w:r>
      <w:tab/>
    </w:r>
    <w:r>
      <w:tab/>
    </w:r>
    <w:r>
      <w:tab/>
    </w:r>
    <w:r>
      <w:tab/>
    </w:r>
  </w:p>
  <w:p w14:paraId="7DD1A1D6" w14:textId="77777777" w:rsidR="00A0556B" w:rsidRDefault="00A0556B" w:rsidP="00A0556B">
    <w:pPr>
      <w:pStyle w:val="Header"/>
      <w:tabs>
        <w:tab w:val="clear" w:pos="4513"/>
        <w:tab w:val="clear" w:pos="9026"/>
        <w:tab w:val="left" w:pos="3780"/>
        <w:tab w:val="center" w:pos="4514"/>
      </w:tabs>
      <w:jc w:val="right"/>
    </w:pPr>
    <w:r>
      <w:t>Schools Finance</w:t>
    </w:r>
  </w:p>
  <w:p w14:paraId="7944E762" w14:textId="4786EDAF" w:rsidR="00730D90" w:rsidRDefault="005D4BA3" w:rsidP="00A0556B">
    <w:pPr>
      <w:pStyle w:val="Header"/>
      <w:tabs>
        <w:tab w:val="clear" w:pos="4513"/>
        <w:tab w:val="clear" w:pos="9026"/>
        <w:tab w:val="left" w:pos="3780"/>
        <w:tab w:val="center" w:pos="4514"/>
      </w:tabs>
      <w:jc w:val="right"/>
    </w:pPr>
    <w:r w:rsidRPr="00A24945">
      <w:t xml:space="preserve">Updated </w:t>
    </w:r>
    <w:r w:rsidR="00517EC2">
      <w:t>February</w:t>
    </w:r>
    <w:r w:rsidRPr="00A24945">
      <w:t xml:space="preserve"> 202</w:t>
    </w:r>
    <w:r w:rsidR="009F5111">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473A4"/>
    <w:multiLevelType w:val="hybridMultilevel"/>
    <w:tmpl w:val="F58213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712328"/>
    <w:multiLevelType w:val="hybridMultilevel"/>
    <w:tmpl w:val="B2BA2DD4"/>
    <w:lvl w:ilvl="0" w:tplc="70141D0C">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442734"/>
    <w:multiLevelType w:val="hybridMultilevel"/>
    <w:tmpl w:val="8BACAB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A82362"/>
    <w:multiLevelType w:val="hybridMultilevel"/>
    <w:tmpl w:val="BEDA3810"/>
    <w:lvl w:ilvl="0" w:tplc="207EECB6">
      <w:start w:val="1"/>
      <w:numFmt w:val="decimal"/>
      <w:lvlText w:val="%1."/>
      <w:lvlJc w:val="left"/>
      <w:pPr>
        <w:ind w:left="720" w:hanging="360"/>
      </w:pPr>
      <w:rPr>
        <w:rFonts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CD3212"/>
    <w:multiLevelType w:val="hybridMultilevel"/>
    <w:tmpl w:val="6CE4F9A4"/>
    <w:lvl w:ilvl="0" w:tplc="C8DA09AC">
      <w:start w:val="1"/>
      <w:numFmt w:val="bullet"/>
      <w:lvlText w:val="-"/>
      <w:lvlJc w:val="left"/>
      <w:pPr>
        <w:ind w:left="720" w:hanging="360"/>
      </w:pPr>
      <w:rPr>
        <w:rFonts w:ascii="Arial" w:eastAsiaTheme="minorEastAsia"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620A4B"/>
    <w:multiLevelType w:val="hybridMultilevel"/>
    <w:tmpl w:val="CF3CE334"/>
    <w:lvl w:ilvl="0" w:tplc="B9160E38">
      <w:start w:val="202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736905"/>
    <w:multiLevelType w:val="hybridMultilevel"/>
    <w:tmpl w:val="7A9A0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3D45DA"/>
    <w:multiLevelType w:val="hybridMultilevel"/>
    <w:tmpl w:val="08BEA24A"/>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8" w15:restartNumberingAfterBreak="0">
    <w:nsid w:val="158E12B8"/>
    <w:multiLevelType w:val="hybridMultilevel"/>
    <w:tmpl w:val="4C1882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4A20A19"/>
    <w:multiLevelType w:val="hybridMultilevel"/>
    <w:tmpl w:val="7092106C"/>
    <w:lvl w:ilvl="0" w:tplc="AC0009CE">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CB97532"/>
    <w:multiLevelType w:val="hybridMultilevel"/>
    <w:tmpl w:val="7CB0CC4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C04029"/>
    <w:multiLevelType w:val="hybridMultilevel"/>
    <w:tmpl w:val="44EC7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5510AE"/>
    <w:multiLevelType w:val="hybridMultilevel"/>
    <w:tmpl w:val="4AE81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DF0635"/>
    <w:multiLevelType w:val="hybridMultilevel"/>
    <w:tmpl w:val="F7E22F26"/>
    <w:lvl w:ilvl="0" w:tplc="D27681CC">
      <w:start w:val="1"/>
      <w:numFmt w:val="bullet"/>
      <w:lvlText w:val="-"/>
      <w:lvlJc w:val="left"/>
      <w:pPr>
        <w:ind w:left="720" w:hanging="360"/>
      </w:pPr>
      <w:rPr>
        <w:rFonts w:ascii="Arial" w:eastAsiaTheme="minorEastAsia"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CD4D43"/>
    <w:multiLevelType w:val="hybridMultilevel"/>
    <w:tmpl w:val="64160C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D1876BD"/>
    <w:multiLevelType w:val="hybridMultilevel"/>
    <w:tmpl w:val="7180C8D6"/>
    <w:lvl w:ilvl="0" w:tplc="22125842">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D3F6CA9"/>
    <w:multiLevelType w:val="hybridMultilevel"/>
    <w:tmpl w:val="C94AC89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D1137F"/>
    <w:multiLevelType w:val="hybridMultilevel"/>
    <w:tmpl w:val="5B3CA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431DE3"/>
    <w:multiLevelType w:val="hybridMultilevel"/>
    <w:tmpl w:val="9C7A8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942350"/>
    <w:multiLevelType w:val="hybridMultilevel"/>
    <w:tmpl w:val="B8B47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B64D24"/>
    <w:multiLevelType w:val="hybridMultilevel"/>
    <w:tmpl w:val="D6307C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10811C4"/>
    <w:multiLevelType w:val="hybridMultilevel"/>
    <w:tmpl w:val="934A0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DE6B54"/>
    <w:multiLevelType w:val="hybridMultilevel"/>
    <w:tmpl w:val="7242ED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41B102F"/>
    <w:multiLevelType w:val="hybridMultilevel"/>
    <w:tmpl w:val="11FC2C8C"/>
    <w:lvl w:ilvl="0" w:tplc="0809000F">
      <w:start w:val="1"/>
      <w:numFmt w:val="decimal"/>
      <w:lvlText w:val="%1."/>
      <w:lvlJc w:val="left"/>
      <w:pPr>
        <w:ind w:left="1449" w:hanging="360"/>
      </w:pPr>
    </w:lvl>
    <w:lvl w:ilvl="1" w:tplc="08090019" w:tentative="1">
      <w:start w:val="1"/>
      <w:numFmt w:val="lowerLetter"/>
      <w:lvlText w:val="%2."/>
      <w:lvlJc w:val="left"/>
      <w:pPr>
        <w:ind w:left="2169" w:hanging="360"/>
      </w:pPr>
    </w:lvl>
    <w:lvl w:ilvl="2" w:tplc="0809001B" w:tentative="1">
      <w:start w:val="1"/>
      <w:numFmt w:val="lowerRoman"/>
      <w:lvlText w:val="%3."/>
      <w:lvlJc w:val="right"/>
      <w:pPr>
        <w:ind w:left="2889" w:hanging="180"/>
      </w:pPr>
    </w:lvl>
    <w:lvl w:ilvl="3" w:tplc="0809000F" w:tentative="1">
      <w:start w:val="1"/>
      <w:numFmt w:val="decimal"/>
      <w:lvlText w:val="%4."/>
      <w:lvlJc w:val="left"/>
      <w:pPr>
        <w:ind w:left="3609" w:hanging="360"/>
      </w:pPr>
    </w:lvl>
    <w:lvl w:ilvl="4" w:tplc="08090019" w:tentative="1">
      <w:start w:val="1"/>
      <w:numFmt w:val="lowerLetter"/>
      <w:lvlText w:val="%5."/>
      <w:lvlJc w:val="left"/>
      <w:pPr>
        <w:ind w:left="4329" w:hanging="360"/>
      </w:pPr>
    </w:lvl>
    <w:lvl w:ilvl="5" w:tplc="0809001B" w:tentative="1">
      <w:start w:val="1"/>
      <w:numFmt w:val="lowerRoman"/>
      <w:lvlText w:val="%6."/>
      <w:lvlJc w:val="right"/>
      <w:pPr>
        <w:ind w:left="5049" w:hanging="180"/>
      </w:pPr>
    </w:lvl>
    <w:lvl w:ilvl="6" w:tplc="0809000F" w:tentative="1">
      <w:start w:val="1"/>
      <w:numFmt w:val="decimal"/>
      <w:lvlText w:val="%7."/>
      <w:lvlJc w:val="left"/>
      <w:pPr>
        <w:ind w:left="5769" w:hanging="360"/>
      </w:pPr>
    </w:lvl>
    <w:lvl w:ilvl="7" w:tplc="08090019" w:tentative="1">
      <w:start w:val="1"/>
      <w:numFmt w:val="lowerLetter"/>
      <w:lvlText w:val="%8."/>
      <w:lvlJc w:val="left"/>
      <w:pPr>
        <w:ind w:left="6489" w:hanging="360"/>
      </w:pPr>
    </w:lvl>
    <w:lvl w:ilvl="8" w:tplc="0809001B" w:tentative="1">
      <w:start w:val="1"/>
      <w:numFmt w:val="lowerRoman"/>
      <w:lvlText w:val="%9."/>
      <w:lvlJc w:val="right"/>
      <w:pPr>
        <w:ind w:left="7209" w:hanging="180"/>
      </w:pPr>
    </w:lvl>
  </w:abstractNum>
  <w:abstractNum w:abstractNumId="24" w15:restartNumberingAfterBreak="0">
    <w:nsid w:val="447619E3"/>
    <w:multiLevelType w:val="hybridMultilevel"/>
    <w:tmpl w:val="9E6E6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9FA3397"/>
    <w:multiLevelType w:val="multilevel"/>
    <w:tmpl w:val="DFECE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BD60D46"/>
    <w:multiLevelType w:val="multilevel"/>
    <w:tmpl w:val="DDCA3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C0E042A"/>
    <w:multiLevelType w:val="hybridMultilevel"/>
    <w:tmpl w:val="C7D84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CE36C3E"/>
    <w:multiLevelType w:val="hybridMultilevel"/>
    <w:tmpl w:val="53729164"/>
    <w:lvl w:ilvl="0" w:tplc="5A48066A">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04B0613"/>
    <w:multiLevelType w:val="hybridMultilevel"/>
    <w:tmpl w:val="3B7A131C"/>
    <w:lvl w:ilvl="0" w:tplc="64BAA754">
      <w:start w:val="1"/>
      <w:numFmt w:val="decimal"/>
      <w:lvlText w:val="%1."/>
      <w:lvlJc w:val="left"/>
      <w:pPr>
        <w:ind w:left="720" w:hanging="360"/>
      </w:pPr>
      <w:rPr>
        <w:rFonts w:ascii="Arial" w:eastAsiaTheme="minorEastAsia" w:hAnsi="Arial"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9E03C29"/>
    <w:multiLevelType w:val="hybridMultilevel"/>
    <w:tmpl w:val="CE22A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AF77BE4"/>
    <w:multiLevelType w:val="hybridMultilevel"/>
    <w:tmpl w:val="0BC039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CAA3BB2"/>
    <w:multiLevelType w:val="hybridMultilevel"/>
    <w:tmpl w:val="B6429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213465A"/>
    <w:multiLevelType w:val="hybridMultilevel"/>
    <w:tmpl w:val="6CBE3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65471EF"/>
    <w:multiLevelType w:val="hybridMultilevel"/>
    <w:tmpl w:val="61709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73C45C4"/>
    <w:multiLevelType w:val="hybridMultilevel"/>
    <w:tmpl w:val="48766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8AE3584"/>
    <w:multiLevelType w:val="hybridMultilevel"/>
    <w:tmpl w:val="A1F817C6"/>
    <w:lvl w:ilvl="0" w:tplc="1B48216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D576ED8"/>
    <w:multiLevelType w:val="hybridMultilevel"/>
    <w:tmpl w:val="E7A0A68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72F31570"/>
    <w:multiLevelType w:val="hybridMultilevel"/>
    <w:tmpl w:val="24F2CA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36A0883"/>
    <w:multiLevelType w:val="hybridMultilevel"/>
    <w:tmpl w:val="B0A64886"/>
    <w:lvl w:ilvl="0" w:tplc="717AEF36">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603140A"/>
    <w:multiLevelType w:val="hybridMultilevel"/>
    <w:tmpl w:val="83FE2F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69570F8"/>
    <w:multiLevelType w:val="hybridMultilevel"/>
    <w:tmpl w:val="30CC60EE"/>
    <w:lvl w:ilvl="0" w:tplc="E8661A2A">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6E33796"/>
    <w:multiLevelType w:val="hybridMultilevel"/>
    <w:tmpl w:val="0F9ACD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7EA1D73"/>
    <w:multiLevelType w:val="hybridMultilevel"/>
    <w:tmpl w:val="D8222B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D6F63AD"/>
    <w:multiLevelType w:val="hybridMultilevel"/>
    <w:tmpl w:val="85F47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E379B3"/>
    <w:multiLevelType w:val="hybridMultilevel"/>
    <w:tmpl w:val="6B6C92B2"/>
    <w:lvl w:ilvl="0" w:tplc="366892C0">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82456349">
    <w:abstractNumId w:val="23"/>
  </w:num>
  <w:num w:numId="2" w16cid:durableId="1470702644">
    <w:abstractNumId w:val="26"/>
  </w:num>
  <w:num w:numId="3" w16cid:durableId="1988392751">
    <w:abstractNumId w:val="6"/>
  </w:num>
  <w:num w:numId="4" w16cid:durableId="805123185">
    <w:abstractNumId w:val="31"/>
  </w:num>
  <w:num w:numId="5" w16cid:durableId="247010286">
    <w:abstractNumId w:val="22"/>
  </w:num>
  <w:num w:numId="6" w16cid:durableId="1466195210">
    <w:abstractNumId w:val="38"/>
  </w:num>
  <w:num w:numId="7" w16cid:durableId="1076366554">
    <w:abstractNumId w:val="14"/>
  </w:num>
  <w:num w:numId="8" w16cid:durableId="439495519">
    <w:abstractNumId w:val="3"/>
  </w:num>
  <w:num w:numId="9" w16cid:durableId="1368143998">
    <w:abstractNumId w:val="20"/>
  </w:num>
  <w:num w:numId="10" w16cid:durableId="888300096">
    <w:abstractNumId w:val="43"/>
  </w:num>
  <w:num w:numId="11" w16cid:durableId="831144183">
    <w:abstractNumId w:val="37"/>
  </w:num>
  <w:num w:numId="12" w16cid:durableId="1566259362">
    <w:abstractNumId w:val="5"/>
  </w:num>
  <w:num w:numId="13" w16cid:durableId="274217725">
    <w:abstractNumId w:val="10"/>
  </w:num>
  <w:num w:numId="14" w16cid:durableId="482701791">
    <w:abstractNumId w:val="27"/>
  </w:num>
  <w:num w:numId="15" w16cid:durableId="463347862">
    <w:abstractNumId w:val="40"/>
  </w:num>
  <w:num w:numId="16" w16cid:durableId="739254443">
    <w:abstractNumId w:val="44"/>
  </w:num>
  <w:num w:numId="17" w16cid:durableId="469515284">
    <w:abstractNumId w:val="42"/>
  </w:num>
  <w:num w:numId="18" w16cid:durableId="1626354451">
    <w:abstractNumId w:val="7"/>
  </w:num>
  <w:num w:numId="19" w16cid:durableId="1229223999">
    <w:abstractNumId w:val="34"/>
  </w:num>
  <w:num w:numId="20" w16cid:durableId="533931368">
    <w:abstractNumId w:val="29"/>
  </w:num>
  <w:num w:numId="21" w16cid:durableId="367604726">
    <w:abstractNumId w:val="12"/>
  </w:num>
  <w:num w:numId="22" w16cid:durableId="262538265">
    <w:abstractNumId w:val="35"/>
  </w:num>
  <w:num w:numId="23" w16cid:durableId="940842960">
    <w:abstractNumId w:val="28"/>
  </w:num>
  <w:num w:numId="24" w16cid:durableId="1576552298">
    <w:abstractNumId w:val="41"/>
  </w:num>
  <w:num w:numId="25" w16cid:durableId="266038894">
    <w:abstractNumId w:val="2"/>
  </w:num>
  <w:num w:numId="26" w16cid:durableId="253324911">
    <w:abstractNumId w:val="13"/>
  </w:num>
  <w:num w:numId="27" w16cid:durableId="1920404947">
    <w:abstractNumId w:val="45"/>
  </w:num>
  <w:num w:numId="28" w16cid:durableId="1508712705">
    <w:abstractNumId w:val="4"/>
  </w:num>
  <w:num w:numId="29" w16cid:durableId="1948073241">
    <w:abstractNumId w:val="8"/>
  </w:num>
  <w:num w:numId="30" w16cid:durableId="999308186">
    <w:abstractNumId w:val="9"/>
  </w:num>
  <w:num w:numId="31" w16cid:durableId="2129615135">
    <w:abstractNumId w:val="1"/>
  </w:num>
  <w:num w:numId="32" w16cid:durableId="190807088">
    <w:abstractNumId w:val="15"/>
  </w:num>
  <w:num w:numId="33" w16cid:durableId="1924803701">
    <w:abstractNumId w:val="39"/>
  </w:num>
  <w:num w:numId="34" w16cid:durableId="399719385">
    <w:abstractNumId w:val="16"/>
  </w:num>
  <w:num w:numId="35" w16cid:durableId="873230693">
    <w:abstractNumId w:val="0"/>
  </w:num>
  <w:num w:numId="36" w16cid:durableId="551115082">
    <w:abstractNumId w:val="19"/>
  </w:num>
  <w:num w:numId="37" w16cid:durableId="181090523">
    <w:abstractNumId w:val="33"/>
  </w:num>
  <w:num w:numId="38" w16cid:durableId="1233009922">
    <w:abstractNumId w:val="21"/>
  </w:num>
  <w:num w:numId="39" w16cid:durableId="1507792431">
    <w:abstractNumId w:val="17"/>
  </w:num>
  <w:num w:numId="40" w16cid:durableId="1233009544">
    <w:abstractNumId w:val="36"/>
  </w:num>
  <w:num w:numId="41" w16cid:durableId="72555783">
    <w:abstractNumId w:val="30"/>
  </w:num>
  <w:num w:numId="42" w16cid:durableId="1658997332">
    <w:abstractNumId w:val="24"/>
  </w:num>
  <w:num w:numId="43" w16cid:durableId="1488129912">
    <w:abstractNumId w:val="25"/>
  </w:num>
  <w:num w:numId="44" w16cid:durableId="1695418957">
    <w:abstractNumId w:val="32"/>
  </w:num>
  <w:num w:numId="45" w16cid:durableId="1652909567">
    <w:abstractNumId w:val="11"/>
  </w:num>
  <w:num w:numId="46" w16cid:durableId="50254866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crypted_CloudStatistics_StoryID" w:val="Aksa2Yfn5j3lIjuNItHA3z7W8AV9yEW2sCr1CBVguIopbO87k87NZCVtws7h6cdw"/>
  </w:docVars>
  <w:rsids>
    <w:rsidRoot w:val="00730D90"/>
    <w:rsid w:val="000038E5"/>
    <w:rsid w:val="00003AC7"/>
    <w:rsid w:val="00004DB8"/>
    <w:rsid w:val="00005211"/>
    <w:rsid w:val="00005F0E"/>
    <w:rsid w:val="0000660B"/>
    <w:rsid w:val="00006FAA"/>
    <w:rsid w:val="00012A57"/>
    <w:rsid w:val="0001418E"/>
    <w:rsid w:val="0001439C"/>
    <w:rsid w:val="0001500E"/>
    <w:rsid w:val="00017507"/>
    <w:rsid w:val="000212A0"/>
    <w:rsid w:val="00021E54"/>
    <w:rsid w:val="00022AF4"/>
    <w:rsid w:val="00024A5D"/>
    <w:rsid w:val="00024AA8"/>
    <w:rsid w:val="00024BAB"/>
    <w:rsid w:val="00025EAB"/>
    <w:rsid w:val="00025FD5"/>
    <w:rsid w:val="0002601B"/>
    <w:rsid w:val="00030448"/>
    <w:rsid w:val="00031A30"/>
    <w:rsid w:val="00033FAE"/>
    <w:rsid w:val="0003415B"/>
    <w:rsid w:val="00034AC6"/>
    <w:rsid w:val="00036F54"/>
    <w:rsid w:val="00041BA3"/>
    <w:rsid w:val="0004227A"/>
    <w:rsid w:val="000425AC"/>
    <w:rsid w:val="00042941"/>
    <w:rsid w:val="00043FCD"/>
    <w:rsid w:val="000440C0"/>
    <w:rsid w:val="000467B5"/>
    <w:rsid w:val="00047A62"/>
    <w:rsid w:val="000505EF"/>
    <w:rsid w:val="00050A37"/>
    <w:rsid w:val="00052700"/>
    <w:rsid w:val="00052C26"/>
    <w:rsid w:val="00052C36"/>
    <w:rsid w:val="00053EC4"/>
    <w:rsid w:val="00053ECD"/>
    <w:rsid w:val="00054DCD"/>
    <w:rsid w:val="000556BD"/>
    <w:rsid w:val="0005578E"/>
    <w:rsid w:val="00060D49"/>
    <w:rsid w:val="00060D5D"/>
    <w:rsid w:val="000610CC"/>
    <w:rsid w:val="00062539"/>
    <w:rsid w:val="000629BA"/>
    <w:rsid w:val="00062D0E"/>
    <w:rsid w:val="000649DC"/>
    <w:rsid w:val="0006554B"/>
    <w:rsid w:val="000659FA"/>
    <w:rsid w:val="00065CB9"/>
    <w:rsid w:val="00066E0C"/>
    <w:rsid w:val="00067BE3"/>
    <w:rsid w:val="000703A1"/>
    <w:rsid w:val="00072D50"/>
    <w:rsid w:val="00073D8A"/>
    <w:rsid w:val="0007434B"/>
    <w:rsid w:val="000760BD"/>
    <w:rsid w:val="00076183"/>
    <w:rsid w:val="00077021"/>
    <w:rsid w:val="00077A73"/>
    <w:rsid w:val="0008046E"/>
    <w:rsid w:val="00081A8F"/>
    <w:rsid w:val="00083D95"/>
    <w:rsid w:val="000852BB"/>
    <w:rsid w:val="00086564"/>
    <w:rsid w:val="00086DE1"/>
    <w:rsid w:val="000912ED"/>
    <w:rsid w:val="00091C0F"/>
    <w:rsid w:val="00092ACF"/>
    <w:rsid w:val="000939A6"/>
    <w:rsid w:val="000950D3"/>
    <w:rsid w:val="000A1683"/>
    <w:rsid w:val="000A47D0"/>
    <w:rsid w:val="000A4FEF"/>
    <w:rsid w:val="000A5FD4"/>
    <w:rsid w:val="000A772B"/>
    <w:rsid w:val="000B13D0"/>
    <w:rsid w:val="000B15BC"/>
    <w:rsid w:val="000B1659"/>
    <w:rsid w:val="000B40F6"/>
    <w:rsid w:val="000B4515"/>
    <w:rsid w:val="000B4C31"/>
    <w:rsid w:val="000B5B5E"/>
    <w:rsid w:val="000B5B86"/>
    <w:rsid w:val="000B6659"/>
    <w:rsid w:val="000B709C"/>
    <w:rsid w:val="000B77DF"/>
    <w:rsid w:val="000C03AB"/>
    <w:rsid w:val="000C0A5D"/>
    <w:rsid w:val="000C128A"/>
    <w:rsid w:val="000C34C9"/>
    <w:rsid w:val="000C5DF2"/>
    <w:rsid w:val="000C6408"/>
    <w:rsid w:val="000C64F1"/>
    <w:rsid w:val="000C696C"/>
    <w:rsid w:val="000C6E7C"/>
    <w:rsid w:val="000C6F0F"/>
    <w:rsid w:val="000D03BC"/>
    <w:rsid w:val="000D1320"/>
    <w:rsid w:val="000D133B"/>
    <w:rsid w:val="000D1A89"/>
    <w:rsid w:val="000D338F"/>
    <w:rsid w:val="000D490B"/>
    <w:rsid w:val="000D5335"/>
    <w:rsid w:val="000D548F"/>
    <w:rsid w:val="000D63CA"/>
    <w:rsid w:val="000D7458"/>
    <w:rsid w:val="000E0E13"/>
    <w:rsid w:val="000E1240"/>
    <w:rsid w:val="000E1C30"/>
    <w:rsid w:val="000E4E2A"/>
    <w:rsid w:val="000E5BFD"/>
    <w:rsid w:val="000E6FE4"/>
    <w:rsid w:val="000F0100"/>
    <w:rsid w:val="000F0784"/>
    <w:rsid w:val="000F1D8B"/>
    <w:rsid w:val="000F3152"/>
    <w:rsid w:val="000F4899"/>
    <w:rsid w:val="00100898"/>
    <w:rsid w:val="001008A2"/>
    <w:rsid w:val="001035E9"/>
    <w:rsid w:val="00105B3B"/>
    <w:rsid w:val="00107BB5"/>
    <w:rsid w:val="001102CC"/>
    <w:rsid w:val="00110535"/>
    <w:rsid w:val="00110851"/>
    <w:rsid w:val="00110A3B"/>
    <w:rsid w:val="00110F65"/>
    <w:rsid w:val="00111BC8"/>
    <w:rsid w:val="001138FC"/>
    <w:rsid w:val="00114B84"/>
    <w:rsid w:val="00114EFA"/>
    <w:rsid w:val="001162FF"/>
    <w:rsid w:val="001223AD"/>
    <w:rsid w:val="00123867"/>
    <w:rsid w:val="00123D18"/>
    <w:rsid w:val="00125742"/>
    <w:rsid w:val="00127685"/>
    <w:rsid w:val="001301D6"/>
    <w:rsid w:val="001324B5"/>
    <w:rsid w:val="00133C33"/>
    <w:rsid w:val="00134E03"/>
    <w:rsid w:val="00135CE0"/>
    <w:rsid w:val="00136A39"/>
    <w:rsid w:val="00136D2F"/>
    <w:rsid w:val="00137002"/>
    <w:rsid w:val="00141BE9"/>
    <w:rsid w:val="001433F9"/>
    <w:rsid w:val="00145061"/>
    <w:rsid w:val="00146301"/>
    <w:rsid w:val="00146703"/>
    <w:rsid w:val="00151216"/>
    <w:rsid w:val="001518F6"/>
    <w:rsid w:val="0015364D"/>
    <w:rsid w:val="00154530"/>
    <w:rsid w:val="00157052"/>
    <w:rsid w:val="001577A0"/>
    <w:rsid w:val="00161301"/>
    <w:rsid w:val="00162B1E"/>
    <w:rsid w:val="00163138"/>
    <w:rsid w:val="0016393E"/>
    <w:rsid w:val="00167ED9"/>
    <w:rsid w:val="00167F7F"/>
    <w:rsid w:val="001700FB"/>
    <w:rsid w:val="00170A5B"/>
    <w:rsid w:val="0017207D"/>
    <w:rsid w:val="00172932"/>
    <w:rsid w:val="00172A87"/>
    <w:rsid w:val="00172E70"/>
    <w:rsid w:val="00174F20"/>
    <w:rsid w:val="001758D6"/>
    <w:rsid w:val="001774D0"/>
    <w:rsid w:val="00182B97"/>
    <w:rsid w:val="00182BBC"/>
    <w:rsid w:val="00183492"/>
    <w:rsid w:val="001912B2"/>
    <w:rsid w:val="00191DBB"/>
    <w:rsid w:val="00194196"/>
    <w:rsid w:val="001946F6"/>
    <w:rsid w:val="001A06CB"/>
    <w:rsid w:val="001A09F3"/>
    <w:rsid w:val="001A0A6C"/>
    <w:rsid w:val="001A0CA5"/>
    <w:rsid w:val="001A2B0E"/>
    <w:rsid w:val="001A3158"/>
    <w:rsid w:val="001A4C8A"/>
    <w:rsid w:val="001A5C4C"/>
    <w:rsid w:val="001A7F87"/>
    <w:rsid w:val="001B03D1"/>
    <w:rsid w:val="001B10D3"/>
    <w:rsid w:val="001B12B2"/>
    <w:rsid w:val="001B152F"/>
    <w:rsid w:val="001B2A4F"/>
    <w:rsid w:val="001B2FAA"/>
    <w:rsid w:val="001B42FC"/>
    <w:rsid w:val="001B4C31"/>
    <w:rsid w:val="001B61B4"/>
    <w:rsid w:val="001B6B5B"/>
    <w:rsid w:val="001C05F8"/>
    <w:rsid w:val="001C0E30"/>
    <w:rsid w:val="001C2AEF"/>
    <w:rsid w:val="001C2E15"/>
    <w:rsid w:val="001C47DC"/>
    <w:rsid w:val="001C4E3B"/>
    <w:rsid w:val="001C5BF7"/>
    <w:rsid w:val="001C7912"/>
    <w:rsid w:val="001C7EB6"/>
    <w:rsid w:val="001D0F87"/>
    <w:rsid w:val="001D2877"/>
    <w:rsid w:val="001D3582"/>
    <w:rsid w:val="001D39EC"/>
    <w:rsid w:val="001D61BC"/>
    <w:rsid w:val="001D7FF6"/>
    <w:rsid w:val="001E0394"/>
    <w:rsid w:val="001E1AE3"/>
    <w:rsid w:val="001E1BE1"/>
    <w:rsid w:val="001E3AB0"/>
    <w:rsid w:val="001E4324"/>
    <w:rsid w:val="001E669C"/>
    <w:rsid w:val="001E7506"/>
    <w:rsid w:val="001E7765"/>
    <w:rsid w:val="001E7828"/>
    <w:rsid w:val="001F011D"/>
    <w:rsid w:val="001F0359"/>
    <w:rsid w:val="001F5235"/>
    <w:rsid w:val="001F7AA2"/>
    <w:rsid w:val="001F7C87"/>
    <w:rsid w:val="001F7D76"/>
    <w:rsid w:val="00200F13"/>
    <w:rsid w:val="0020213D"/>
    <w:rsid w:val="00202D21"/>
    <w:rsid w:val="00204C54"/>
    <w:rsid w:val="002059E1"/>
    <w:rsid w:val="00207398"/>
    <w:rsid w:val="00212203"/>
    <w:rsid w:val="00212326"/>
    <w:rsid w:val="002161CE"/>
    <w:rsid w:val="0021679C"/>
    <w:rsid w:val="0022027D"/>
    <w:rsid w:val="0022305A"/>
    <w:rsid w:val="0022443E"/>
    <w:rsid w:val="002250A4"/>
    <w:rsid w:val="00225F9D"/>
    <w:rsid w:val="002300E8"/>
    <w:rsid w:val="002307BE"/>
    <w:rsid w:val="00230D9D"/>
    <w:rsid w:val="0023343F"/>
    <w:rsid w:val="00233472"/>
    <w:rsid w:val="00233C3A"/>
    <w:rsid w:val="00233D6A"/>
    <w:rsid w:val="00234159"/>
    <w:rsid w:val="00234891"/>
    <w:rsid w:val="00234D4C"/>
    <w:rsid w:val="00235397"/>
    <w:rsid w:val="00235E0E"/>
    <w:rsid w:val="00236847"/>
    <w:rsid w:val="00236C19"/>
    <w:rsid w:val="00241BE1"/>
    <w:rsid w:val="00243013"/>
    <w:rsid w:val="00244F85"/>
    <w:rsid w:val="0024644A"/>
    <w:rsid w:val="0025051E"/>
    <w:rsid w:val="00250C67"/>
    <w:rsid w:val="0025121B"/>
    <w:rsid w:val="00251249"/>
    <w:rsid w:val="002520F0"/>
    <w:rsid w:val="002528AF"/>
    <w:rsid w:val="00253736"/>
    <w:rsid w:val="00253755"/>
    <w:rsid w:val="00254D43"/>
    <w:rsid w:val="00255172"/>
    <w:rsid w:val="002555AF"/>
    <w:rsid w:val="0026010A"/>
    <w:rsid w:val="002629F1"/>
    <w:rsid w:val="00265B31"/>
    <w:rsid w:val="00267485"/>
    <w:rsid w:val="002723FF"/>
    <w:rsid w:val="00274698"/>
    <w:rsid w:val="00274A2F"/>
    <w:rsid w:val="0027531B"/>
    <w:rsid w:val="00275683"/>
    <w:rsid w:val="00275848"/>
    <w:rsid w:val="00277F9B"/>
    <w:rsid w:val="002823F0"/>
    <w:rsid w:val="00282AE1"/>
    <w:rsid w:val="00282C18"/>
    <w:rsid w:val="002851AA"/>
    <w:rsid w:val="0028534B"/>
    <w:rsid w:val="00287315"/>
    <w:rsid w:val="00287755"/>
    <w:rsid w:val="00287814"/>
    <w:rsid w:val="00290704"/>
    <w:rsid w:val="00291827"/>
    <w:rsid w:val="00292A88"/>
    <w:rsid w:val="002A2FB6"/>
    <w:rsid w:val="002A3F5D"/>
    <w:rsid w:val="002A5203"/>
    <w:rsid w:val="002A7A03"/>
    <w:rsid w:val="002A7B4C"/>
    <w:rsid w:val="002B04B5"/>
    <w:rsid w:val="002B2F54"/>
    <w:rsid w:val="002B3DA1"/>
    <w:rsid w:val="002B44AC"/>
    <w:rsid w:val="002B58A8"/>
    <w:rsid w:val="002B698B"/>
    <w:rsid w:val="002B7223"/>
    <w:rsid w:val="002C0B61"/>
    <w:rsid w:val="002C1E7F"/>
    <w:rsid w:val="002C4EC2"/>
    <w:rsid w:val="002C7696"/>
    <w:rsid w:val="002D37AA"/>
    <w:rsid w:val="002D3CB0"/>
    <w:rsid w:val="002E1188"/>
    <w:rsid w:val="002E3420"/>
    <w:rsid w:val="002E3D61"/>
    <w:rsid w:val="002E3EA7"/>
    <w:rsid w:val="002E6CAB"/>
    <w:rsid w:val="002F1811"/>
    <w:rsid w:val="002F19DA"/>
    <w:rsid w:val="002F219E"/>
    <w:rsid w:val="002F29E8"/>
    <w:rsid w:val="002F38E4"/>
    <w:rsid w:val="002F4DC6"/>
    <w:rsid w:val="002F5367"/>
    <w:rsid w:val="002F61D9"/>
    <w:rsid w:val="002F7486"/>
    <w:rsid w:val="003015A6"/>
    <w:rsid w:val="0030214F"/>
    <w:rsid w:val="00302B46"/>
    <w:rsid w:val="003034A8"/>
    <w:rsid w:val="003039C0"/>
    <w:rsid w:val="00304ABE"/>
    <w:rsid w:val="00304F28"/>
    <w:rsid w:val="003071DE"/>
    <w:rsid w:val="0031091A"/>
    <w:rsid w:val="00310D89"/>
    <w:rsid w:val="0031289E"/>
    <w:rsid w:val="00314914"/>
    <w:rsid w:val="00315522"/>
    <w:rsid w:val="00316ECC"/>
    <w:rsid w:val="00317C8A"/>
    <w:rsid w:val="00321BEF"/>
    <w:rsid w:val="00322D7E"/>
    <w:rsid w:val="003279DB"/>
    <w:rsid w:val="0033179E"/>
    <w:rsid w:val="00332213"/>
    <w:rsid w:val="00333663"/>
    <w:rsid w:val="00340B10"/>
    <w:rsid w:val="003426A8"/>
    <w:rsid w:val="00345A1D"/>
    <w:rsid w:val="0034743D"/>
    <w:rsid w:val="00347B71"/>
    <w:rsid w:val="0035147A"/>
    <w:rsid w:val="00351595"/>
    <w:rsid w:val="00354DD5"/>
    <w:rsid w:val="00356500"/>
    <w:rsid w:val="00356FC3"/>
    <w:rsid w:val="00360471"/>
    <w:rsid w:val="00364AA3"/>
    <w:rsid w:val="003679FC"/>
    <w:rsid w:val="00370E12"/>
    <w:rsid w:val="0037179B"/>
    <w:rsid w:val="003717A5"/>
    <w:rsid w:val="00373822"/>
    <w:rsid w:val="003747BD"/>
    <w:rsid w:val="00375301"/>
    <w:rsid w:val="00377155"/>
    <w:rsid w:val="0037785F"/>
    <w:rsid w:val="00377F3C"/>
    <w:rsid w:val="00380DF8"/>
    <w:rsid w:val="0038163E"/>
    <w:rsid w:val="003826DA"/>
    <w:rsid w:val="00383DA2"/>
    <w:rsid w:val="00383FF3"/>
    <w:rsid w:val="003845CF"/>
    <w:rsid w:val="00385EE2"/>
    <w:rsid w:val="003861A8"/>
    <w:rsid w:val="003865B8"/>
    <w:rsid w:val="0039000E"/>
    <w:rsid w:val="00390017"/>
    <w:rsid w:val="00390931"/>
    <w:rsid w:val="00392B57"/>
    <w:rsid w:val="00392FA1"/>
    <w:rsid w:val="00393DA1"/>
    <w:rsid w:val="00394C14"/>
    <w:rsid w:val="00396ACE"/>
    <w:rsid w:val="003A2E66"/>
    <w:rsid w:val="003A592A"/>
    <w:rsid w:val="003A5C0F"/>
    <w:rsid w:val="003A643E"/>
    <w:rsid w:val="003A71DF"/>
    <w:rsid w:val="003B0BB5"/>
    <w:rsid w:val="003B1A0E"/>
    <w:rsid w:val="003B1BE6"/>
    <w:rsid w:val="003B23CD"/>
    <w:rsid w:val="003B577D"/>
    <w:rsid w:val="003B5F07"/>
    <w:rsid w:val="003B61BB"/>
    <w:rsid w:val="003B682F"/>
    <w:rsid w:val="003B6896"/>
    <w:rsid w:val="003B6909"/>
    <w:rsid w:val="003B6E44"/>
    <w:rsid w:val="003C088D"/>
    <w:rsid w:val="003C0E1C"/>
    <w:rsid w:val="003C0F1D"/>
    <w:rsid w:val="003C2391"/>
    <w:rsid w:val="003C2DBD"/>
    <w:rsid w:val="003C3AD3"/>
    <w:rsid w:val="003C4FA1"/>
    <w:rsid w:val="003D0EC0"/>
    <w:rsid w:val="003D1D77"/>
    <w:rsid w:val="003D1EBA"/>
    <w:rsid w:val="003D2130"/>
    <w:rsid w:val="003D2D57"/>
    <w:rsid w:val="003D346E"/>
    <w:rsid w:val="003D34AB"/>
    <w:rsid w:val="003D4B6F"/>
    <w:rsid w:val="003D6B12"/>
    <w:rsid w:val="003D6EA6"/>
    <w:rsid w:val="003D6EC2"/>
    <w:rsid w:val="003E0863"/>
    <w:rsid w:val="003E48CA"/>
    <w:rsid w:val="003E631C"/>
    <w:rsid w:val="003E6790"/>
    <w:rsid w:val="003E77CA"/>
    <w:rsid w:val="003F0AC0"/>
    <w:rsid w:val="003F1BB0"/>
    <w:rsid w:val="003F1C97"/>
    <w:rsid w:val="003F361E"/>
    <w:rsid w:val="003F4D26"/>
    <w:rsid w:val="003F522A"/>
    <w:rsid w:val="003F5F8D"/>
    <w:rsid w:val="003F6A81"/>
    <w:rsid w:val="00401BE0"/>
    <w:rsid w:val="00401D91"/>
    <w:rsid w:val="00403DF3"/>
    <w:rsid w:val="0040449E"/>
    <w:rsid w:val="00405E92"/>
    <w:rsid w:val="00406152"/>
    <w:rsid w:val="004065EA"/>
    <w:rsid w:val="004076B3"/>
    <w:rsid w:val="0040788C"/>
    <w:rsid w:val="0041119C"/>
    <w:rsid w:val="004111E2"/>
    <w:rsid w:val="0041179F"/>
    <w:rsid w:val="0041519E"/>
    <w:rsid w:val="00415342"/>
    <w:rsid w:val="0041538B"/>
    <w:rsid w:val="00415428"/>
    <w:rsid w:val="0041548F"/>
    <w:rsid w:val="0041559C"/>
    <w:rsid w:val="00420E9B"/>
    <w:rsid w:val="00423289"/>
    <w:rsid w:val="00423936"/>
    <w:rsid w:val="00424682"/>
    <w:rsid w:val="0042501D"/>
    <w:rsid w:val="00425BFC"/>
    <w:rsid w:val="00430123"/>
    <w:rsid w:val="00430668"/>
    <w:rsid w:val="00431BA5"/>
    <w:rsid w:val="0043264E"/>
    <w:rsid w:val="00433EDD"/>
    <w:rsid w:val="00434B98"/>
    <w:rsid w:val="004360F6"/>
    <w:rsid w:val="004361BD"/>
    <w:rsid w:val="004362AC"/>
    <w:rsid w:val="004366CD"/>
    <w:rsid w:val="00436ABF"/>
    <w:rsid w:val="00440BE8"/>
    <w:rsid w:val="0044195F"/>
    <w:rsid w:val="0044274E"/>
    <w:rsid w:val="00445AFC"/>
    <w:rsid w:val="00447461"/>
    <w:rsid w:val="004476C2"/>
    <w:rsid w:val="00447F32"/>
    <w:rsid w:val="004517D2"/>
    <w:rsid w:val="004520EE"/>
    <w:rsid w:val="00452EA3"/>
    <w:rsid w:val="004550BC"/>
    <w:rsid w:val="00455E6A"/>
    <w:rsid w:val="00457522"/>
    <w:rsid w:val="00457ACE"/>
    <w:rsid w:val="00461CEC"/>
    <w:rsid w:val="00462D22"/>
    <w:rsid w:val="0046508B"/>
    <w:rsid w:val="004658D6"/>
    <w:rsid w:val="0046664B"/>
    <w:rsid w:val="004677F4"/>
    <w:rsid w:val="00470F34"/>
    <w:rsid w:val="0047137C"/>
    <w:rsid w:val="00471714"/>
    <w:rsid w:val="0047443D"/>
    <w:rsid w:val="00474D3A"/>
    <w:rsid w:val="00475BD4"/>
    <w:rsid w:val="00476E65"/>
    <w:rsid w:val="004772C5"/>
    <w:rsid w:val="00477BF1"/>
    <w:rsid w:val="0048006A"/>
    <w:rsid w:val="00480C6B"/>
    <w:rsid w:val="00481131"/>
    <w:rsid w:val="00481CFE"/>
    <w:rsid w:val="00482B76"/>
    <w:rsid w:val="0048489D"/>
    <w:rsid w:val="00485283"/>
    <w:rsid w:val="00490454"/>
    <w:rsid w:val="00496051"/>
    <w:rsid w:val="0049699F"/>
    <w:rsid w:val="00497ABC"/>
    <w:rsid w:val="00497B23"/>
    <w:rsid w:val="004A071D"/>
    <w:rsid w:val="004A2057"/>
    <w:rsid w:val="004A280F"/>
    <w:rsid w:val="004A42BD"/>
    <w:rsid w:val="004A514D"/>
    <w:rsid w:val="004A5B03"/>
    <w:rsid w:val="004A62B8"/>
    <w:rsid w:val="004B164D"/>
    <w:rsid w:val="004B25A5"/>
    <w:rsid w:val="004B3B49"/>
    <w:rsid w:val="004C0786"/>
    <w:rsid w:val="004C2564"/>
    <w:rsid w:val="004C3214"/>
    <w:rsid w:val="004C3E57"/>
    <w:rsid w:val="004C4DD0"/>
    <w:rsid w:val="004C4F3F"/>
    <w:rsid w:val="004D0388"/>
    <w:rsid w:val="004D1735"/>
    <w:rsid w:val="004D510B"/>
    <w:rsid w:val="004D6260"/>
    <w:rsid w:val="004D652B"/>
    <w:rsid w:val="004E0AFF"/>
    <w:rsid w:val="004E296D"/>
    <w:rsid w:val="004E2A03"/>
    <w:rsid w:val="004E3042"/>
    <w:rsid w:val="004E3DB4"/>
    <w:rsid w:val="004E413E"/>
    <w:rsid w:val="004E488F"/>
    <w:rsid w:val="004E59E2"/>
    <w:rsid w:val="004E719B"/>
    <w:rsid w:val="004F1305"/>
    <w:rsid w:val="004F7387"/>
    <w:rsid w:val="00500EE8"/>
    <w:rsid w:val="00500F99"/>
    <w:rsid w:val="00501498"/>
    <w:rsid w:val="00502F96"/>
    <w:rsid w:val="00503055"/>
    <w:rsid w:val="00503628"/>
    <w:rsid w:val="00505D1B"/>
    <w:rsid w:val="0050646C"/>
    <w:rsid w:val="00511733"/>
    <w:rsid w:val="00512233"/>
    <w:rsid w:val="00512B48"/>
    <w:rsid w:val="00513A38"/>
    <w:rsid w:val="00516212"/>
    <w:rsid w:val="0051746C"/>
    <w:rsid w:val="00517EC2"/>
    <w:rsid w:val="0052052D"/>
    <w:rsid w:val="00523DD0"/>
    <w:rsid w:val="00530424"/>
    <w:rsid w:val="00531897"/>
    <w:rsid w:val="00531DD0"/>
    <w:rsid w:val="00531E65"/>
    <w:rsid w:val="0053611D"/>
    <w:rsid w:val="00536BBB"/>
    <w:rsid w:val="0053754F"/>
    <w:rsid w:val="005427D1"/>
    <w:rsid w:val="005429B9"/>
    <w:rsid w:val="00542BFD"/>
    <w:rsid w:val="005434D1"/>
    <w:rsid w:val="0054755C"/>
    <w:rsid w:val="00550220"/>
    <w:rsid w:val="00550506"/>
    <w:rsid w:val="00553F1E"/>
    <w:rsid w:val="005562EA"/>
    <w:rsid w:val="00557165"/>
    <w:rsid w:val="0055734E"/>
    <w:rsid w:val="00560466"/>
    <w:rsid w:val="005629B8"/>
    <w:rsid w:val="00566DAE"/>
    <w:rsid w:val="00567B1E"/>
    <w:rsid w:val="005701FA"/>
    <w:rsid w:val="005705D7"/>
    <w:rsid w:val="00570AA6"/>
    <w:rsid w:val="0057193F"/>
    <w:rsid w:val="005747C1"/>
    <w:rsid w:val="00575536"/>
    <w:rsid w:val="00575C0F"/>
    <w:rsid w:val="00580D59"/>
    <w:rsid w:val="00583853"/>
    <w:rsid w:val="00583DDA"/>
    <w:rsid w:val="00584380"/>
    <w:rsid w:val="00584441"/>
    <w:rsid w:val="00585BD1"/>
    <w:rsid w:val="00585C1A"/>
    <w:rsid w:val="00591566"/>
    <w:rsid w:val="005915D3"/>
    <w:rsid w:val="00591799"/>
    <w:rsid w:val="00591A3E"/>
    <w:rsid w:val="00591E8B"/>
    <w:rsid w:val="00592BC0"/>
    <w:rsid w:val="00593906"/>
    <w:rsid w:val="00593F6D"/>
    <w:rsid w:val="005946EE"/>
    <w:rsid w:val="005960DD"/>
    <w:rsid w:val="00596F7A"/>
    <w:rsid w:val="005A013A"/>
    <w:rsid w:val="005A03D0"/>
    <w:rsid w:val="005A076E"/>
    <w:rsid w:val="005A0B99"/>
    <w:rsid w:val="005A101B"/>
    <w:rsid w:val="005A1815"/>
    <w:rsid w:val="005A2676"/>
    <w:rsid w:val="005A4BD0"/>
    <w:rsid w:val="005A4F08"/>
    <w:rsid w:val="005A5882"/>
    <w:rsid w:val="005A5B48"/>
    <w:rsid w:val="005A65C0"/>
    <w:rsid w:val="005A6802"/>
    <w:rsid w:val="005A6C4B"/>
    <w:rsid w:val="005A76B0"/>
    <w:rsid w:val="005A7FB4"/>
    <w:rsid w:val="005B01A5"/>
    <w:rsid w:val="005B0A28"/>
    <w:rsid w:val="005B1172"/>
    <w:rsid w:val="005B1691"/>
    <w:rsid w:val="005B2D05"/>
    <w:rsid w:val="005B613F"/>
    <w:rsid w:val="005C0357"/>
    <w:rsid w:val="005C11FB"/>
    <w:rsid w:val="005C1977"/>
    <w:rsid w:val="005C26D3"/>
    <w:rsid w:val="005C4D33"/>
    <w:rsid w:val="005C4F55"/>
    <w:rsid w:val="005C6451"/>
    <w:rsid w:val="005C6E3D"/>
    <w:rsid w:val="005D0DE8"/>
    <w:rsid w:val="005D300E"/>
    <w:rsid w:val="005D346E"/>
    <w:rsid w:val="005D34E4"/>
    <w:rsid w:val="005D4BA3"/>
    <w:rsid w:val="005D5FB4"/>
    <w:rsid w:val="005D692D"/>
    <w:rsid w:val="005E02A9"/>
    <w:rsid w:val="005E1BFA"/>
    <w:rsid w:val="005E42DB"/>
    <w:rsid w:val="005E48C6"/>
    <w:rsid w:val="005E6974"/>
    <w:rsid w:val="005E78BF"/>
    <w:rsid w:val="005E7B56"/>
    <w:rsid w:val="005F15E3"/>
    <w:rsid w:val="005F1E36"/>
    <w:rsid w:val="005F2D5F"/>
    <w:rsid w:val="005F3ECC"/>
    <w:rsid w:val="005F6474"/>
    <w:rsid w:val="005F6FA3"/>
    <w:rsid w:val="005F7206"/>
    <w:rsid w:val="00601280"/>
    <w:rsid w:val="00601332"/>
    <w:rsid w:val="006038EC"/>
    <w:rsid w:val="006058BF"/>
    <w:rsid w:val="00606665"/>
    <w:rsid w:val="0060733B"/>
    <w:rsid w:val="00612D7E"/>
    <w:rsid w:val="006143C2"/>
    <w:rsid w:val="00615D69"/>
    <w:rsid w:val="00616B79"/>
    <w:rsid w:val="00622AFD"/>
    <w:rsid w:val="00622E83"/>
    <w:rsid w:val="0062341B"/>
    <w:rsid w:val="00623D8F"/>
    <w:rsid w:val="00624029"/>
    <w:rsid w:val="006262EF"/>
    <w:rsid w:val="006264CE"/>
    <w:rsid w:val="00626B23"/>
    <w:rsid w:val="00626FB8"/>
    <w:rsid w:val="006307E8"/>
    <w:rsid w:val="00630D12"/>
    <w:rsid w:val="006347D7"/>
    <w:rsid w:val="00636E39"/>
    <w:rsid w:val="006370D3"/>
    <w:rsid w:val="006373D2"/>
    <w:rsid w:val="006400DC"/>
    <w:rsid w:val="0064016F"/>
    <w:rsid w:val="00640895"/>
    <w:rsid w:val="00641265"/>
    <w:rsid w:val="006419E3"/>
    <w:rsid w:val="00641E26"/>
    <w:rsid w:val="00642134"/>
    <w:rsid w:val="00642306"/>
    <w:rsid w:val="00644321"/>
    <w:rsid w:val="00644ED0"/>
    <w:rsid w:val="006455A8"/>
    <w:rsid w:val="0064791A"/>
    <w:rsid w:val="006569D6"/>
    <w:rsid w:val="00661348"/>
    <w:rsid w:val="0066176B"/>
    <w:rsid w:val="00661805"/>
    <w:rsid w:val="00662521"/>
    <w:rsid w:val="00662854"/>
    <w:rsid w:val="006645EE"/>
    <w:rsid w:val="00665190"/>
    <w:rsid w:val="0066616B"/>
    <w:rsid w:val="0067078F"/>
    <w:rsid w:val="00672B53"/>
    <w:rsid w:val="0067750A"/>
    <w:rsid w:val="00677D75"/>
    <w:rsid w:val="00681822"/>
    <w:rsid w:val="00683641"/>
    <w:rsid w:val="00683A24"/>
    <w:rsid w:val="00683C0C"/>
    <w:rsid w:val="006842B6"/>
    <w:rsid w:val="0068515B"/>
    <w:rsid w:val="006855CA"/>
    <w:rsid w:val="00685EFF"/>
    <w:rsid w:val="0069287E"/>
    <w:rsid w:val="0069379D"/>
    <w:rsid w:val="006952B3"/>
    <w:rsid w:val="00696A0C"/>
    <w:rsid w:val="00697B57"/>
    <w:rsid w:val="006A19E1"/>
    <w:rsid w:val="006A6538"/>
    <w:rsid w:val="006A753C"/>
    <w:rsid w:val="006B008C"/>
    <w:rsid w:val="006B0CD5"/>
    <w:rsid w:val="006B45F2"/>
    <w:rsid w:val="006B7641"/>
    <w:rsid w:val="006C0C83"/>
    <w:rsid w:val="006C3732"/>
    <w:rsid w:val="006C4E24"/>
    <w:rsid w:val="006C52F1"/>
    <w:rsid w:val="006C5964"/>
    <w:rsid w:val="006C6511"/>
    <w:rsid w:val="006C6FEC"/>
    <w:rsid w:val="006C7B75"/>
    <w:rsid w:val="006D161E"/>
    <w:rsid w:val="006D2BD1"/>
    <w:rsid w:val="006D30FD"/>
    <w:rsid w:val="006D33E9"/>
    <w:rsid w:val="006D3F39"/>
    <w:rsid w:val="006D6906"/>
    <w:rsid w:val="006E17B9"/>
    <w:rsid w:val="006E17F4"/>
    <w:rsid w:val="006E1A40"/>
    <w:rsid w:val="006E2C59"/>
    <w:rsid w:val="006E7DAA"/>
    <w:rsid w:val="006F232E"/>
    <w:rsid w:val="006F291B"/>
    <w:rsid w:val="006F47CB"/>
    <w:rsid w:val="006F4911"/>
    <w:rsid w:val="006F67CE"/>
    <w:rsid w:val="006F68B7"/>
    <w:rsid w:val="006F6F7A"/>
    <w:rsid w:val="007005C2"/>
    <w:rsid w:val="0070116E"/>
    <w:rsid w:val="00703768"/>
    <w:rsid w:val="00704A3B"/>
    <w:rsid w:val="007054EB"/>
    <w:rsid w:val="00705CE6"/>
    <w:rsid w:val="0071065A"/>
    <w:rsid w:val="007130A0"/>
    <w:rsid w:val="00713351"/>
    <w:rsid w:val="007139E6"/>
    <w:rsid w:val="00715A43"/>
    <w:rsid w:val="00716120"/>
    <w:rsid w:val="00716D1F"/>
    <w:rsid w:val="00717A33"/>
    <w:rsid w:val="00720783"/>
    <w:rsid w:val="00723A68"/>
    <w:rsid w:val="00725714"/>
    <w:rsid w:val="007266EE"/>
    <w:rsid w:val="00730D90"/>
    <w:rsid w:val="0073108F"/>
    <w:rsid w:val="00731872"/>
    <w:rsid w:val="00733086"/>
    <w:rsid w:val="0073364B"/>
    <w:rsid w:val="00733A67"/>
    <w:rsid w:val="0073452B"/>
    <w:rsid w:val="007354E8"/>
    <w:rsid w:val="00736213"/>
    <w:rsid w:val="0073777C"/>
    <w:rsid w:val="00740670"/>
    <w:rsid w:val="00742EE9"/>
    <w:rsid w:val="00744297"/>
    <w:rsid w:val="0075272E"/>
    <w:rsid w:val="00753224"/>
    <w:rsid w:val="00754331"/>
    <w:rsid w:val="00760101"/>
    <w:rsid w:val="0076127E"/>
    <w:rsid w:val="007626DD"/>
    <w:rsid w:val="007637B8"/>
    <w:rsid w:val="00764760"/>
    <w:rsid w:val="007649BF"/>
    <w:rsid w:val="00764D20"/>
    <w:rsid w:val="00765AF1"/>
    <w:rsid w:val="00767333"/>
    <w:rsid w:val="007703E6"/>
    <w:rsid w:val="00771C62"/>
    <w:rsid w:val="00771F59"/>
    <w:rsid w:val="00775327"/>
    <w:rsid w:val="0077532B"/>
    <w:rsid w:val="00776A72"/>
    <w:rsid w:val="00777F41"/>
    <w:rsid w:val="00781170"/>
    <w:rsid w:val="00782569"/>
    <w:rsid w:val="00784800"/>
    <w:rsid w:val="007848C5"/>
    <w:rsid w:val="00785B8C"/>
    <w:rsid w:val="00787342"/>
    <w:rsid w:val="007925EF"/>
    <w:rsid w:val="00792CEB"/>
    <w:rsid w:val="00793529"/>
    <w:rsid w:val="00795228"/>
    <w:rsid w:val="00797F77"/>
    <w:rsid w:val="007A1EAC"/>
    <w:rsid w:val="007B2E1C"/>
    <w:rsid w:val="007B4957"/>
    <w:rsid w:val="007B6B0D"/>
    <w:rsid w:val="007B7D92"/>
    <w:rsid w:val="007C013F"/>
    <w:rsid w:val="007C0828"/>
    <w:rsid w:val="007C4BA5"/>
    <w:rsid w:val="007C62D8"/>
    <w:rsid w:val="007D1B73"/>
    <w:rsid w:val="007D2B6D"/>
    <w:rsid w:val="007D30E7"/>
    <w:rsid w:val="007D4228"/>
    <w:rsid w:val="007D43AC"/>
    <w:rsid w:val="007D4440"/>
    <w:rsid w:val="007E03DF"/>
    <w:rsid w:val="007E197B"/>
    <w:rsid w:val="007E2F40"/>
    <w:rsid w:val="007E3279"/>
    <w:rsid w:val="007E40C4"/>
    <w:rsid w:val="007E4291"/>
    <w:rsid w:val="007F1C48"/>
    <w:rsid w:val="007F2D68"/>
    <w:rsid w:val="007F45C3"/>
    <w:rsid w:val="007F4BF1"/>
    <w:rsid w:val="007F5829"/>
    <w:rsid w:val="00801478"/>
    <w:rsid w:val="008016A0"/>
    <w:rsid w:val="0080240C"/>
    <w:rsid w:val="0080329A"/>
    <w:rsid w:val="00803401"/>
    <w:rsid w:val="0080345D"/>
    <w:rsid w:val="00803BAE"/>
    <w:rsid w:val="00803FF8"/>
    <w:rsid w:val="00804382"/>
    <w:rsid w:val="008060A1"/>
    <w:rsid w:val="0081244A"/>
    <w:rsid w:val="008128C0"/>
    <w:rsid w:val="00812A28"/>
    <w:rsid w:val="0081476A"/>
    <w:rsid w:val="00815DEC"/>
    <w:rsid w:val="00815E72"/>
    <w:rsid w:val="00816205"/>
    <w:rsid w:val="00816F36"/>
    <w:rsid w:val="00817FEE"/>
    <w:rsid w:val="00823261"/>
    <w:rsid w:val="008255A2"/>
    <w:rsid w:val="0082707F"/>
    <w:rsid w:val="00830251"/>
    <w:rsid w:val="008311F8"/>
    <w:rsid w:val="008315D4"/>
    <w:rsid w:val="0083271E"/>
    <w:rsid w:val="00834399"/>
    <w:rsid w:val="00834975"/>
    <w:rsid w:val="00834BED"/>
    <w:rsid w:val="008407DF"/>
    <w:rsid w:val="00841552"/>
    <w:rsid w:val="00845001"/>
    <w:rsid w:val="00845917"/>
    <w:rsid w:val="00845C3D"/>
    <w:rsid w:val="008476C8"/>
    <w:rsid w:val="00851C27"/>
    <w:rsid w:val="00852569"/>
    <w:rsid w:val="00855EDD"/>
    <w:rsid w:val="00861417"/>
    <w:rsid w:val="00863C7C"/>
    <w:rsid w:val="00866E48"/>
    <w:rsid w:val="00870A11"/>
    <w:rsid w:val="00871A5B"/>
    <w:rsid w:val="00871E92"/>
    <w:rsid w:val="00872D7A"/>
    <w:rsid w:val="008755FB"/>
    <w:rsid w:val="008770D9"/>
    <w:rsid w:val="00880009"/>
    <w:rsid w:val="00881979"/>
    <w:rsid w:val="00882DCC"/>
    <w:rsid w:val="008831F1"/>
    <w:rsid w:val="00884DEE"/>
    <w:rsid w:val="00884F38"/>
    <w:rsid w:val="00885046"/>
    <w:rsid w:val="00886CE1"/>
    <w:rsid w:val="00892EE2"/>
    <w:rsid w:val="0089403F"/>
    <w:rsid w:val="008940A3"/>
    <w:rsid w:val="00894240"/>
    <w:rsid w:val="008945C8"/>
    <w:rsid w:val="00895053"/>
    <w:rsid w:val="00895AA9"/>
    <w:rsid w:val="00896AEF"/>
    <w:rsid w:val="00896F0B"/>
    <w:rsid w:val="008973FC"/>
    <w:rsid w:val="008A0B50"/>
    <w:rsid w:val="008A1476"/>
    <w:rsid w:val="008A46C2"/>
    <w:rsid w:val="008A60B0"/>
    <w:rsid w:val="008A627C"/>
    <w:rsid w:val="008A72F9"/>
    <w:rsid w:val="008B07E6"/>
    <w:rsid w:val="008B1861"/>
    <w:rsid w:val="008B2087"/>
    <w:rsid w:val="008B24E8"/>
    <w:rsid w:val="008B3845"/>
    <w:rsid w:val="008B403D"/>
    <w:rsid w:val="008C14DB"/>
    <w:rsid w:val="008C1794"/>
    <w:rsid w:val="008C6027"/>
    <w:rsid w:val="008D058F"/>
    <w:rsid w:val="008D0DF2"/>
    <w:rsid w:val="008D42F8"/>
    <w:rsid w:val="008D4911"/>
    <w:rsid w:val="008D5CF5"/>
    <w:rsid w:val="008D617E"/>
    <w:rsid w:val="008D6E41"/>
    <w:rsid w:val="008E14FF"/>
    <w:rsid w:val="008E3BC2"/>
    <w:rsid w:val="008E47EB"/>
    <w:rsid w:val="008E489F"/>
    <w:rsid w:val="008E4CAA"/>
    <w:rsid w:val="008E5012"/>
    <w:rsid w:val="008E5ED1"/>
    <w:rsid w:val="008E7B1D"/>
    <w:rsid w:val="008F07A7"/>
    <w:rsid w:val="008F345E"/>
    <w:rsid w:val="008F41C5"/>
    <w:rsid w:val="008F4844"/>
    <w:rsid w:val="008F4F9C"/>
    <w:rsid w:val="008F52A8"/>
    <w:rsid w:val="008F5F73"/>
    <w:rsid w:val="00900EE3"/>
    <w:rsid w:val="00901980"/>
    <w:rsid w:val="00902C84"/>
    <w:rsid w:val="009038E2"/>
    <w:rsid w:val="009039BC"/>
    <w:rsid w:val="009043CF"/>
    <w:rsid w:val="00905154"/>
    <w:rsid w:val="00905223"/>
    <w:rsid w:val="0090539E"/>
    <w:rsid w:val="00905FB6"/>
    <w:rsid w:val="00913280"/>
    <w:rsid w:val="00914425"/>
    <w:rsid w:val="00916DEF"/>
    <w:rsid w:val="00921C05"/>
    <w:rsid w:val="009222AD"/>
    <w:rsid w:val="00922C67"/>
    <w:rsid w:val="009247F0"/>
    <w:rsid w:val="00925E4D"/>
    <w:rsid w:val="00927705"/>
    <w:rsid w:val="0092796C"/>
    <w:rsid w:val="0093152D"/>
    <w:rsid w:val="0093285A"/>
    <w:rsid w:val="00933721"/>
    <w:rsid w:val="00934872"/>
    <w:rsid w:val="00935152"/>
    <w:rsid w:val="00935839"/>
    <w:rsid w:val="009365FC"/>
    <w:rsid w:val="00936772"/>
    <w:rsid w:val="00936A73"/>
    <w:rsid w:val="00937B31"/>
    <w:rsid w:val="00941BF7"/>
    <w:rsid w:val="009432DA"/>
    <w:rsid w:val="00943963"/>
    <w:rsid w:val="009442DC"/>
    <w:rsid w:val="00944AF1"/>
    <w:rsid w:val="00946E24"/>
    <w:rsid w:val="00946E98"/>
    <w:rsid w:val="00947091"/>
    <w:rsid w:val="00947204"/>
    <w:rsid w:val="00950812"/>
    <w:rsid w:val="00951783"/>
    <w:rsid w:val="00951C5C"/>
    <w:rsid w:val="009540C6"/>
    <w:rsid w:val="00956A3F"/>
    <w:rsid w:val="00957B6B"/>
    <w:rsid w:val="00961A17"/>
    <w:rsid w:val="00961ACD"/>
    <w:rsid w:val="009626C6"/>
    <w:rsid w:val="00963F34"/>
    <w:rsid w:val="00964658"/>
    <w:rsid w:val="0096474E"/>
    <w:rsid w:val="00964D7B"/>
    <w:rsid w:val="00966803"/>
    <w:rsid w:val="0097007D"/>
    <w:rsid w:val="009714E6"/>
    <w:rsid w:val="00971F04"/>
    <w:rsid w:val="00972076"/>
    <w:rsid w:val="00972445"/>
    <w:rsid w:val="00972DCD"/>
    <w:rsid w:val="00974368"/>
    <w:rsid w:val="00974C11"/>
    <w:rsid w:val="00977648"/>
    <w:rsid w:val="0098196B"/>
    <w:rsid w:val="00981FFA"/>
    <w:rsid w:val="00982E1E"/>
    <w:rsid w:val="00983DD7"/>
    <w:rsid w:val="00984581"/>
    <w:rsid w:val="009869E6"/>
    <w:rsid w:val="00986B1A"/>
    <w:rsid w:val="009929F5"/>
    <w:rsid w:val="0099770F"/>
    <w:rsid w:val="009A3B63"/>
    <w:rsid w:val="009A3D8A"/>
    <w:rsid w:val="009A42A0"/>
    <w:rsid w:val="009A4FD6"/>
    <w:rsid w:val="009A5923"/>
    <w:rsid w:val="009A6F70"/>
    <w:rsid w:val="009A7063"/>
    <w:rsid w:val="009B0E3E"/>
    <w:rsid w:val="009B0F6E"/>
    <w:rsid w:val="009B1402"/>
    <w:rsid w:val="009B16E9"/>
    <w:rsid w:val="009B21DF"/>
    <w:rsid w:val="009B4E07"/>
    <w:rsid w:val="009B57BE"/>
    <w:rsid w:val="009B5C9A"/>
    <w:rsid w:val="009B65FA"/>
    <w:rsid w:val="009B72D5"/>
    <w:rsid w:val="009C0BED"/>
    <w:rsid w:val="009C12FA"/>
    <w:rsid w:val="009C279F"/>
    <w:rsid w:val="009C2B07"/>
    <w:rsid w:val="009C32E4"/>
    <w:rsid w:val="009C3F08"/>
    <w:rsid w:val="009C3FEF"/>
    <w:rsid w:val="009C5E2F"/>
    <w:rsid w:val="009C7868"/>
    <w:rsid w:val="009D0C6E"/>
    <w:rsid w:val="009D0DD3"/>
    <w:rsid w:val="009D1345"/>
    <w:rsid w:val="009D2DAD"/>
    <w:rsid w:val="009D3333"/>
    <w:rsid w:val="009D4AFD"/>
    <w:rsid w:val="009D59C3"/>
    <w:rsid w:val="009D6B1A"/>
    <w:rsid w:val="009E11B2"/>
    <w:rsid w:val="009E19EF"/>
    <w:rsid w:val="009E1B94"/>
    <w:rsid w:val="009E264D"/>
    <w:rsid w:val="009E2FC6"/>
    <w:rsid w:val="009E3FDC"/>
    <w:rsid w:val="009E42DF"/>
    <w:rsid w:val="009F05E4"/>
    <w:rsid w:val="009F0DAC"/>
    <w:rsid w:val="009F29E5"/>
    <w:rsid w:val="009F5111"/>
    <w:rsid w:val="009F6882"/>
    <w:rsid w:val="009F6CC3"/>
    <w:rsid w:val="009F778D"/>
    <w:rsid w:val="00A00068"/>
    <w:rsid w:val="00A001A9"/>
    <w:rsid w:val="00A00CDA"/>
    <w:rsid w:val="00A01511"/>
    <w:rsid w:val="00A01F13"/>
    <w:rsid w:val="00A02009"/>
    <w:rsid w:val="00A03211"/>
    <w:rsid w:val="00A032E9"/>
    <w:rsid w:val="00A04BB1"/>
    <w:rsid w:val="00A0556B"/>
    <w:rsid w:val="00A065E5"/>
    <w:rsid w:val="00A07759"/>
    <w:rsid w:val="00A104D5"/>
    <w:rsid w:val="00A14B5A"/>
    <w:rsid w:val="00A16223"/>
    <w:rsid w:val="00A173AC"/>
    <w:rsid w:val="00A214B3"/>
    <w:rsid w:val="00A218E4"/>
    <w:rsid w:val="00A21BAE"/>
    <w:rsid w:val="00A21C3B"/>
    <w:rsid w:val="00A22DD6"/>
    <w:rsid w:val="00A23384"/>
    <w:rsid w:val="00A24945"/>
    <w:rsid w:val="00A24B9F"/>
    <w:rsid w:val="00A26F00"/>
    <w:rsid w:val="00A271E6"/>
    <w:rsid w:val="00A27B17"/>
    <w:rsid w:val="00A27E3F"/>
    <w:rsid w:val="00A31EC9"/>
    <w:rsid w:val="00A3293A"/>
    <w:rsid w:val="00A347D5"/>
    <w:rsid w:val="00A34940"/>
    <w:rsid w:val="00A36076"/>
    <w:rsid w:val="00A41943"/>
    <w:rsid w:val="00A434EC"/>
    <w:rsid w:val="00A44ED1"/>
    <w:rsid w:val="00A47B4F"/>
    <w:rsid w:val="00A504FA"/>
    <w:rsid w:val="00A506D5"/>
    <w:rsid w:val="00A55993"/>
    <w:rsid w:val="00A55A0F"/>
    <w:rsid w:val="00A56A69"/>
    <w:rsid w:val="00A61370"/>
    <w:rsid w:val="00A61DA9"/>
    <w:rsid w:val="00A6316F"/>
    <w:rsid w:val="00A63A13"/>
    <w:rsid w:val="00A6414F"/>
    <w:rsid w:val="00A655A1"/>
    <w:rsid w:val="00A7301B"/>
    <w:rsid w:val="00A749E9"/>
    <w:rsid w:val="00A74E0E"/>
    <w:rsid w:val="00A74F3D"/>
    <w:rsid w:val="00A75AE2"/>
    <w:rsid w:val="00A75C0A"/>
    <w:rsid w:val="00A76A46"/>
    <w:rsid w:val="00A818FD"/>
    <w:rsid w:val="00A83A67"/>
    <w:rsid w:val="00A91BCA"/>
    <w:rsid w:val="00A9297F"/>
    <w:rsid w:val="00A94170"/>
    <w:rsid w:val="00A94B99"/>
    <w:rsid w:val="00A96076"/>
    <w:rsid w:val="00AA0666"/>
    <w:rsid w:val="00AA123F"/>
    <w:rsid w:val="00AA1353"/>
    <w:rsid w:val="00AA2DE7"/>
    <w:rsid w:val="00AA4B89"/>
    <w:rsid w:val="00AA68E7"/>
    <w:rsid w:val="00AA776C"/>
    <w:rsid w:val="00AB0CC8"/>
    <w:rsid w:val="00AB1B10"/>
    <w:rsid w:val="00AB34BC"/>
    <w:rsid w:val="00AB5444"/>
    <w:rsid w:val="00AB5BC5"/>
    <w:rsid w:val="00AB60B2"/>
    <w:rsid w:val="00AC05D0"/>
    <w:rsid w:val="00AC0DBE"/>
    <w:rsid w:val="00AC20C7"/>
    <w:rsid w:val="00AC47E3"/>
    <w:rsid w:val="00AC4DB5"/>
    <w:rsid w:val="00AC5357"/>
    <w:rsid w:val="00AC6FB6"/>
    <w:rsid w:val="00AD0B27"/>
    <w:rsid w:val="00AD1F1B"/>
    <w:rsid w:val="00AD2FB5"/>
    <w:rsid w:val="00AD3B6E"/>
    <w:rsid w:val="00AD3E73"/>
    <w:rsid w:val="00AD412E"/>
    <w:rsid w:val="00AD4A4E"/>
    <w:rsid w:val="00AD5EDB"/>
    <w:rsid w:val="00AD66A9"/>
    <w:rsid w:val="00AD6D37"/>
    <w:rsid w:val="00AD6E1B"/>
    <w:rsid w:val="00AD7071"/>
    <w:rsid w:val="00AD76A7"/>
    <w:rsid w:val="00AD7F48"/>
    <w:rsid w:val="00AE1491"/>
    <w:rsid w:val="00AE25EF"/>
    <w:rsid w:val="00AE2F28"/>
    <w:rsid w:val="00AE6F62"/>
    <w:rsid w:val="00AE7144"/>
    <w:rsid w:val="00AE722E"/>
    <w:rsid w:val="00AF3921"/>
    <w:rsid w:val="00AF4684"/>
    <w:rsid w:val="00AF5C38"/>
    <w:rsid w:val="00B0073F"/>
    <w:rsid w:val="00B00BF3"/>
    <w:rsid w:val="00B010A9"/>
    <w:rsid w:val="00B01D11"/>
    <w:rsid w:val="00B046D3"/>
    <w:rsid w:val="00B07F78"/>
    <w:rsid w:val="00B10CA2"/>
    <w:rsid w:val="00B113D7"/>
    <w:rsid w:val="00B12113"/>
    <w:rsid w:val="00B15F06"/>
    <w:rsid w:val="00B21C3A"/>
    <w:rsid w:val="00B24A7D"/>
    <w:rsid w:val="00B30CC4"/>
    <w:rsid w:val="00B30EFE"/>
    <w:rsid w:val="00B31A60"/>
    <w:rsid w:val="00B32767"/>
    <w:rsid w:val="00B338D9"/>
    <w:rsid w:val="00B3498D"/>
    <w:rsid w:val="00B35856"/>
    <w:rsid w:val="00B360EF"/>
    <w:rsid w:val="00B36AF2"/>
    <w:rsid w:val="00B376AD"/>
    <w:rsid w:val="00B40A79"/>
    <w:rsid w:val="00B4226B"/>
    <w:rsid w:val="00B423FD"/>
    <w:rsid w:val="00B4399F"/>
    <w:rsid w:val="00B460C0"/>
    <w:rsid w:val="00B46706"/>
    <w:rsid w:val="00B47651"/>
    <w:rsid w:val="00B47A14"/>
    <w:rsid w:val="00B503BF"/>
    <w:rsid w:val="00B5361A"/>
    <w:rsid w:val="00B5772C"/>
    <w:rsid w:val="00B60287"/>
    <w:rsid w:val="00B607D0"/>
    <w:rsid w:val="00B61E9F"/>
    <w:rsid w:val="00B6239E"/>
    <w:rsid w:val="00B6389E"/>
    <w:rsid w:val="00B67EE9"/>
    <w:rsid w:val="00B704EB"/>
    <w:rsid w:val="00B70C2D"/>
    <w:rsid w:val="00B71E5D"/>
    <w:rsid w:val="00B7216E"/>
    <w:rsid w:val="00B72574"/>
    <w:rsid w:val="00B727DB"/>
    <w:rsid w:val="00B72FD5"/>
    <w:rsid w:val="00B73540"/>
    <w:rsid w:val="00B7533C"/>
    <w:rsid w:val="00B83C0D"/>
    <w:rsid w:val="00B8535F"/>
    <w:rsid w:val="00B8683C"/>
    <w:rsid w:val="00B872F7"/>
    <w:rsid w:val="00B912E3"/>
    <w:rsid w:val="00B9394D"/>
    <w:rsid w:val="00B97E89"/>
    <w:rsid w:val="00B97EA2"/>
    <w:rsid w:val="00BA05D3"/>
    <w:rsid w:val="00BA0D73"/>
    <w:rsid w:val="00BA143F"/>
    <w:rsid w:val="00BA20EC"/>
    <w:rsid w:val="00BA3BEB"/>
    <w:rsid w:val="00BA4A6E"/>
    <w:rsid w:val="00BA70C4"/>
    <w:rsid w:val="00BA76A2"/>
    <w:rsid w:val="00BA7ADD"/>
    <w:rsid w:val="00BB0AB1"/>
    <w:rsid w:val="00BB1193"/>
    <w:rsid w:val="00BB139F"/>
    <w:rsid w:val="00BB146A"/>
    <w:rsid w:val="00BB249D"/>
    <w:rsid w:val="00BB29EF"/>
    <w:rsid w:val="00BB534F"/>
    <w:rsid w:val="00BB6504"/>
    <w:rsid w:val="00BB65F5"/>
    <w:rsid w:val="00BC00B9"/>
    <w:rsid w:val="00BC1B74"/>
    <w:rsid w:val="00BC5EED"/>
    <w:rsid w:val="00BC6763"/>
    <w:rsid w:val="00BC7B2F"/>
    <w:rsid w:val="00BD037F"/>
    <w:rsid w:val="00BD1C81"/>
    <w:rsid w:val="00BD518A"/>
    <w:rsid w:val="00BE2B1C"/>
    <w:rsid w:val="00BE2C3E"/>
    <w:rsid w:val="00BE3BAE"/>
    <w:rsid w:val="00BE59F9"/>
    <w:rsid w:val="00BE71D8"/>
    <w:rsid w:val="00BE77AF"/>
    <w:rsid w:val="00BF1CCC"/>
    <w:rsid w:val="00BF267F"/>
    <w:rsid w:val="00BF2891"/>
    <w:rsid w:val="00BF2CD7"/>
    <w:rsid w:val="00BF48FF"/>
    <w:rsid w:val="00BF646F"/>
    <w:rsid w:val="00BF6E36"/>
    <w:rsid w:val="00C01E1E"/>
    <w:rsid w:val="00C03DA0"/>
    <w:rsid w:val="00C108C5"/>
    <w:rsid w:val="00C1541D"/>
    <w:rsid w:val="00C16F22"/>
    <w:rsid w:val="00C173CB"/>
    <w:rsid w:val="00C212B1"/>
    <w:rsid w:val="00C2148E"/>
    <w:rsid w:val="00C23571"/>
    <w:rsid w:val="00C244BC"/>
    <w:rsid w:val="00C24D53"/>
    <w:rsid w:val="00C24F66"/>
    <w:rsid w:val="00C25E81"/>
    <w:rsid w:val="00C32CFA"/>
    <w:rsid w:val="00C32EDB"/>
    <w:rsid w:val="00C335A2"/>
    <w:rsid w:val="00C33F39"/>
    <w:rsid w:val="00C341E8"/>
    <w:rsid w:val="00C35DAE"/>
    <w:rsid w:val="00C36812"/>
    <w:rsid w:val="00C3705C"/>
    <w:rsid w:val="00C37B9E"/>
    <w:rsid w:val="00C40D19"/>
    <w:rsid w:val="00C422D6"/>
    <w:rsid w:val="00C4243A"/>
    <w:rsid w:val="00C472D5"/>
    <w:rsid w:val="00C477CB"/>
    <w:rsid w:val="00C47A25"/>
    <w:rsid w:val="00C52402"/>
    <w:rsid w:val="00C524AF"/>
    <w:rsid w:val="00C52F8D"/>
    <w:rsid w:val="00C53B43"/>
    <w:rsid w:val="00C54B4F"/>
    <w:rsid w:val="00C55D81"/>
    <w:rsid w:val="00C567D8"/>
    <w:rsid w:val="00C616AA"/>
    <w:rsid w:val="00C65215"/>
    <w:rsid w:val="00C701AB"/>
    <w:rsid w:val="00C71D48"/>
    <w:rsid w:val="00C73130"/>
    <w:rsid w:val="00C73727"/>
    <w:rsid w:val="00C73BEB"/>
    <w:rsid w:val="00C74B47"/>
    <w:rsid w:val="00C7567E"/>
    <w:rsid w:val="00C76A1C"/>
    <w:rsid w:val="00C76CED"/>
    <w:rsid w:val="00C77B8F"/>
    <w:rsid w:val="00C77D57"/>
    <w:rsid w:val="00C77F7B"/>
    <w:rsid w:val="00C80298"/>
    <w:rsid w:val="00C8053D"/>
    <w:rsid w:val="00C8089B"/>
    <w:rsid w:val="00C813A0"/>
    <w:rsid w:val="00C820B3"/>
    <w:rsid w:val="00C82DBF"/>
    <w:rsid w:val="00C836D3"/>
    <w:rsid w:val="00C843A9"/>
    <w:rsid w:val="00C865A5"/>
    <w:rsid w:val="00C866F5"/>
    <w:rsid w:val="00C869A0"/>
    <w:rsid w:val="00C90122"/>
    <w:rsid w:val="00C90A9A"/>
    <w:rsid w:val="00C92CF8"/>
    <w:rsid w:val="00C93094"/>
    <w:rsid w:val="00C947CE"/>
    <w:rsid w:val="00C954F9"/>
    <w:rsid w:val="00CA2059"/>
    <w:rsid w:val="00CA5A0D"/>
    <w:rsid w:val="00CA6898"/>
    <w:rsid w:val="00CA697F"/>
    <w:rsid w:val="00CB0C42"/>
    <w:rsid w:val="00CB2C5E"/>
    <w:rsid w:val="00CB2E78"/>
    <w:rsid w:val="00CB2F26"/>
    <w:rsid w:val="00CB3BC3"/>
    <w:rsid w:val="00CB740C"/>
    <w:rsid w:val="00CC0B56"/>
    <w:rsid w:val="00CC1BBF"/>
    <w:rsid w:val="00CC4A97"/>
    <w:rsid w:val="00CC58DD"/>
    <w:rsid w:val="00CC5992"/>
    <w:rsid w:val="00CC7CC8"/>
    <w:rsid w:val="00CD21FF"/>
    <w:rsid w:val="00CD27DD"/>
    <w:rsid w:val="00CD342F"/>
    <w:rsid w:val="00CD67AB"/>
    <w:rsid w:val="00CD7C18"/>
    <w:rsid w:val="00CE22FC"/>
    <w:rsid w:val="00CE284D"/>
    <w:rsid w:val="00CE29F1"/>
    <w:rsid w:val="00CE2A1C"/>
    <w:rsid w:val="00CE5C98"/>
    <w:rsid w:val="00CE6070"/>
    <w:rsid w:val="00CE6A4E"/>
    <w:rsid w:val="00CE7E95"/>
    <w:rsid w:val="00CF02CF"/>
    <w:rsid w:val="00CF50CF"/>
    <w:rsid w:val="00CF5523"/>
    <w:rsid w:val="00CF5A70"/>
    <w:rsid w:val="00D00714"/>
    <w:rsid w:val="00D00C2B"/>
    <w:rsid w:val="00D02583"/>
    <w:rsid w:val="00D02CAA"/>
    <w:rsid w:val="00D0429E"/>
    <w:rsid w:val="00D0551E"/>
    <w:rsid w:val="00D066C9"/>
    <w:rsid w:val="00D11946"/>
    <w:rsid w:val="00D13B32"/>
    <w:rsid w:val="00D14B7C"/>
    <w:rsid w:val="00D164A0"/>
    <w:rsid w:val="00D17153"/>
    <w:rsid w:val="00D17C90"/>
    <w:rsid w:val="00D20726"/>
    <w:rsid w:val="00D21048"/>
    <w:rsid w:val="00D23208"/>
    <w:rsid w:val="00D267B2"/>
    <w:rsid w:val="00D26D26"/>
    <w:rsid w:val="00D34C82"/>
    <w:rsid w:val="00D36B8E"/>
    <w:rsid w:val="00D37428"/>
    <w:rsid w:val="00D374C8"/>
    <w:rsid w:val="00D4022A"/>
    <w:rsid w:val="00D40344"/>
    <w:rsid w:val="00D40725"/>
    <w:rsid w:val="00D40D29"/>
    <w:rsid w:val="00D4187E"/>
    <w:rsid w:val="00D41D80"/>
    <w:rsid w:val="00D42008"/>
    <w:rsid w:val="00D4387A"/>
    <w:rsid w:val="00D44D22"/>
    <w:rsid w:val="00D450AA"/>
    <w:rsid w:val="00D46E5B"/>
    <w:rsid w:val="00D471B1"/>
    <w:rsid w:val="00D52325"/>
    <w:rsid w:val="00D5287B"/>
    <w:rsid w:val="00D5351A"/>
    <w:rsid w:val="00D5717B"/>
    <w:rsid w:val="00D5742D"/>
    <w:rsid w:val="00D6004C"/>
    <w:rsid w:val="00D60E6E"/>
    <w:rsid w:val="00D64F74"/>
    <w:rsid w:val="00D70ACF"/>
    <w:rsid w:val="00D7348E"/>
    <w:rsid w:val="00D73814"/>
    <w:rsid w:val="00D748CA"/>
    <w:rsid w:val="00D74B4C"/>
    <w:rsid w:val="00D766A6"/>
    <w:rsid w:val="00D769CB"/>
    <w:rsid w:val="00D776E5"/>
    <w:rsid w:val="00D77B0D"/>
    <w:rsid w:val="00D812E7"/>
    <w:rsid w:val="00D821EF"/>
    <w:rsid w:val="00D82FDA"/>
    <w:rsid w:val="00D86AE8"/>
    <w:rsid w:val="00D87BB7"/>
    <w:rsid w:val="00D87CAF"/>
    <w:rsid w:val="00D911FC"/>
    <w:rsid w:val="00D91D32"/>
    <w:rsid w:val="00D937BC"/>
    <w:rsid w:val="00D946D2"/>
    <w:rsid w:val="00D95FF6"/>
    <w:rsid w:val="00D96655"/>
    <w:rsid w:val="00D96A1D"/>
    <w:rsid w:val="00D96A92"/>
    <w:rsid w:val="00DA3B25"/>
    <w:rsid w:val="00DA3D55"/>
    <w:rsid w:val="00DA4931"/>
    <w:rsid w:val="00DA4947"/>
    <w:rsid w:val="00DA51D6"/>
    <w:rsid w:val="00DA5CAF"/>
    <w:rsid w:val="00DA625F"/>
    <w:rsid w:val="00DA75C6"/>
    <w:rsid w:val="00DB0840"/>
    <w:rsid w:val="00DB3A79"/>
    <w:rsid w:val="00DC0732"/>
    <w:rsid w:val="00DC0AAB"/>
    <w:rsid w:val="00DC0B8E"/>
    <w:rsid w:val="00DC0DA8"/>
    <w:rsid w:val="00DC3056"/>
    <w:rsid w:val="00DC3382"/>
    <w:rsid w:val="00DC4E5D"/>
    <w:rsid w:val="00DC676B"/>
    <w:rsid w:val="00DD37C2"/>
    <w:rsid w:val="00DD3DD1"/>
    <w:rsid w:val="00DD6947"/>
    <w:rsid w:val="00DE0627"/>
    <w:rsid w:val="00DE07E8"/>
    <w:rsid w:val="00DE0F2B"/>
    <w:rsid w:val="00DE0FF7"/>
    <w:rsid w:val="00DE176D"/>
    <w:rsid w:val="00DE2886"/>
    <w:rsid w:val="00DE2937"/>
    <w:rsid w:val="00DE2DEF"/>
    <w:rsid w:val="00DE33AE"/>
    <w:rsid w:val="00DE3D4D"/>
    <w:rsid w:val="00DE54FD"/>
    <w:rsid w:val="00DE6B40"/>
    <w:rsid w:val="00DF0A64"/>
    <w:rsid w:val="00DF10EA"/>
    <w:rsid w:val="00DF1AD6"/>
    <w:rsid w:val="00DF2DE4"/>
    <w:rsid w:val="00DF3127"/>
    <w:rsid w:val="00DF4738"/>
    <w:rsid w:val="00DF580C"/>
    <w:rsid w:val="00DF66FC"/>
    <w:rsid w:val="00DF711A"/>
    <w:rsid w:val="00DF7643"/>
    <w:rsid w:val="00DF76F7"/>
    <w:rsid w:val="00DF78EB"/>
    <w:rsid w:val="00E04063"/>
    <w:rsid w:val="00E0565E"/>
    <w:rsid w:val="00E062F3"/>
    <w:rsid w:val="00E067C7"/>
    <w:rsid w:val="00E068C5"/>
    <w:rsid w:val="00E10481"/>
    <w:rsid w:val="00E119F9"/>
    <w:rsid w:val="00E1387B"/>
    <w:rsid w:val="00E13CB0"/>
    <w:rsid w:val="00E13D66"/>
    <w:rsid w:val="00E1552D"/>
    <w:rsid w:val="00E15960"/>
    <w:rsid w:val="00E1631A"/>
    <w:rsid w:val="00E16F13"/>
    <w:rsid w:val="00E17309"/>
    <w:rsid w:val="00E22FFC"/>
    <w:rsid w:val="00E23BB7"/>
    <w:rsid w:val="00E27934"/>
    <w:rsid w:val="00E30C37"/>
    <w:rsid w:val="00E31C57"/>
    <w:rsid w:val="00E32E8B"/>
    <w:rsid w:val="00E33A17"/>
    <w:rsid w:val="00E33BF8"/>
    <w:rsid w:val="00E3645E"/>
    <w:rsid w:val="00E36CE6"/>
    <w:rsid w:val="00E37692"/>
    <w:rsid w:val="00E37A55"/>
    <w:rsid w:val="00E44AA3"/>
    <w:rsid w:val="00E45894"/>
    <w:rsid w:val="00E50200"/>
    <w:rsid w:val="00E53974"/>
    <w:rsid w:val="00E53CD5"/>
    <w:rsid w:val="00E56AA8"/>
    <w:rsid w:val="00E603AF"/>
    <w:rsid w:val="00E60AFF"/>
    <w:rsid w:val="00E653CA"/>
    <w:rsid w:val="00E665AF"/>
    <w:rsid w:val="00E7241D"/>
    <w:rsid w:val="00E7483E"/>
    <w:rsid w:val="00E74862"/>
    <w:rsid w:val="00E76841"/>
    <w:rsid w:val="00E76FCF"/>
    <w:rsid w:val="00E818AC"/>
    <w:rsid w:val="00E82FCA"/>
    <w:rsid w:val="00E87223"/>
    <w:rsid w:val="00E91FB4"/>
    <w:rsid w:val="00E92967"/>
    <w:rsid w:val="00E95C57"/>
    <w:rsid w:val="00E9669B"/>
    <w:rsid w:val="00EA1014"/>
    <w:rsid w:val="00EA1033"/>
    <w:rsid w:val="00EA1B4B"/>
    <w:rsid w:val="00EA2EAC"/>
    <w:rsid w:val="00EA3495"/>
    <w:rsid w:val="00EA3CBA"/>
    <w:rsid w:val="00EA4077"/>
    <w:rsid w:val="00EA4C8F"/>
    <w:rsid w:val="00EA5689"/>
    <w:rsid w:val="00EA7808"/>
    <w:rsid w:val="00EB2006"/>
    <w:rsid w:val="00EB30C7"/>
    <w:rsid w:val="00EB62DB"/>
    <w:rsid w:val="00EB7811"/>
    <w:rsid w:val="00EC0B13"/>
    <w:rsid w:val="00EC2853"/>
    <w:rsid w:val="00EC2985"/>
    <w:rsid w:val="00EC300F"/>
    <w:rsid w:val="00EC4356"/>
    <w:rsid w:val="00EC506F"/>
    <w:rsid w:val="00EC6DCB"/>
    <w:rsid w:val="00EC7E5A"/>
    <w:rsid w:val="00ED08DE"/>
    <w:rsid w:val="00ED0925"/>
    <w:rsid w:val="00ED44A5"/>
    <w:rsid w:val="00ED46CF"/>
    <w:rsid w:val="00ED5515"/>
    <w:rsid w:val="00ED59FF"/>
    <w:rsid w:val="00EE0340"/>
    <w:rsid w:val="00EE1587"/>
    <w:rsid w:val="00EE41B6"/>
    <w:rsid w:val="00EE4367"/>
    <w:rsid w:val="00EE5063"/>
    <w:rsid w:val="00EE58BA"/>
    <w:rsid w:val="00EE6230"/>
    <w:rsid w:val="00EE6D14"/>
    <w:rsid w:val="00EE7878"/>
    <w:rsid w:val="00EE7B48"/>
    <w:rsid w:val="00EF3D4C"/>
    <w:rsid w:val="00EF4136"/>
    <w:rsid w:val="00EF42C9"/>
    <w:rsid w:val="00EF5E11"/>
    <w:rsid w:val="00EF6097"/>
    <w:rsid w:val="00EF671B"/>
    <w:rsid w:val="00EF693E"/>
    <w:rsid w:val="00EF7E5A"/>
    <w:rsid w:val="00F01D65"/>
    <w:rsid w:val="00F05A58"/>
    <w:rsid w:val="00F0735E"/>
    <w:rsid w:val="00F10792"/>
    <w:rsid w:val="00F12B6E"/>
    <w:rsid w:val="00F13A39"/>
    <w:rsid w:val="00F13E57"/>
    <w:rsid w:val="00F1509E"/>
    <w:rsid w:val="00F15D7F"/>
    <w:rsid w:val="00F16EF5"/>
    <w:rsid w:val="00F2013C"/>
    <w:rsid w:val="00F207ED"/>
    <w:rsid w:val="00F30357"/>
    <w:rsid w:val="00F32B9A"/>
    <w:rsid w:val="00F33AD3"/>
    <w:rsid w:val="00F34D0F"/>
    <w:rsid w:val="00F34E80"/>
    <w:rsid w:val="00F34F50"/>
    <w:rsid w:val="00F35BB0"/>
    <w:rsid w:val="00F36414"/>
    <w:rsid w:val="00F3642A"/>
    <w:rsid w:val="00F36F51"/>
    <w:rsid w:val="00F3706E"/>
    <w:rsid w:val="00F37DD8"/>
    <w:rsid w:val="00F4049F"/>
    <w:rsid w:val="00F40C77"/>
    <w:rsid w:val="00F41750"/>
    <w:rsid w:val="00F42579"/>
    <w:rsid w:val="00F42BC0"/>
    <w:rsid w:val="00F46677"/>
    <w:rsid w:val="00F47E2A"/>
    <w:rsid w:val="00F51163"/>
    <w:rsid w:val="00F529C8"/>
    <w:rsid w:val="00F531B6"/>
    <w:rsid w:val="00F538F9"/>
    <w:rsid w:val="00F53D61"/>
    <w:rsid w:val="00F54CFC"/>
    <w:rsid w:val="00F5664D"/>
    <w:rsid w:val="00F56886"/>
    <w:rsid w:val="00F61257"/>
    <w:rsid w:val="00F66C9D"/>
    <w:rsid w:val="00F7295C"/>
    <w:rsid w:val="00F74C45"/>
    <w:rsid w:val="00F75368"/>
    <w:rsid w:val="00F770BF"/>
    <w:rsid w:val="00F8077A"/>
    <w:rsid w:val="00F84F32"/>
    <w:rsid w:val="00F852D0"/>
    <w:rsid w:val="00F923EF"/>
    <w:rsid w:val="00F92715"/>
    <w:rsid w:val="00F940F8"/>
    <w:rsid w:val="00F94DE4"/>
    <w:rsid w:val="00F95ACE"/>
    <w:rsid w:val="00F97A2B"/>
    <w:rsid w:val="00FA5106"/>
    <w:rsid w:val="00FA6384"/>
    <w:rsid w:val="00FA647D"/>
    <w:rsid w:val="00FB26F1"/>
    <w:rsid w:val="00FB2C8A"/>
    <w:rsid w:val="00FB32B7"/>
    <w:rsid w:val="00FB3B79"/>
    <w:rsid w:val="00FB4091"/>
    <w:rsid w:val="00FB4569"/>
    <w:rsid w:val="00FB51BC"/>
    <w:rsid w:val="00FB5C3C"/>
    <w:rsid w:val="00FB77DC"/>
    <w:rsid w:val="00FC0207"/>
    <w:rsid w:val="00FC0D71"/>
    <w:rsid w:val="00FC16DE"/>
    <w:rsid w:val="00FC22F4"/>
    <w:rsid w:val="00FC529A"/>
    <w:rsid w:val="00FC52F8"/>
    <w:rsid w:val="00FC5719"/>
    <w:rsid w:val="00FC7136"/>
    <w:rsid w:val="00FC7ED5"/>
    <w:rsid w:val="00FD067B"/>
    <w:rsid w:val="00FD30A5"/>
    <w:rsid w:val="00FD5CC6"/>
    <w:rsid w:val="00FD6C03"/>
    <w:rsid w:val="00FD6E8E"/>
    <w:rsid w:val="00FD750A"/>
    <w:rsid w:val="00FD7671"/>
    <w:rsid w:val="00FD7A13"/>
    <w:rsid w:val="00FE072D"/>
    <w:rsid w:val="00FE0A91"/>
    <w:rsid w:val="00FE1F09"/>
    <w:rsid w:val="00FE1F20"/>
    <w:rsid w:val="00FE27FF"/>
    <w:rsid w:val="00FE3B54"/>
    <w:rsid w:val="00FE5B8A"/>
    <w:rsid w:val="00FE6B59"/>
    <w:rsid w:val="00FE6B81"/>
    <w:rsid w:val="00FE7FC6"/>
    <w:rsid w:val="00FF273B"/>
    <w:rsid w:val="00FF2DAB"/>
    <w:rsid w:val="00FF392C"/>
    <w:rsid w:val="00FF3B84"/>
    <w:rsid w:val="00FF7175"/>
    <w:rsid w:val="00FF7A48"/>
    <w:rsid w:val="02858215"/>
    <w:rsid w:val="0291B631"/>
    <w:rsid w:val="08472209"/>
    <w:rsid w:val="0C273AE6"/>
    <w:rsid w:val="11A3D7E1"/>
    <w:rsid w:val="16BA5BCF"/>
    <w:rsid w:val="1B9844BE"/>
    <w:rsid w:val="1BEB502A"/>
    <w:rsid w:val="1FD7EC45"/>
    <w:rsid w:val="22B43CCA"/>
    <w:rsid w:val="24DED379"/>
    <w:rsid w:val="2839E868"/>
    <w:rsid w:val="2A412160"/>
    <w:rsid w:val="2AFC3F68"/>
    <w:rsid w:val="2EC1C524"/>
    <w:rsid w:val="2FEA2ED8"/>
    <w:rsid w:val="33C1722D"/>
    <w:rsid w:val="3454F083"/>
    <w:rsid w:val="3A33F496"/>
    <w:rsid w:val="41536F46"/>
    <w:rsid w:val="4627B51F"/>
    <w:rsid w:val="484FD916"/>
    <w:rsid w:val="4AE73DE9"/>
    <w:rsid w:val="4D494C59"/>
    <w:rsid w:val="4D963B61"/>
    <w:rsid w:val="4FB36371"/>
    <w:rsid w:val="4FEF9719"/>
    <w:rsid w:val="507FB32F"/>
    <w:rsid w:val="5140262A"/>
    <w:rsid w:val="5207ECBB"/>
    <w:rsid w:val="53D20FF8"/>
    <w:rsid w:val="5C5A3D22"/>
    <w:rsid w:val="6133A274"/>
    <w:rsid w:val="651EF323"/>
    <w:rsid w:val="699DD5DC"/>
    <w:rsid w:val="69F7EF08"/>
    <w:rsid w:val="6A4C6C36"/>
    <w:rsid w:val="6FE19FF1"/>
    <w:rsid w:val="75B3CDE4"/>
    <w:rsid w:val="7B23B0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B4464D"/>
  <w15:chartTrackingRefBased/>
  <w15:docId w15:val="{CD6A74B2-BD60-495E-A2D8-381BE7491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461"/>
    <w:pPr>
      <w:spacing w:after="0" w:line="240" w:lineRule="auto"/>
    </w:pPr>
    <w:rPr>
      <w:rFonts w:ascii="Arial" w:eastAsiaTheme="minorEastAsia" w:hAnsi="Arial"/>
      <w:sz w:val="24"/>
      <w:szCs w:val="24"/>
    </w:rPr>
  </w:style>
  <w:style w:type="paragraph" w:styleId="Heading1">
    <w:name w:val="heading 1"/>
    <w:basedOn w:val="Normal"/>
    <w:next w:val="Normal"/>
    <w:link w:val="Heading1Char"/>
    <w:uiPriority w:val="9"/>
    <w:qFormat/>
    <w:rsid w:val="00447461"/>
    <w:pPr>
      <w:keepNext/>
      <w:keepLines/>
      <w:spacing w:before="240"/>
      <w:outlineLvl w:val="0"/>
    </w:pPr>
    <w:rPr>
      <w:rFonts w:eastAsiaTheme="majorEastAsia" w:cstheme="majorBidi"/>
      <w:sz w:val="32"/>
      <w:szCs w:val="32"/>
    </w:rPr>
  </w:style>
  <w:style w:type="paragraph" w:styleId="Heading2">
    <w:name w:val="heading 2"/>
    <w:basedOn w:val="Normal"/>
    <w:next w:val="Normal"/>
    <w:link w:val="Heading2Char"/>
    <w:uiPriority w:val="9"/>
    <w:unhideWhenUsed/>
    <w:qFormat/>
    <w:rsid w:val="00447461"/>
    <w:pPr>
      <w:keepNext/>
      <w:keepLines/>
      <w:spacing w:before="40"/>
      <w:outlineLvl w:val="1"/>
    </w:pPr>
    <w:rPr>
      <w:rFonts w:eastAsiaTheme="majorEastAsia" w:cstheme="majorBidi"/>
      <w:sz w:val="26"/>
      <w:szCs w:val="26"/>
    </w:rPr>
  </w:style>
  <w:style w:type="paragraph" w:styleId="Heading3">
    <w:name w:val="heading 3"/>
    <w:basedOn w:val="Normal"/>
    <w:next w:val="Normal"/>
    <w:link w:val="Heading3Char"/>
    <w:uiPriority w:val="9"/>
    <w:unhideWhenUsed/>
    <w:qFormat/>
    <w:rsid w:val="00E10481"/>
    <w:pPr>
      <w:keepNext/>
      <w:keepLines/>
      <w:spacing w:before="40"/>
      <w:outlineLvl w:val="2"/>
    </w:pPr>
    <w:rPr>
      <w:rFonts w:eastAsiaTheme="majorEastAsia" w:cstheme="majorBidi"/>
    </w:rPr>
  </w:style>
  <w:style w:type="paragraph" w:styleId="Heading4">
    <w:name w:val="heading 4"/>
    <w:basedOn w:val="Normal"/>
    <w:next w:val="Normal"/>
    <w:link w:val="Heading4Char"/>
    <w:uiPriority w:val="9"/>
    <w:unhideWhenUsed/>
    <w:qFormat/>
    <w:rsid w:val="00E10481"/>
    <w:pPr>
      <w:keepNext/>
      <w:keepLines/>
      <w:spacing w:before="4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30D90"/>
    <w:pPr>
      <w:tabs>
        <w:tab w:val="center" w:pos="4513"/>
        <w:tab w:val="right" w:pos="9026"/>
      </w:tabs>
    </w:pPr>
  </w:style>
  <w:style w:type="character" w:customStyle="1" w:styleId="HeaderChar">
    <w:name w:val="Header Char"/>
    <w:basedOn w:val="DefaultParagraphFont"/>
    <w:link w:val="Header"/>
    <w:rsid w:val="00730D90"/>
  </w:style>
  <w:style w:type="paragraph" w:styleId="Footer">
    <w:name w:val="footer"/>
    <w:basedOn w:val="Normal"/>
    <w:link w:val="FooterChar"/>
    <w:uiPriority w:val="99"/>
    <w:unhideWhenUsed/>
    <w:rsid w:val="00730D90"/>
    <w:pPr>
      <w:tabs>
        <w:tab w:val="center" w:pos="4513"/>
        <w:tab w:val="right" w:pos="9026"/>
      </w:tabs>
    </w:pPr>
  </w:style>
  <w:style w:type="character" w:customStyle="1" w:styleId="FooterChar">
    <w:name w:val="Footer Char"/>
    <w:basedOn w:val="DefaultParagraphFont"/>
    <w:link w:val="Footer"/>
    <w:uiPriority w:val="99"/>
    <w:rsid w:val="00730D90"/>
  </w:style>
  <w:style w:type="paragraph" w:styleId="ListParagraph">
    <w:name w:val="List Paragraph"/>
    <w:basedOn w:val="Normal"/>
    <w:uiPriority w:val="34"/>
    <w:qFormat/>
    <w:rsid w:val="009D1345"/>
    <w:pPr>
      <w:ind w:left="720"/>
      <w:contextualSpacing/>
    </w:pPr>
  </w:style>
  <w:style w:type="character" w:styleId="Hyperlink">
    <w:name w:val="Hyperlink"/>
    <w:uiPriority w:val="99"/>
    <w:rsid w:val="008C6027"/>
    <w:rPr>
      <w:color w:val="0563C1"/>
      <w:u w:val="single"/>
    </w:rPr>
  </w:style>
  <w:style w:type="character" w:customStyle="1" w:styleId="Heading1Char">
    <w:name w:val="Heading 1 Char"/>
    <w:basedOn w:val="DefaultParagraphFont"/>
    <w:link w:val="Heading1"/>
    <w:uiPriority w:val="9"/>
    <w:rsid w:val="00447461"/>
    <w:rPr>
      <w:rFonts w:ascii="Arial" w:eastAsiaTheme="majorEastAsia" w:hAnsi="Arial" w:cstheme="majorBidi"/>
      <w:sz w:val="32"/>
      <w:szCs w:val="32"/>
    </w:rPr>
  </w:style>
  <w:style w:type="paragraph" w:styleId="TOCHeading">
    <w:name w:val="TOC Heading"/>
    <w:basedOn w:val="Heading1"/>
    <w:next w:val="Normal"/>
    <w:uiPriority w:val="39"/>
    <w:unhideWhenUsed/>
    <w:qFormat/>
    <w:rsid w:val="008E3BC2"/>
    <w:pPr>
      <w:spacing w:line="259" w:lineRule="auto"/>
      <w:outlineLvl w:val="9"/>
    </w:pPr>
    <w:rPr>
      <w:lang w:val="en-US"/>
    </w:rPr>
  </w:style>
  <w:style w:type="paragraph" w:styleId="TOC1">
    <w:name w:val="toc 1"/>
    <w:basedOn w:val="Normal"/>
    <w:next w:val="Normal"/>
    <w:autoRedefine/>
    <w:uiPriority w:val="39"/>
    <w:unhideWhenUsed/>
    <w:rsid w:val="0041538B"/>
    <w:pPr>
      <w:tabs>
        <w:tab w:val="right" w:leader="dot" w:pos="9019"/>
      </w:tabs>
      <w:spacing w:after="100"/>
    </w:pPr>
  </w:style>
  <w:style w:type="paragraph" w:styleId="Title">
    <w:name w:val="Title"/>
    <w:basedOn w:val="Normal"/>
    <w:next w:val="Normal"/>
    <w:link w:val="TitleChar"/>
    <w:uiPriority w:val="10"/>
    <w:qFormat/>
    <w:rsid w:val="00447461"/>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447461"/>
    <w:rPr>
      <w:rFonts w:ascii="Arial" w:eastAsiaTheme="majorEastAsia" w:hAnsi="Arial" w:cstheme="majorBidi"/>
      <w:spacing w:val="-10"/>
      <w:kern w:val="28"/>
      <w:sz w:val="56"/>
      <w:szCs w:val="56"/>
    </w:rPr>
  </w:style>
  <w:style w:type="character" w:customStyle="1" w:styleId="Heading2Char">
    <w:name w:val="Heading 2 Char"/>
    <w:basedOn w:val="DefaultParagraphFont"/>
    <w:link w:val="Heading2"/>
    <w:uiPriority w:val="9"/>
    <w:rsid w:val="00447461"/>
    <w:rPr>
      <w:rFonts w:ascii="Arial" w:eastAsiaTheme="majorEastAsia" w:hAnsi="Arial" w:cstheme="majorBidi"/>
      <w:sz w:val="26"/>
      <w:szCs w:val="26"/>
    </w:rPr>
  </w:style>
  <w:style w:type="paragraph" w:styleId="TOC2">
    <w:name w:val="toc 2"/>
    <w:basedOn w:val="Normal"/>
    <w:next w:val="Normal"/>
    <w:autoRedefine/>
    <w:uiPriority w:val="39"/>
    <w:unhideWhenUsed/>
    <w:rsid w:val="00C65215"/>
    <w:pPr>
      <w:spacing w:after="100"/>
      <w:ind w:left="240"/>
    </w:pPr>
  </w:style>
  <w:style w:type="character" w:customStyle="1" w:styleId="Heading3Char">
    <w:name w:val="Heading 3 Char"/>
    <w:basedOn w:val="DefaultParagraphFont"/>
    <w:link w:val="Heading3"/>
    <w:uiPriority w:val="9"/>
    <w:rsid w:val="00E10481"/>
    <w:rPr>
      <w:rFonts w:ascii="Arial" w:eastAsiaTheme="majorEastAsia" w:hAnsi="Arial" w:cstheme="majorBidi"/>
      <w:sz w:val="24"/>
      <w:szCs w:val="24"/>
    </w:rPr>
  </w:style>
  <w:style w:type="paragraph" w:styleId="TOC3">
    <w:name w:val="toc 3"/>
    <w:basedOn w:val="Normal"/>
    <w:next w:val="Normal"/>
    <w:autoRedefine/>
    <w:uiPriority w:val="39"/>
    <w:unhideWhenUsed/>
    <w:rsid w:val="007054EB"/>
    <w:pPr>
      <w:tabs>
        <w:tab w:val="right" w:leader="dot" w:pos="9019"/>
      </w:tabs>
      <w:spacing w:after="100"/>
      <w:ind w:left="480"/>
    </w:pPr>
    <w:rPr>
      <w:rFonts w:eastAsia="Times New Roman"/>
      <w:b/>
      <w:bCs/>
      <w:noProof/>
      <w:sz w:val="22"/>
      <w:szCs w:val="22"/>
      <w:lang w:eastAsia="en-GB"/>
    </w:rPr>
  </w:style>
  <w:style w:type="character" w:styleId="UnresolvedMention">
    <w:name w:val="Unresolved Mention"/>
    <w:basedOn w:val="DefaultParagraphFont"/>
    <w:uiPriority w:val="99"/>
    <w:semiHidden/>
    <w:unhideWhenUsed/>
    <w:rsid w:val="00E22FFC"/>
    <w:rPr>
      <w:color w:val="605E5C"/>
      <w:shd w:val="clear" w:color="auto" w:fill="E1DFDD"/>
    </w:rPr>
  </w:style>
  <w:style w:type="character" w:customStyle="1" w:styleId="Heading4Char">
    <w:name w:val="Heading 4 Char"/>
    <w:basedOn w:val="DefaultParagraphFont"/>
    <w:link w:val="Heading4"/>
    <w:uiPriority w:val="9"/>
    <w:rsid w:val="00E10481"/>
    <w:rPr>
      <w:rFonts w:ascii="Arial" w:eastAsiaTheme="majorEastAsia" w:hAnsi="Arial" w:cstheme="majorBidi"/>
      <w:b/>
      <w:iCs/>
      <w:sz w:val="24"/>
      <w:szCs w:val="24"/>
    </w:rPr>
  </w:style>
  <w:style w:type="paragraph" w:styleId="TOC4">
    <w:name w:val="toc 4"/>
    <w:basedOn w:val="Normal"/>
    <w:next w:val="Normal"/>
    <w:autoRedefine/>
    <w:uiPriority w:val="39"/>
    <w:unhideWhenUsed/>
    <w:rsid w:val="00004DB8"/>
    <w:pPr>
      <w:spacing w:after="100"/>
      <w:ind w:left="720"/>
    </w:pPr>
  </w:style>
  <w:style w:type="character" w:styleId="FollowedHyperlink">
    <w:name w:val="FollowedHyperlink"/>
    <w:basedOn w:val="DefaultParagraphFont"/>
    <w:uiPriority w:val="99"/>
    <w:semiHidden/>
    <w:unhideWhenUsed/>
    <w:rsid w:val="0030214F"/>
    <w:rPr>
      <w:color w:val="954F72" w:themeColor="followedHyperlink"/>
      <w:u w:val="single"/>
    </w:rPr>
  </w:style>
  <w:style w:type="character" w:styleId="CommentReference">
    <w:name w:val="annotation reference"/>
    <w:basedOn w:val="DefaultParagraphFont"/>
    <w:uiPriority w:val="99"/>
    <w:semiHidden/>
    <w:unhideWhenUsed/>
    <w:rsid w:val="00274698"/>
    <w:rPr>
      <w:sz w:val="16"/>
      <w:szCs w:val="16"/>
    </w:rPr>
  </w:style>
  <w:style w:type="paragraph" w:styleId="CommentText">
    <w:name w:val="annotation text"/>
    <w:basedOn w:val="Normal"/>
    <w:link w:val="CommentTextChar"/>
    <w:uiPriority w:val="99"/>
    <w:unhideWhenUsed/>
    <w:rsid w:val="00274698"/>
    <w:rPr>
      <w:sz w:val="20"/>
      <w:szCs w:val="20"/>
    </w:rPr>
  </w:style>
  <w:style w:type="character" w:customStyle="1" w:styleId="CommentTextChar">
    <w:name w:val="Comment Text Char"/>
    <w:basedOn w:val="DefaultParagraphFont"/>
    <w:link w:val="CommentText"/>
    <w:uiPriority w:val="99"/>
    <w:rsid w:val="00274698"/>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274698"/>
    <w:rPr>
      <w:b/>
      <w:bCs/>
    </w:rPr>
  </w:style>
  <w:style w:type="character" w:customStyle="1" w:styleId="CommentSubjectChar">
    <w:name w:val="Comment Subject Char"/>
    <w:basedOn w:val="CommentTextChar"/>
    <w:link w:val="CommentSubject"/>
    <w:uiPriority w:val="99"/>
    <w:semiHidden/>
    <w:rsid w:val="00274698"/>
    <w:rPr>
      <w:rFonts w:ascii="Arial" w:eastAsiaTheme="minorEastAsia" w:hAnsi="Arial"/>
      <w:b/>
      <w:bCs/>
      <w:sz w:val="20"/>
      <w:szCs w:val="20"/>
    </w:rPr>
  </w:style>
  <w:style w:type="character" w:styleId="Mention">
    <w:name w:val="Mention"/>
    <w:basedOn w:val="DefaultParagraphFont"/>
    <w:uiPriority w:val="99"/>
    <w:unhideWhenUsed/>
    <w:rsid w:val="0057193F"/>
    <w:rPr>
      <w:color w:val="2B579A"/>
      <w:shd w:val="clear" w:color="auto" w:fill="E1DFDD"/>
    </w:rPr>
  </w:style>
  <w:style w:type="table" w:styleId="TableGrid">
    <w:name w:val="Table Grid"/>
    <w:basedOn w:val="TableNormal"/>
    <w:uiPriority w:val="39"/>
    <w:rsid w:val="00F54C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pre-16-schools-funding-local-authority-guidance-for-2026-to-2027/schools-operational-guide-2026-to-2027" TargetMode="External"/><Relationship Id="rId18" Type="http://schemas.openxmlformats.org/officeDocument/2006/relationships/hyperlink" Target="https://www.legislation.gov.uk/ukpga/1992/52/contents"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1.png"/><Relationship Id="rId7" Type="http://schemas.openxmlformats.org/officeDocument/2006/relationships/settings" Target="settings.xml"/><Relationship Id="rId12" Type="http://schemas.openxmlformats.org/officeDocument/2006/relationships/hyperlink" Target="mailto:SchoolsFinance@Birmingham.gov.uk" TargetMode="External"/><Relationship Id="rId17" Type="http://schemas.openxmlformats.org/officeDocument/2006/relationships/hyperlink" Target="http://www.legislation.gov.uk/uksi/1977/500/contents/made"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legislation.gov.uk/ukpga/1992/52/section/170" TargetMode="External"/><Relationship Id="rId20" Type="http://schemas.openxmlformats.org/officeDocument/2006/relationships/hyperlink" Target="https://www.legislation.gov.uk/ukpga/1992/52/section/168A"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choolsFinance@Birmingham.gov.uk"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legislation.gov.uk/ukpga/1992/52/part/III/crossheading/time-off-for-trade-union-duties-and-activities"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legislation.gov.uk/uksi/2006/246/regulation/13/mad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irmingham.cmis.uk.com/birmingham/Meetings/tabid/70/ctl/ViewMeetingPublic/mid/397/Meeting/14875/Committee/423/Default.aspx" TargetMode="Externa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b86872e-852c-4ba3-99d1-10e4e0767240" xsi:nil="true"/>
    <lcf76f155ced4ddcb4097134ff3c332f xmlns="1ce9011b-86f1-4b85-8468-bde8c49fc6b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18E088D61435D429F53A8D9D38B3C75" ma:contentTypeVersion="16" ma:contentTypeDescription="Create a new document." ma:contentTypeScope="" ma:versionID="d051f25b37c5f98882f7a49a1b763792">
  <xsd:schema xmlns:xsd="http://www.w3.org/2001/XMLSchema" xmlns:xs="http://www.w3.org/2001/XMLSchema" xmlns:p="http://schemas.microsoft.com/office/2006/metadata/properties" xmlns:ns2="1ce9011b-86f1-4b85-8468-bde8c49fc6b6" xmlns:ns3="db86872e-852c-4ba3-99d1-10e4e0767240" targetNamespace="http://schemas.microsoft.com/office/2006/metadata/properties" ma:root="true" ma:fieldsID="da688b352a2041fa20d9e68dc7297162" ns2:_="" ns3:_="">
    <xsd:import namespace="1ce9011b-86f1-4b85-8468-bde8c49fc6b6"/>
    <xsd:import namespace="db86872e-852c-4ba3-99d1-10e4e076724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e9011b-86f1-4b85-8468-bde8c49fc6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7eb6393-bae5-439c-9df7-ed1047f92241"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86872e-852c-4ba3-99d1-10e4e076724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70b6b83-76f1-4f83-84ac-1b0750170f81}" ma:internalName="TaxCatchAll" ma:showField="CatchAllData" ma:web="db86872e-852c-4ba3-99d1-10e4e07672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98E97F-E17D-480F-B8D1-AC2613A3F267}">
  <ds:schemaRefs>
    <ds:schemaRef ds:uri="http://schemas.openxmlformats.org/officeDocument/2006/bibliography"/>
  </ds:schemaRefs>
</ds:datastoreItem>
</file>

<file path=customXml/itemProps2.xml><?xml version="1.0" encoding="utf-8"?>
<ds:datastoreItem xmlns:ds="http://schemas.openxmlformats.org/officeDocument/2006/customXml" ds:itemID="{419CB002-12CD-42C4-A497-1FB31875A635}">
  <ds:schemaRefs>
    <ds:schemaRef ds:uri="http://schemas.microsoft.com/sharepoint/v3/contenttype/forms"/>
  </ds:schemaRefs>
</ds:datastoreItem>
</file>

<file path=customXml/itemProps3.xml><?xml version="1.0" encoding="utf-8"?>
<ds:datastoreItem xmlns:ds="http://schemas.openxmlformats.org/officeDocument/2006/customXml" ds:itemID="{74A73427-BE3A-4F16-A96B-E343841B3258}">
  <ds:schemaRefs>
    <ds:schemaRef ds:uri="http://schemas.microsoft.com/office/2006/metadata/properties"/>
    <ds:schemaRef ds:uri="http://schemas.microsoft.com/office/infopath/2007/PartnerControls"/>
    <ds:schemaRef ds:uri="db86872e-852c-4ba3-99d1-10e4e0767240"/>
    <ds:schemaRef ds:uri="1ce9011b-86f1-4b85-8468-bde8c49fc6b6"/>
  </ds:schemaRefs>
</ds:datastoreItem>
</file>

<file path=customXml/itemProps4.xml><?xml version="1.0" encoding="utf-8"?>
<ds:datastoreItem xmlns:ds="http://schemas.openxmlformats.org/officeDocument/2006/customXml" ds:itemID="{F7A20FB7-4F73-48C3-8B1A-2F07784F41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e9011b-86f1-4b85-8468-bde8c49fc6b6"/>
    <ds:schemaRef ds:uri="db86872e-852c-4ba3-99d1-10e4e07672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14</Pages>
  <Words>4639</Words>
  <Characters>23289</Characters>
  <Application>Microsoft Office Word</Application>
  <DocSecurity>0</DocSecurity>
  <Lines>684</Lines>
  <Paragraphs>313</Paragraphs>
  <ScaleCrop>false</ScaleCrop>
  <Company>Birmingham City Council</Company>
  <LinksUpToDate>false</LinksUpToDate>
  <CharactersWithSpaces>27615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Qtr 1 BCC  monitoring 2025-26</dc:title>
  <dc:subject/>
  <dc:creator>Cameron Birkett</dc:creator>
  <cp:keywords/>
  <dc:description/>
  <cp:lastModifiedBy>Cameron Birkett</cp:lastModifiedBy>
  <cp:revision>1260</cp:revision>
  <dcterms:created xsi:type="dcterms:W3CDTF">2025-06-25T08:36:00Z</dcterms:created>
  <dcterms:modified xsi:type="dcterms:W3CDTF">2026-02-24T14:05:00Z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1,3,4</vt:lpwstr>
  </property>
  <property fmtid="{D5CDD505-2E9C-101B-9397-08002B2CF9AE}" pid="3" name="ClassificationContentMarkingFooterFontProps">
    <vt:lpwstr>#000000,10,Calibri</vt:lpwstr>
  </property>
  <property fmtid="{D5CDD505-2E9C-101B-9397-08002B2CF9AE}" pid="4" name="ClassificationContentMarkingFooterText">
    <vt:lpwstr>OFFICIAL</vt:lpwstr>
  </property>
  <property fmtid="{D5CDD505-2E9C-101B-9397-08002B2CF9AE}" pid="5" name="MSIP_Label_a17471b1-27ab-4640-9264-e69a67407ca3_Enabled">
    <vt:lpwstr>true</vt:lpwstr>
  </property>
  <property fmtid="{D5CDD505-2E9C-101B-9397-08002B2CF9AE}" pid="6" name="MSIP_Label_a17471b1-27ab-4640-9264-e69a67407ca3_SetDate">
    <vt:lpwstr>2023-08-14T12:43:47Z</vt:lpwstr>
  </property>
  <property fmtid="{D5CDD505-2E9C-101B-9397-08002B2CF9AE}" pid="7" name="MSIP_Label_a17471b1-27ab-4640-9264-e69a67407ca3_Method">
    <vt:lpwstr>Standard</vt:lpwstr>
  </property>
  <property fmtid="{D5CDD505-2E9C-101B-9397-08002B2CF9AE}" pid="8" name="MSIP_Label_a17471b1-27ab-4640-9264-e69a67407ca3_Name">
    <vt:lpwstr>BCC - OFFICIAL</vt:lpwstr>
  </property>
  <property fmtid="{D5CDD505-2E9C-101B-9397-08002B2CF9AE}" pid="9" name="MSIP_Label_a17471b1-27ab-4640-9264-e69a67407ca3_SiteId">
    <vt:lpwstr>699ace67-d2e4-4bcd-b303-d2bbe2b9bbf1</vt:lpwstr>
  </property>
  <property fmtid="{D5CDD505-2E9C-101B-9397-08002B2CF9AE}" pid="10" name="MSIP_Label_a17471b1-27ab-4640-9264-e69a67407ca3_ActionId">
    <vt:lpwstr>07e1f60a-a723-4fbc-b3a5-9133bc936ab9</vt:lpwstr>
  </property>
  <property fmtid="{D5CDD505-2E9C-101B-9397-08002B2CF9AE}" pid="11" name="MSIP_Label_a17471b1-27ab-4640-9264-e69a67407ca3_ContentBits">
    <vt:lpwstr>2</vt:lpwstr>
  </property>
  <property fmtid="{D5CDD505-2E9C-101B-9397-08002B2CF9AE}" pid="12" name="ContentTypeId">
    <vt:lpwstr>0x010100718E088D61435D429F53A8D9D38B3C75</vt:lpwstr>
  </property>
  <property fmtid="{D5CDD505-2E9C-101B-9397-08002B2CF9AE}" pid="13" name="MediaServiceImageTags">
    <vt:lpwstr/>
  </property>
</Properties>
</file>