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8BC0D" w14:textId="77777777" w:rsidR="004E1929" w:rsidRDefault="00B8283E">
      <w:pPr>
        <w:pStyle w:val="BodyText"/>
        <w:ind w:left="6540" w:firstLine="0"/>
        <w:rPr>
          <w:rFonts w:ascii="Times New Roman"/>
          <w:sz w:val="20"/>
        </w:rPr>
      </w:pPr>
      <w:r>
        <w:rPr>
          <w:rFonts w:ascii="Times New Roman"/>
          <w:noProof/>
          <w:sz w:val="20"/>
        </w:rPr>
        <w:drawing>
          <wp:inline distT="0" distB="0" distL="0" distR="0" wp14:anchorId="3DE8BC3E" wp14:editId="3DE8BC3F">
            <wp:extent cx="2349757" cy="536448"/>
            <wp:effectExtent l="0" t="0" r="0" b="0"/>
            <wp:docPr id="1" name="image1.jpeg" descr="BCC_logo_black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BCC_logo_black_office"/>
                    <pic:cNvPicPr/>
                  </pic:nvPicPr>
                  <pic:blipFill>
                    <a:blip r:embed="rId5" cstate="print"/>
                    <a:stretch>
                      <a:fillRect/>
                    </a:stretch>
                  </pic:blipFill>
                  <pic:spPr>
                    <a:xfrm>
                      <a:off x="0" y="0"/>
                      <a:ext cx="2349757" cy="536448"/>
                    </a:xfrm>
                    <a:prstGeom prst="rect">
                      <a:avLst/>
                    </a:prstGeom>
                  </pic:spPr>
                </pic:pic>
              </a:graphicData>
            </a:graphic>
          </wp:inline>
        </w:drawing>
      </w:r>
    </w:p>
    <w:p w14:paraId="3DE8BC0E" w14:textId="77777777" w:rsidR="004E1929" w:rsidRDefault="004E1929">
      <w:pPr>
        <w:pStyle w:val="BodyText"/>
        <w:spacing w:before="4"/>
        <w:ind w:firstLine="0"/>
        <w:rPr>
          <w:rFonts w:ascii="Times New Roman"/>
          <w:sz w:val="26"/>
        </w:rPr>
      </w:pPr>
    </w:p>
    <w:p w14:paraId="3DE8BC0F" w14:textId="77777777" w:rsidR="004E1929" w:rsidRDefault="00B8283E">
      <w:pPr>
        <w:pStyle w:val="Heading1"/>
        <w:spacing w:before="51" w:line="470" w:lineRule="auto"/>
        <w:ind w:left="100" w:right="2952" w:firstLine="0"/>
      </w:pPr>
      <w:r>
        <w:t>Jewellery Quarter Neighbourhood Development Plan - Referendum 2023 General Information Statement on Town and Country Planning</w:t>
      </w:r>
    </w:p>
    <w:p w14:paraId="3DE8BC10" w14:textId="77777777" w:rsidR="004E1929" w:rsidRDefault="00B8283E">
      <w:pPr>
        <w:pStyle w:val="ListParagraph"/>
        <w:numPr>
          <w:ilvl w:val="0"/>
          <w:numId w:val="3"/>
        </w:numPr>
        <w:tabs>
          <w:tab w:val="left" w:pos="386"/>
        </w:tabs>
        <w:spacing w:line="290" w:lineRule="exact"/>
        <w:ind w:hanging="286"/>
        <w:rPr>
          <w:b/>
          <w:sz w:val="24"/>
        </w:rPr>
      </w:pPr>
      <w:r>
        <w:rPr>
          <w:b/>
          <w:spacing w:val="9"/>
          <w:sz w:val="24"/>
        </w:rPr>
        <w:t xml:space="preserve">The </w:t>
      </w:r>
      <w:r>
        <w:rPr>
          <w:b/>
          <w:spacing w:val="12"/>
          <w:sz w:val="24"/>
        </w:rPr>
        <w:t>Planning</w:t>
      </w:r>
      <w:r>
        <w:rPr>
          <w:b/>
          <w:spacing w:val="-16"/>
          <w:sz w:val="24"/>
        </w:rPr>
        <w:t xml:space="preserve"> </w:t>
      </w:r>
      <w:r>
        <w:rPr>
          <w:b/>
          <w:spacing w:val="12"/>
          <w:sz w:val="24"/>
        </w:rPr>
        <w:t>System</w:t>
      </w:r>
    </w:p>
    <w:p w14:paraId="3DE8BC11" w14:textId="77777777" w:rsidR="004E1929" w:rsidRDefault="00B8283E">
      <w:pPr>
        <w:pStyle w:val="ListParagraph"/>
        <w:numPr>
          <w:ilvl w:val="1"/>
          <w:numId w:val="3"/>
        </w:numPr>
        <w:tabs>
          <w:tab w:val="left" w:pos="821"/>
        </w:tabs>
        <w:spacing w:before="185"/>
        <w:ind w:right="1199"/>
        <w:jc w:val="both"/>
        <w:rPr>
          <w:sz w:val="24"/>
        </w:rPr>
      </w:pPr>
      <w:r>
        <w:rPr>
          <w:sz w:val="24"/>
        </w:rPr>
        <w:t>The</w:t>
      </w:r>
      <w:r>
        <w:rPr>
          <w:spacing w:val="-13"/>
          <w:sz w:val="24"/>
        </w:rPr>
        <w:t xml:space="preserve"> </w:t>
      </w:r>
      <w:r>
        <w:rPr>
          <w:sz w:val="24"/>
        </w:rPr>
        <w:t>planning</w:t>
      </w:r>
      <w:r>
        <w:rPr>
          <w:spacing w:val="-14"/>
          <w:sz w:val="24"/>
        </w:rPr>
        <w:t xml:space="preserve"> </w:t>
      </w:r>
      <w:r>
        <w:rPr>
          <w:sz w:val="24"/>
        </w:rPr>
        <w:t>system</w:t>
      </w:r>
      <w:r>
        <w:rPr>
          <w:spacing w:val="-10"/>
          <w:sz w:val="24"/>
        </w:rPr>
        <w:t xml:space="preserve"> </w:t>
      </w:r>
      <w:r>
        <w:rPr>
          <w:sz w:val="24"/>
        </w:rPr>
        <w:t>manages</w:t>
      </w:r>
      <w:r>
        <w:rPr>
          <w:spacing w:val="-11"/>
          <w:sz w:val="24"/>
        </w:rPr>
        <w:t xml:space="preserve"> </w:t>
      </w:r>
      <w:r>
        <w:rPr>
          <w:sz w:val="24"/>
        </w:rPr>
        <w:t>the</w:t>
      </w:r>
      <w:r>
        <w:rPr>
          <w:spacing w:val="-13"/>
          <w:sz w:val="24"/>
        </w:rPr>
        <w:t xml:space="preserve"> </w:t>
      </w:r>
      <w:r>
        <w:rPr>
          <w:sz w:val="24"/>
        </w:rPr>
        <w:t>use</w:t>
      </w:r>
      <w:r>
        <w:rPr>
          <w:spacing w:val="-11"/>
          <w:sz w:val="24"/>
        </w:rPr>
        <w:t xml:space="preserve"> </w:t>
      </w:r>
      <w:r>
        <w:rPr>
          <w:sz w:val="24"/>
        </w:rPr>
        <w:t>and</w:t>
      </w:r>
      <w:r>
        <w:rPr>
          <w:spacing w:val="-12"/>
          <w:sz w:val="24"/>
        </w:rPr>
        <w:t xml:space="preserve"> </w:t>
      </w:r>
      <w:r>
        <w:rPr>
          <w:sz w:val="24"/>
        </w:rPr>
        <w:t>development</w:t>
      </w:r>
      <w:r>
        <w:rPr>
          <w:spacing w:val="-10"/>
          <w:sz w:val="24"/>
        </w:rPr>
        <w:t xml:space="preserve"> </w:t>
      </w:r>
      <w:r>
        <w:rPr>
          <w:sz w:val="24"/>
        </w:rPr>
        <w:t>of</w:t>
      </w:r>
      <w:r>
        <w:rPr>
          <w:spacing w:val="-10"/>
          <w:sz w:val="24"/>
        </w:rPr>
        <w:t xml:space="preserve"> </w:t>
      </w:r>
      <w:r>
        <w:rPr>
          <w:sz w:val="24"/>
        </w:rPr>
        <w:t>land</w:t>
      </w:r>
      <w:r>
        <w:rPr>
          <w:spacing w:val="-13"/>
          <w:sz w:val="24"/>
        </w:rPr>
        <w:t xml:space="preserve"> </w:t>
      </w:r>
      <w:r>
        <w:rPr>
          <w:sz w:val="24"/>
        </w:rPr>
        <w:t>and</w:t>
      </w:r>
      <w:r>
        <w:rPr>
          <w:spacing w:val="-12"/>
          <w:sz w:val="24"/>
        </w:rPr>
        <w:t xml:space="preserve"> </w:t>
      </w:r>
      <w:r>
        <w:rPr>
          <w:sz w:val="24"/>
        </w:rPr>
        <w:t>buildings</w:t>
      </w:r>
      <w:r>
        <w:rPr>
          <w:spacing w:val="-11"/>
          <w:sz w:val="24"/>
        </w:rPr>
        <w:t xml:space="preserve"> </w:t>
      </w:r>
      <w:r>
        <w:rPr>
          <w:sz w:val="24"/>
        </w:rPr>
        <w:t>with</w:t>
      </w:r>
      <w:r>
        <w:rPr>
          <w:spacing w:val="-13"/>
          <w:sz w:val="24"/>
        </w:rPr>
        <w:t xml:space="preserve"> </w:t>
      </w:r>
      <w:r>
        <w:rPr>
          <w:sz w:val="24"/>
        </w:rPr>
        <w:t>the aim of creating better places to live and work. Without a planning system in place, development would be uncontrolled and could take place anywhere, without consideration of the impact on the environment and local people. Planning aims to strike a sust</w:t>
      </w:r>
      <w:r>
        <w:rPr>
          <w:sz w:val="24"/>
        </w:rPr>
        <w:t xml:space="preserve">ainable balance between the provision of housing, jobs, </w:t>
      </w:r>
      <w:proofErr w:type="gramStart"/>
      <w:r>
        <w:rPr>
          <w:sz w:val="24"/>
        </w:rPr>
        <w:t>retail</w:t>
      </w:r>
      <w:proofErr w:type="gramEnd"/>
      <w:r>
        <w:rPr>
          <w:sz w:val="24"/>
        </w:rPr>
        <w:t xml:space="preserve"> and transport and protecting the natural and historic</w:t>
      </w:r>
      <w:r>
        <w:rPr>
          <w:spacing w:val="-7"/>
          <w:sz w:val="24"/>
        </w:rPr>
        <w:t xml:space="preserve"> </w:t>
      </w:r>
      <w:r>
        <w:rPr>
          <w:sz w:val="24"/>
        </w:rPr>
        <w:t>environment.</w:t>
      </w:r>
    </w:p>
    <w:p w14:paraId="3DE8BC12" w14:textId="77777777" w:rsidR="004E1929" w:rsidRDefault="004E1929">
      <w:pPr>
        <w:pStyle w:val="BodyText"/>
        <w:spacing w:before="11"/>
        <w:ind w:firstLine="0"/>
        <w:rPr>
          <w:sz w:val="23"/>
        </w:rPr>
      </w:pPr>
    </w:p>
    <w:p w14:paraId="3DE8BC13" w14:textId="77777777" w:rsidR="004E1929" w:rsidRDefault="00B8283E">
      <w:pPr>
        <w:pStyle w:val="ListParagraph"/>
        <w:numPr>
          <w:ilvl w:val="1"/>
          <w:numId w:val="3"/>
        </w:numPr>
        <w:tabs>
          <w:tab w:val="left" w:pos="821"/>
        </w:tabs>
        <w:ind w:right="1197"/>
        <w:jc w:val="both"/>
        <w:rPr>
          <w:sz w:val="24"/>
        </w:rPr>
      </w:pPr>
      <w:r>
        <w:rPr>
          <w:sz w:val="24"/>
        </w:rPr>
        <w:t>The planning system has two parts which are usually the responsibility of the Local Planning</w:t>
      </w:r>
      <w:r>
        <w:rPr>
          <w:spacing w:val="-1"/>
          <w:sz w:val="24"/>
        </w:rPr>
        <w:t xml:space="preserve"> </w:t>
      </w:r>
      <w:r>
        <w:rPr>
          <w:sz w:val="24"/>
        </w:rPr>
        <w:t>Authority:</w:t>
      </w:r>
    </w:p>
    <w:p w14:paraId="3DE8BC14" w14:textId="77777777" w:rsidR="004E1929" w:rsidRDefault="004E1929">
      <w:pPr>
        <w:pStyle w:val="BodyText"/>
        <w:spacing w:before="1"/>
        <w:ind w:firstLine="0"/>
      </w:pPr>
    </w:p>
    <w:p w14:paraId="3DE8BC15" w14:textId="77777777" w:rsidR="004E1929" w:rsidRDefault="00B8283E">
      <w:pPr>
        <w:pStyle w:val="ListParagraph"/>
        <w:numPr>
          <w:ilvl w:val="2"/>
          <w:numId w:val="3"/>
        </w:numPr>
        <w:tabs>
          <w:tab w:val="left" w:pos="1540"/>
          <w:tab w:val="left" w:pos="1541"/>
        </w:tabs>
        <w:spacing w:before="1"/>
        <w:ind w:right="1201"/>
        <w:rPr>
          <w:sz w:val="24"/>
        </w:rPr>
      </w:pPr>
      <w:r>
        <w:rPr>
          <w:sz w:val="24"/>
        </w:rPr>
        <w:t>Plan-making - settin</w:t>
      </w:r>
      <w:r>
        <w:rPr>
          <w:sz w:val="24"/>
        </w:rPr>
        <w:t xml:space="preserve">g out proposals for development and policies to guide development over </w:t>
      </w:r>
      <w:proofErr w:type="gramStart"/>
      <w:r>
        <w:rPr>
          <w:sz w:val="24"/>
        </w:rPr>
        <w:t>a period of time</w:t>
      </w:r>
      <w:proofErr w:type="gramEnd"/>
      <w:r>
        <w:rPr>
          <w:sz w:val="24"/>
        </w:rPr>
        <w:t>.</w:t>
      </w:r>
    </w:p>
    <w:p w14:paraId="3DE8BC16" w14:textId="77777777" w:rsidR="004E1929" w:rsidRDefault="00B8283E">
      <w:pPr>
        <w:pStyle w:val="ListParagraph"/>
        <w:numPr>
          <w:ilvl w:val="2"/>
          <w:numId w:val="3"/>
        </w:numPr>
        <w:tabs>
          <w:tab w:val="left" w:pos="1540"/>
          <w:tab w:val="left" w:pos="1541"/>
        </w:tabs>
        <w:ind w:right="1198"/>
        <w:rPr>
          <w:sz w:val="24"/>
        </w:rPr>
      </w:pPr>
      <w:r>
        <w:rPr>
          <w:sz w:val="24"/>
        </w:rPr>
        <w:t>Development management – where planning decisions are made through the assessment of planning</w:t>
      </w:r>
      <w:r>
        <w:rPr>
          <w:spacing w:val="-3"/>
          <w:sz w:val="24"/>
        </w:rPr>
        <w:t xml:space="preserve"> </w:t>
      </w:r>
      <w:r>
        <w:rPr>
          <w:sz w:val="24"/>
        </w:rPr>
        <w:t>applications.</w:t>
      </w:r>
    </w:p>
    <w:p w14:paraId="3DE8BC17" w14:textId="77777777" w:rsidR="004E1929" w:rsidRDefault="004E1929">
      <w:pPr>
        <w:pStyle w:val="BodyText"/>
        <w:ind w:firstLine="0"/>
      </w:pPr>
    </w:p>
    <w:p w14:paraId="3DE8BC18" w14:textId="77777777" w:rsidR="004E1929" w:rsidRDefault="00B8283E">
      <w:pPr>
        <w:pStyle w:val="ListParagraph"/>
        <w:numPr>
          <w:ilvl w:val="1"/>
          <w:numId w:val="3"/>
        </w:numPr>
        <w:tabs>
          <w:tab w:val="left" w:pos="821"/>
        </w:tabs>
        <w:ind w:right="1195"/>
        <w:jc w:val="both"/>
        <w:rPr>
          <w:sz w:val="24"/>
        </w:rPr>
      </w:pPr>
      <w:r>
        <w:rPr>
          <w:sz w:val="24"/>
        </w:rPr>
        <w:t>For development that requires planning permission, Birmingham City Council is responsible for determining planning applications. If ‘made’ (adopted), the Jewellery Quarter Neighbourhood Plan 2022-2032 will become part of the statutory development</w:t>
      </w:r>
      <w:r>
        <w:rPr>
          <w:spacing w:val="-7"/>
          <w:sz w:val="24"/>
        </w:rPr>
        <w:t xml:space="preserve"> </w:t>
      </w:r>
      <w:r>
        <w:rPr>
          <w:sz w:val="24"/>
        </w:rPr>
        <w:t>plan</w:t>
      </w:r>
      <w:r>
        <w:rPr>
          <w:spacing w:val="-5"/>
          <w:sz w:val="24"/>
        </w:rPr>
        <w:t xml:space="preserve"> </w:t>
      </w:r>
      <w:r>
        <w:rPr>
          <w:sz w:val="24"/>
        </w:rPr>
        <w:t>and</w:t>
      </w:r>
      <w:r>
        <w:rPr>
          <w:spacing w:val="-9"/>
          <w:sz w:val="24"/>
        </w:rPr>
        <w:t xml:space="preserve"> </w:t>
      </w:r>
      <w:r>
        <w:rPr>
          <w:sz w:val="24"/>
        </w:rPr>
        <w:t>be</w:t>
      </w:r>
      <w:r>
        <w:rPr>
          <w:spacing w:val="-6"/>
          <w:sz w:val="24"/>
        </w:rPr>
        <w:t xml:space="preserve"> </w:t>
      </w:r>
      <w:r>
        <w:rPr>
          <w:sz w:val="24"/>
        </w:rPr>
        <w:t>used</w:t>
      </w:r>
      <w:r>
        <w:rPr>
          <w:spacing w:val="-8"/>
          <w:sz w:val="24"/>
        </w:rPr>
        <w:t xml:space="preserve"> </w:t>
      </w:r>
      <w:r>
        <w:rPr>
          <w:sz w:val="24"/>
        </w:rPr>
        <w:t>in</w:t>
      </w:r>
      <w:r>
        <w:rPr>
          <w:spacing w:val="-8"/>
          <w:sz w:val="24"/>
        </w:rPr>
        <w:t xml:space="preserve"> </w:t>
      </w:r>
      <w:r>
        <w:rPr>
          <w:sz w:val="24"/>
        </w:rPr>
        <w:t>decision</w:t>
      </w:r>
      <w:r>
        <w:rPr>
          <w:spacing w:val="-7"/>
          <w:sz w:val="24"/>
        </w:rPr>
        <w:t xml:space="preserve"> </w:t>
      </w:r>
      <w:r>
        <w:rPr>
          <w:sz w:val="24"/>
        </w:rPr>
        <w:t>making</w:t>
      </w:r>
      <w:r>
        <w:rPr>
          <w:spacing w:val="-7"/>
          <w:sz w:val="24"/>
        </w:rPr>
        <w:t xml:space="preserve"> </w:t>
      </w:r>
      <w:r>
        <w:rPr>
          <w:sz w:val="24"/>
        </w:rPr>
        <w:t>on</w:t>
      </w:r>
      <w:r>
        <w:rPr>
          <w:spacing w:val="-5"/>
          <w:sz w:val="24"/>
        </w:rPr>
        <w:t xml:space="preserve"> </w:t>
      </w:r>
      <w:r>
        <w:rPr>
          <w:sz w:val="24"/>
        </w:rPr>
        <w:t>planning</w:t>
      </w:r>
      <w:r>
        <w:rPr>
          <w:spacing w:val="-7"/>
          <w:sz w:val="24"/>
        </w:rPr>
        <w:t xml:space="preserve"> </w:t>
      </w:r>
      <w:r>
        <w:rPr>
          <w:sz w:val="24"/>
        </w:rPr>
        <w:t>applications</w:t>
      </w:r>
      <w:r>
        <w:rPr>
          <w:spacing w:val="-7"/>
          <w:sz w:val="24"/>
        </w:rPr>
        <w:t xml:space="preserve"> </w:t>
      </w:r>
      <w:r>
        <w:rPr>
          <w:sz w:val="24"/>
        </w:rPr>
        <w:t>within</w:t>
      </w:r>
      <w:r>
        <w:rPr>
          <w:spacing w:val="-8"/>
          <w:sz w:val="24"/>
        </w:rPr>
        <w:t xml:space="preserve"> </w:t>
      </w:r>
      <w:r>
        <w:rPr>
          <w:sz w:val="24"/>
        </w:rPr>
        <w:t>the plan</w:t>
      </w:r>
      <w:r>
        <w:rPr>
          <w:spacing w:val="-2"/>
          <w:sz w:val="24"/>
        </w:rPr>
        <w:t xml:space="preserve"> </w:t>
      </w:r>
      <w:r>
        <w:rPr>
          <w:sz w:val="24"/>
        </w:rPr>
        <w:t>boundary.</w:t>
      </w:r>
    </w:p>
    <w:p w14:paraId="3DE8BC19" w14:textId="77777777" w:rsidR="004E1929" w:rsidRDefault="004E1929">
      <w:pPr>
        <w:pStyle w:val="BodyText"/>
        <w:ind w:firstLine="0"/>
      </w:pPr>
    </w:p>
    <w:p w14:paraId="3DE8BC1A" w14:textId="77777777" w:rsidR="004E1929" w:rsidRDefault="00B8283E">
      <w:pPr>
        <w:pStyle w:val="Heading1"/>
        <w:numPr>
          <w:ilvl w:val="0"/>
          <w:numId w:val="3"/>
        </w:numPr>
        <w:tabs>
          <w:tab w:val="left" w:pos="386"/>
        </w:tabs>
        <w:ind w:hanging="286"/>
      </w:pPr>
      <w:r>
        <w:rPr>
          <w:spacing w:val="12"/>
        </w:rPr>
        <w:t xml:space="preserve">National Planning </w:t>
      </w:r>
      <w:r>
        <w:rPr>
          <w:spacing w:val="11"/>
        </w:rPr>
        <w:t xml:space="preserve">Policy </w:t>
      </w:r>
      <w:r>
        <w:rPr>
          <w:spacing w:val="12"/>
        </w:rPr>
        <w:t xml:space="preserve">Framework </w:t>
      </w:r>
      <w:r>
        <w:rPr>
          <w:spacing w:val="11"/>
        </w:rPr>
        <w:t>(NPPF)</w:t>
      </w:r>
      <w:r>
        <w:rPr>
          <w:spacing w:val="36"/>
        </w:rPr>
        <w:t xml:space="preserve"> </w:t>
      </w:r>
      <w:r>
        <w:rPr>
          <w:spacing w:val="14"/>
        </w:rPr>
        <w:t>(2021)</w:t>
      </w:r>
    </w:p>
    <w:p w14:paraId="3DE8BC1B" w14:textId="77777777" w:rsidR="004E1929" w:rsidRDefault="00B8283E">
      <w:pPr>
        <w:pStyle w:val="ListParagraph"/>
        <w:numPr>
          <w:ilvl w:val="1"/>
          <w:numId w:val="3"/>
        </w:numPr>
        <w:tabs>
          <w:tab w:val="left" w:pos="876"/>
        </w:tabs>
        <w:spacing w:before="182"/>
        <w:ind w:right="1194"/>
        <w:jc w:val="both"/>
        <w:rPr>
          <w:sz w:val="24"/>
        </w:rPr>
      </w:pPr>
      <w:r>
        <w:tab/>
      </w:r>
      <w:r>
        <w:rPr>
          <w:sz w:val="24"/>
        </w:rPr>
        <w:t>The National Planning Policy Framework (NPPF) sets out the Government’s planning policies for England and how these are exp</w:t>
      </w:r>
      <w:r>
        <w:rPr>
          <w:sz w:val="24"/>
        </w:rPr>
        <w:t>ected to be applied. The framework gives guidance</w:t>
      </w:r>
      <w:r>
        <w:rPr>
          <w:spacing w:val="-18"/>
          <w:sz w:val="24"/>
        </w:rPr>
        <w:t xml:space="preserve"> </w:t>
      </w:r>
      <w:r>
        <w:rPr>
          <w:sz w:val="24"/>
        </w:rPr>
        <w:t>to</w:t>
      </w:r>
      <w:r>
        <w:rPr>
          <w:spacing w:val="-15"/>
          <w:sz w:val="24"/>
        </w:rPr>
        <w:t xml:space="preserve"> </w:t>
      </w:r>
      <w:r>
        <w:rPr>
          <w:sz w:val="24"/>
        </w:rPr>
        <w:t>local</w:t>
      </w:r>
      <w:r>
        <w:rPr>
          <w:spacing w:val="-17"/>
          <w:sz w:val="24"/>
        </w:rPr>
        <w:t xml:space="preserve"> </w:t>
      </w:r>
      <w:r>
        <w:rPr>
          <w:sz w:val="24"/>
        </w:rPr>
        <w:t>planning</w:t>
      </w:r>
      <w:r>
        <w:rPr>
          <w:spacing w:val="-16"/>
          <w:sz w:val="24"/>
        </w:rPr>
        <w:t xml:space="preserve"> </w:t>
      </w:r>
      <w:r>
        <w:rPr>
          <w:sz w:val="24"/>
        </w:rPr>
        <w:t>authorities</w:t>
      </w:r>
      <w:r>
        <w:rPr>
          <w:spacing w:val="-14"/>
          <w:sz w:val="24"/>
        </w:rPr>
        <w:t xml:space="preserve"> </w:t>
      </w:r>
      <w:r>
        <w:rPr>
          <w:sz w:val="24"/>
        </w:rPr>
        <w:t>in</w:t>
      </w:r>
      <w:r>
        <w:rPr>
          <w:spacing w:val="-15"/>
          <w:sz w:val="24"/>
        </w:rPr>
        <w:t xml:space="preserve"> </w:t>
      </w:r>
      <w:r>
        <w:rPr>
          <w:sz w:val="24"/>
        </w:rPr>
        <w:t>drawing</w:t>
      </w:r>
      <w:r>
        <w:rPr>
          <w:spacing w:val="-15"/>
          <w:sz w:val="24"/>
        </w:rPr>
        <w:t xml:space="preserve"> </w:t>
      </w:r>
      <w:r>
        <w:rPr>
          <w:sz w:val="24"/>
        </w:rPr>
        <w:t>up</w:t>
      </w:r>
      <w:r>
        <w:rPr>
          <w:spacing w:val="-15"/>
          <w:sz w:val="24"/>
        </w:rPr>
        <w:t xml:space="preserve"> </w:t>
      </w:r>
      <w:r>
        <w:rPr>
          <w:sz w:val="24"/>
        </w:rPr>
        <w:t>development</w:t>
      </w:r>
      <w:r>
        <w:rPr>
          <w:spacing w:val="-16"/>
          <w:sz w:val="24"/>
        </w:rPr>
        <w:t xml:space="preserve"> </w:t>
      </w:r>
      <w:r>
        <w:rPr>
          <w:sz w:val="24"/>
        </w:rPr>
        <w:t>plans</w:t>
      </w:r>
      <w:r>
        <w:rPr>
          <w:spacing w:val="-16"/>
          <w:sz w:val="24"/>
        </w:rPr>
        <w:t xml:space="preserve"> </w:t>
      </w:r>
      <w:r>
        <w:rPr>
          <w:sz w:val="24"/>
        </w:rPr>
        <w:t>and</w:t>
      </w:r>
      <w:r>
        <w:rPr>
          <w:spacing w:val="-16"/>
          <w:sz w:val="24"/>
        </w:rPr>
        <w:t xml:space="preserve"> </w:t>
      </w:r>
      <w:r>
        <w:rPr>
          <w:sz w:val="24"/>
        </w:rPr>
        <w:t>on</w:t>
      </w:r>
      <w:r>
        <w:rPr>
          <w:spacing w:val="-14"/>
          <w:sz w:val="24"/>
        </w:rPr>
        <w:t xml:space="preserve"> </w:t>
      </w:r>
      <w:r>
        <w:rPr>
          <w:sz w:val="24"/>
        </w:rPr>
        <w:t xml:space="preserve">making decisions on planning applications. It sets out the core principles to be followed including economic, </w:t>
      </w:r>
      <w:proofErr w:type="gramStart"/>
      <w:r>
        <w:rPr>
          <w:sz w:val="24"/>
        </w:rPr>
        <w:t>social</w:t>
      </w:r>
      <w:proofErr w:type="gramEnd"/>
      <w:r>
        <w:rPr>
          <w:sz w:val="24"/>
        </w:rPr>
        <w:t xml:space="preserve"> and environmental as</w:t>
      </w:r>
      <w:r>
        <w:rPr>
          <w:sz w:val="24"/>
        </w:rPr>
        <w:t>pects and a presumption towards sustainable development. National Planning Practice Guidance (NPPG) supports the NPPF and provides further guidance on planning issues such as neighbourhood planning.</w:t>
      </w:r>
    </w:p>
    <w:p w14:paraId="3DE8BC1C" w14:textId="77777777" w:rsidR="004E1929" w:rsidRDefault="004E1929">
      <w:pPr>
        <w:pStyle w:val="BodyText"/>
        <w:spacing w:before="1"/>
        <w:ind w:firstLine="0"/>
      </w:pPr>
    </w:p>
    <w:p w14:paraId="3DE8BC1D" w14:textId="77777777" w:rsidR="004E1929" w:rsidRDefault="00B8283E">
      <w:pPr>
        <w:pStyle w:val="Heading1"/>
        <w:ind w:left="100" w:firstLine="0"/>
      </w:pPr>
      <w:r>
        <w:t>Local Plans</w:t>
      </w:r>
    </w:p>
    <w:p w14:paraId="3DE8BC1E" w14:textId="77777777" w:rsidR="004E1929" w:rsidRDefault="00B8283E">
      <w:pPr>
        <w:pStyle w:val="ListParagraph"/>
        <w:numPr>
          <w:ilvl w:val="1"/>
          <w:numId w:val="2"/>
        </w:numPr>
        <w:tabs>
          <w:tab w:val="left" w:pos="744"/>
        </w:tabs>
        <w:spacing w:before="182"/>
        <w:ind w:right="1193"/>
        <w:jc w:val="both"/>
        <w:rPr>
          <w:sz w:val="24"/>
        </w:rPr>
      </w:pPr>
      <w:r>
        <w:rPr>
          <w:sz w:val="24"/>
        </w:rPr>
        <w:t>Local Plans are prepared by Local Authoritie</w:t>
      </w:r>
      <w:r>
        <w:rPr>
          <w:sz w:val="24"/>
        </w:rPr>
        <w:t xml:space="preserve">s for their area. They set out the strategic priorities and planning policies in the area, to deliver key development including the homes and jobs needed, the provision of retail, community facilities, leisure and commercial development and infrastructure </w:t>
      </w:r>
      <w:r>
        <w:rPr>
          <w:sz w:val="24"/>
        </w:rPr>
        <w:t xml:space="preserve">for transport, </w:t>
      </w:r>
      <w:proofErr w:type="gramStart"/>
      <w:r>
        <w:rPr>
          <w:sz w:val="24"/>
        </w:rPr>
        <w:t>waste</w:t>
      </w:r>
      <w:proofErr w:type="gramEnd"/>
      <w:r>
        <w:rPr>
          <w:sz w:val="24"/>
        </w:rPr>
        <w:t xml:space="preserve"> and utilities. Policies relating to mitigating climate change, and conservation and enhancement of the natural and historic environment are also included. The Local Plan sets out opportunities for development in the area and what will </w:t>
      </w:r>
      <w:r>
        <w:rPr>
          <w:sz w:val="24"/>
        </w:rPr>
        <w:t>be permitted and where, providing a basis for decisions on planning</w:t>
      </w:r>
      <w:r>
        <w:rPr>
          <w:spacing w:val="-7"/>
          <w:sz w:val="24"/>
        </w:rPr>
        <w:t xml:space="preserve"> </w:t>
      </w:r>
      <w:r>
        <w:rPr>
          <w:sz w:val="24"/>
        </w:rPr>
        <w:t>applications.</w:t>
      </w:r>
    </w:p>
    <w:p w14:paraId="3DE8BC1F" w14:textId="77777777" w:rsidR="004E1929" w:rsidRDefault="004E1929">
      <w:pPr>
        <w:jc w:val="both"/>
        <w:rPr>
          <w:sz w:val="24"/>
        </w:rPr>
        <w:sectPr w:rsidR="004E1929">
          <w:type w:val="continuous"/>
          <w:pgSz w:w="11910" w:h="16840"/>
          <w:pgMar w:top="220" w:right="240" w:bottom="280" w:left="1340" w:header="720" w:footer="720" w:gutter="0"/>
          <w:cols w:space="720"/>
        </w:sectPr>
      </w:pPr>
    </w:p>
    <w:p w14:paraId="3DE8BC20" w14:textId="77777777" w:rsidR="004E1929" w:rsidRDefault="00B8283E">
      <w:pPr>
        <w:pStyle w:val="ListParagraph"/>
        <w:numPr>
          <w:ilvl w:val="1"/>
          <w:numId w:val="2"/>
        </w:numPr>
        <w:tabs>
          <w:tab w:val="left" w:pos="744"/>
        </w:tabs>
        <w:spacing w:before="134"/>
        <w:ind w:right="1265"/>
        <w:rPr>
          <w:sz w:val="24"/>
        </w:rPr>
      </w:pPr>
      <w:r>
        <w:rPr>
          <w:sz w:val="24"/>
        </w:rPr>
        <w:lastRenderedPageBreak/>
        <w:t>The current Local Development Plan for Birmingham is the Birmingham Development Plan 2017-2031 (adopted in January 2017). Further information on the adopted P</w:t>
      </w:r>
      <w:r>
        <w:rPr>
          <w:sz w:val="24"/>
        </w:rPr>
        <w:t>lan can be found here:</w:t>
      </w:r>
      <w:hyperlink r:id="rId6">
        <w:r>
          <w:rPr>
            <w:color w:val="0462C1"/>
            <w:sz w:val="24"/>
            <w:u w:val="single" w:color="0462C1"/>
          </w:rPr>
          <w:t xml:space="preserve"> https://www.birmingham.gov.uk/info/20054/local_plan_documents/78/birmingham</w:t>
        </w:r>
      </w:hyperlink>
    </w:p>
    <w:p w14:paraId="3DE8BC21" w14:textId="77777777" w:rsidR="004E1929" w:rsidRDefault="00B8283E">
      <w:pPr>
        <w:pStyle w:val="BodyText"/>
        <w:spacing w:line="292" w:lineRule="exact"/>
        <w:ind w:left="743" w:firstLine="0"/>
      </w:pPr>
      <w:hyperlink r:id="rId7">
        <w:r>
          <w:rPr>
            <w:color w:val="0462C1"/>
            <w:u w:val="single" w:color="0462C1"/>
          </w:rPr>
          <w:t>_</w:t>
        </w:r>
        <w:proofErr w:type="spellStart"/>
        <w:r>
          <w:rPr>
            <w:color w:val="0462C1"/>
            <w:u w:val="single" w:color="0462C1"/>
          </w:rPr>
          <w:t>development_plan</w:t>
        </w:r>
        <w:proofErr w:type="spellEnd"/>
      </w:hyperlink>
    </w:p>
    <w:p w14:paraId="3DE8BC22" w14:textId="77777777" w:rsidR="004E1929" w:rsidRDefault="004E1929">
      <w:pPr>
        <w:pStyle w:val="BodyText"/>
        <w:spacing w:before="9"/>
        <w:ind w:firstLine="0"/>
        <w:rPr>
          <w:sz w:val="19"/>
        </w:rPr>
      </w:pPr>
    </w:p>
    <w:p w14:paraId="3DE8BC23" w14:textId="77777777" w:rsidR="004E1929" w:rsidRDefault="00B8283E">
      <w:pPr>
        <w:pStyle w:val="Heading1"/>
        <w:numPr>
          <w:ilvl w:val="0"/>
          <w:numId w:val="1"/>
        </w:numPr>
        <w:tabs>
          <w:tab w:val="left" w:pos="386"/>
        </w:tabs>
        <w:spacing w:before="52"/>
        <w:ind w:hanging="286"/>
      </w:pPr>
      <w:r>
        <w:rPr>
          <w:spacing w:val="12"/>
        </w:rPr>
        <w:t>Neighbourhood</w:t>
      </w:r>
      <w:r>
        <w:rPr>
          <w:spacing w:val="33"/>
        </w:rPr>
        <w:t xml:space="preserve"> </w:t>
      </w:r>
      <w:r>
        <w:rPr>
          <w:spacing w:val="12"/>
        </w:rPr>
        <w:t>Planning</w:t>
      </w:r>
    </w:p>
    <w:p w14:paraId="3DE8BC24" w14:textId="77777777" w:rsidR="004E1929" w:rsidRDefault="00B8283E">
      <w:pPr>
        <w:pStyle w:val="ListParagraph"/>
        <w:numPr>
          <w:ilvl w:val="1"/>
          <w:numId w:val="1"/>
        </w:numPr>
        <w:tabs>
          <w:tab w:val="left" w:pos="744"/>
        </w:tabs>
        <w:spacing w:before="184"/>
        <w:ind w:right="1237"/>
        <w:rPr>
          <w:sz w:val="24"/>
        </w:rPr>
      </w:pPr>
      <w:r>
        <w:rPr>
          <w:sz w:val="24"/>
        </w:rPr>
        <w:t xml:space="preserve">The Localism Act 2011 introduced a new level of local planning which allows either an existing parish/town council or residents and businesses to form a Neighbourhood Development Forum to produce a plan for their area. It provides an opportunity for local </w:t>
      </w:r>
      <w:r>
        <w:rPr>
          <w:sz w:val="24"/>
        </w:rPr>
        <w:t>communities to shape future development in their local</w:t>
      </w:r>
      <w:r>
        <w:rPr>
          <w:spacing w:val="-3"/>
          <w:sz w:val="24"/>
        </w:rPr>
        <w:t xml:space="preserve"> </w:t>
      </w:r>
      <w:r>
        <w:rPr>
          <w:sz w:val="24"/>
        </w:rPr>
        <w:t>area.</w:t>
      </w:r>
    </w:p>
    <w:p w14:paraId="3DE8BC25" w14:textId="77777777" w:rsidR="004E1929" w:rsidRDefault="004E1929">
      <w:pPr>
        <w:pStyle w:val="BodyText"/>
        <w:ind w:firstLine="0"/>
      </w:pPr>
    </w:p>
    <w:p w14:paraId="3DE8BC26" w14:textId="77777777" w:rsidR="004E1929" w:rsidRDefault="00B8283E">
      <w:pPr>
        <w:pStyle w:val="ListParagraph"/>
        <w:numPr>
          <w:ilvl w:val="1"/>
          <w:numId w:val="1"/>
        </w:numPr>
        <w:tabs>
          <w:tab w:val="left" w:pos="744"/>
        </w:tabs>
        <w:ind w:right="1441"/>
        <w:rPr>
          <w:sz w:val="24"/>
        </w:rPr>
      </w:pPr>
      <w:r>
        <w:rPr>
          <w:sz w:val="24"/>
        </w:rPr>
        <w:t xml:space="preserve">Neighbourhood Development Plans can be either be led by residents, businesses or by the parish/town council. Neighbourhood plans </w:t>
      </w:r>
      <w:proofErr w:type="gramStart"/>
      <w:r>
        <w:rPr>
          <w:sz w:val="24"/>
        </w:rPr>
        <w:t>have to</w:t>
      </w:r>
      <w:proofErr w:type="gramEnd"/>
      <w:r>
        <w:rPr>
          <w:sz w:val="24"/>
        </w:rPr>
        <w:t xml:space="preserve"> be produced by</w:t>
      </w:r>
      <w:r>
        <w:rPr>
          <w:spacing w:val="-21"/>
          <w:sz w:val="24"/>
        </w:rPr>
        <w:t xml:space="preserve"> </w:t>
      </w:r>
      <w:r>
        <w:rPr>
          <w:sz w:val="24"/>
        </w:rPr>
        <w:t>a</w:t>
      </w:r>
    </w:p>
    <w:p w14:paraId="3DE8BC27" w14:textId="77777777" w:rsidR="004E1929" w:rsidRDefault="00B8283E">
      <w:pPr>
        <w:pStyle w:val="BodyText"/>
        <w:ind w:left="743" w:right="1504" w:firstLine="0"/>
      </w:pPr>
      <w:r>
        <w:t>‘</w:t>
      </w:r>
      <w:proofErr w:type="gramStart"/>
      <w:r>
        <w:t>qualifying</w:t>
      </w:r>
      <w:proofErr w:type="gramEnd"/>
      <w:r>
        <w:t xml:space="preserve"> body’ for a designated neigh</w:t>
      </w:r>
      <w:r>
        <w:t>bourhood area. In the case of the Jewellery Quarter Neighbourhood Plan, the qualifying body is the Jewellery Quarter Development Trust Neighbourhood Planning Forum.</w:t>
      </w:r>
    </w:p>
    <w:p w14:paraId="3DE8BC28" w14:textId="77777777" w:rsidR="004E1929" w:rsidRDefault="004E1929">
      <w:pPr>
        <w:pStyle w:val="BodyText"/>
        <w:spacing w:before="1"/>
        <w:ind w:firstLine="0"/>
      </w:pPr>
    </w:p>
    <w:p w14:paraId="3DE8BC29" w14:textId="77777777" w:rsidR="004E1929" w:rsidRDefault="00B8283E">
      <w:pPr>
        <w:pStyle w:val="ListParagraph"/>
        <w:numPr>
          <w:ilvl w:val="1"/>
          <w:numId w:val="1"/>
        </w:numPr>
        <w:tabs>
          <w:tab w:val="left" w:pos="744"/>
        </w:tabs>
        <w:ind w:right="1205"/>
        <w:rPr>
          <w:sz w:val="24"/>
        </w:rPr>
      </w:pPr>
      <w:r>
        <w:rPr>
          <w:sz w:val="24"/>
        </w:rPr>
        <w:t xml:space="preserve">Neighbourhood plans are required to meet several basic conditions </w:t>
      </w:r>
      <w:proofErr w:type="gramStart"/>
      <w:r>
        <w:rPr>
          <w:sz w:val="24"/>
        </w:rPr>
        <w:t>in order to</w:t>
      </w:r>
      <w:proofErr w:type="gramEnd"/>
      <w:r>
        <w:rPr>
          <w:sz w:val="24"/>
        </w:rPr>
        <w:t xml:space="preserve"> proceed to a</w:t>
      </w:r>
      <w:r>
        <w:rPr>
          <w:sz w:val="24"/>
        </w:rPr>
        <w:t xml:space="preserve"> referendum stage. An independent examiner was appointed to advise whether the Jewellery Quarter Neighbourhood Plan was considered to meet the basic conditions, which are set out</w:t>
      </w:r>
      <w:r>
        <w:rPr>
          <w:spacing w:val="-1"/>
          <w:sz w:val="24"/>
        </w:rPr>
        <w:t xml:space="preserve"> </w:t>
      </w:r>
      <w:r>
        <w:rPr>
          <w:sz w:val="24"/>
        </w:rPr>
        <w:t>below:</w:t>
      </w:r>
    </w:p>
    <w:p w14:paraId="3DE8BC2A" w14:textId="77777777" w:rsidR="004E1929" w:rsidRDefault="00B8283E">
      <w:pPr>
        <w:pStyle w:val="ListParagraph"/>
        <w:numPr>
          <w:ilvl w:val="2"/>
          <w:numId w:val="1"/>
        </w:numPr>
        <w:tabs>
          <w:tab w:val="left" w:pos="1540"/>
          <w:tab w:val="left" w:pos="1541"/>
        </w:tabs>
        <w:ind w:right="1438"/>
        <w:rPr>
          <w:sz w:val="24"/>
        </w:rPr>
      </w:pPr>
      <w:r>
        <w:rPr>
          <w:sz w:val="24"/>
        </w:rPr>
        <w:t>Have regard to national policies and advice contained in guidance issu</w:t>
      </w:r>
      <w:r>
        <w:rPr>
          <w:sz w:val="24"/>
        </w:rPr>
        <w:t>ed by the Secretary of</w:t>
      </w:r>
      <w:r>
        <w:rPr>
          <w:spacing w:val="-2"/>
          <w:sz w:val="24"/>
        </w:rPr>
        <w:t xml:space="preserve"> </w:t>
      </w:r>
      <w:proofErr w:type="gramStart"/>
      <w:r>
        <w:rPr>
          <w:sz w:val="24"/>
        </w:rPr>
        <w:t>State;</w:t>
      </w:r>
      <w:proofErr w:type="gramEnd"/>
    </w:p>
    <w:p w14:paraId="3DE8BC2B" w14:textId="77777777" w:rsidR="004E1929" w:rsidRDefault="00B8283E">
      <w:pPr>
        <w:pStyle w:val="ListParagraph"/>
        <w:numPr>
          <w:ilvl w:val="2"/>
          <w:numId w:val="1"/>
        </w:numPr>
        <w:tabs>
          <w:tab w:val="left" w:pos="1540"/>
          <w:tab w:val="left" w:pos="1541"/>
        </w:tabs>
        <w:spacing w:before="79"/>
        <w:ind w:hanging="361"/>
        <w:rPr>
          <w:sz w:val="24"/>
        </w:rPr>
      </w:pPr>
      <w:r>
        <w:rPr>
          <w:sz w:val="24"/>
        </w:rPr>
        <w:t>Contribute to the achievement of sustainable</w:t>
      </w:r>
      <w:r>
        <w:rPr>
          <w:spacing w:val="-7"/>
          <w:sz w:val="24"/>
        </w:rPr>
        <w:t xml:space="preserve"> </w:t>
      </w:r>
      <w:proofErr w:type="gramStart"/>
      <w:r>
        <w:rPr>
          <w:sz w:val="24"/>
        </w:rPr>
        <w:t>development;</w:t>
      </w:r>
      <w:proofErr w:type="gramEnd"/>
    </w:p>
    <w:p w14:paraId="3DE8BC2C" w14:textId="77777777" w:rsidR="004E1929" w:rsidRDefault="00B8283E">
      <w:pPr>
        <w:pStyle w:val="ListParagraph"/>
        <w:numPr>
          <w:ilvl w:val="2"/>
          <w:numId w:val="1"/>
        </w:numPr>
        <w:tabs>
          <w:tab w:val="left" w:pos="1540"/>
          <w:tab w:val="left" w:pos="1541"/>
        </w:tabs>
        <w:spacing w:before="79"/>
        <w:ind w:right="1375"/>
        <w:rPr>
          <w:sz w:val="24"/>
        </w:rPr>
      </w:pPr>
      <w:r>
        <w:rPr>
          <w:sz w:val="24"/>
        </w:rPr>
        <w:t>Be in general conformity with the strategic policies of the development</w:t>
      </w:r>
      <w:r>
        <w:rPr>
          <w:spacing w:val="-33"/>
          <w:sz w:val="24"/>
        </w:rPr>
        <w:t xml:space="preserve"> </w:t>
      </w:r>
      <w:r>
        <w:rPr>
          <w:sz w:val="24"/>
        </w:rPr>
        <w:t>plan for the</w:t>
      </w:r>
      <w:r>
        <w:rPr>
          <w:spacing w:val="-4"/>
          <w:sz w:val="24"/>
        </w:rPr>
        <w:t xml:space="preserve"> </w:t>
      </w:r>
      <w:proofErr w:type="gramStart"/>
      <w:r>
        <w:rPr>
          <w:sz w:val="24"/>
        </w:rPr>
        <w:t>area;</w:t>
      </w:r>
      <w:proofErr w:type="gramEnd"/>
    </w:p>
    <w:p w14:paraId="3DE8BC2D" w14:textId="77777777" w:rsidR="004E1929" w:rsidRDefault="00B8283E">
      <w:pPr>
        <w:pStyle w:val="ListParagraph"/>
        <w:numPr>
          <w:ilvl w:val="2"/>
          <w:numId w:val="1"/>
        </w:numPr>
        <w:tabs>
          <w:tab w:val="left" w:pos="1540"/>
          <w:tab w:val="left" w:pos="1541"/>
        </w:tabs>
        <w:spacing w:before="81"/>
        <w:ind w:hanging="361"/>
        <w:rPr>
          <w:sz w:val="24"/>
        </w:rPr>
      </w:pPr>
      <w:r>
        <w:rPr>
          <w:sz w:val="24"/>
        </w:rPr>
        <w:t>Be compatible with and not breach European Union (EU) obligations;</w:t>
      </w:r>
      <w:r>
        <w:rPr>
          <w:spacing w:val="-13"/>
          <w:sz w:val="24"/>
        </w:rPr>
        <w:t xml:space="preserve"> </w:t>
      </w:r>
      <w:r>
        <w:rPr>
          <w:sz w:val="24"/>
        </w:rPr>
        <w:t>and</w:t>
      </w:r>
    </w:p>
    <w:p w14:paraId="3DE8BC2E" w14:textId="77777777" w:rsidR="004E1929" w:rsidRDefault="00B8283E">
      <w:pPr>
        <w:pStyle w:val="ListParagraph"/>
        <w:numPr>
          <w:ilvl w:val="2"/>
          <w:numId w:val="1"/>
        </w:numPr>
        <w:tabs>
          <w:tab w:val="left" w:pos="1540"/>
          <w:tab w:val="left" w:pos="1541"/>
        </w:tabs>
        <w:spacing w:before="78"/>
        <w:ind w:hanging="361"/>
        <w:rPr>
          <w:sz w:val="24"/>
        </w:rPr>
      </w:pPr>
      <w:r>
        <w:rPr>
          <w:sz w:val="24"/>
        </w:rPr>
        <w:t>Meet p</w:t>
      </w:r>
      <w:r>
        <w:rPr>
          <w:sz w:val="24"/>
        </w:rPr>
        <w:t>rescribed conditions and comply with prescribed</w:t>
      </w:r>
      <w:r>
        <w:rPr>
          <w:spacing w:val="-4"/>
          <w:sz w:val="24"/>
        </w:rPr>
        <w:t xml:space="preserve"> </w:t>
      </w:r>
      <w:r>
        <w:rPr>
          <w:sz w:val="24"/>
        </w:rPr>
        <w:t>matters.</w:t>
      </w:r>
    </w:p>
    <w:p w14:paraId="3DE8BC2F" w14:textId="77777777" w:rsidR="004E1929" w:rsidRDefault="004E1929">
      <w:pPr>
        <w:pStyle w:val="BodyText"/>
        <w:ind w:firstLine="0"/>
        <w:rPr>
          <w:sz w:val="30"/>
        </w:rPr>
      </w:pPr>
    </w:p>
    <w:p w14:paraId="3DE8BC30" w14:textId="77777777" w:rsidR="004E1929" w:rsidRDefault="00B8283E">
      <w:pPr>
        <w:pStyle w:val="Heading1"/>
        <w:numPr>
          <w:ilvl w:val="0"/>
          <w:numId w:val="1"/>
        </w:numPr>
        <w:tabs>
          <w:tab w:val="left" w:pos="386"/>
        </w:tabs>
        <w:spacing w:before="188"/>
        <w:ind w:hanging="286"/>
      </w:pPr>
      <w:r>
        <w:rPr>
          <w:spacing w:val="12"/>
        </w:rPr>
        <w:t xml:space="preserve">Neighbourhood </w:t>
      </w:r>
      <w:r>
        <w:rPr>
          <w:spacing w:val="10"/>
        </w:rPr>
        <w:t>Plan</w:t>
      </w:r>
      <w:r>
        <w:rPr>
          <w:spacing w:val="47"/>
        </w:rPr>
        <w:t xml:space="preserve"> </w:t>
      </w:r>
      <w:r>
        <w:rPr>
          <w:spacing w:val="12"/>
        </w:rPr>
        <w:t>Referendum</w:t>
      </w:r>
    </w:p>
    <w:p w14:paraId="3DE8BC31" w14:textId="77777777" w:rsidR="004E1929" w:rsidRDefault="00B8283E">
      <w:pPr>
        <w:pStyle w:val="ListParagraph"/>
        <w:numPr>
          <w:ilvl w:val="1"/>
          <w:numId w:val="1"/>
        </w:numPr>
        <w:tabs>
          <w:tab w:val="left" w:pos="744"/>
        </w:tabs>
        <w:spacing w:before="182"/>
        <w:ind w:right="1222"/>
        <w:rPr>
          <w:sz w:val="24"/>
        </w:rPr>
      </w:pPr>
      <w:r>
        <w:rPr>
          <w:sz w:val="24"/>
        </w:rPr>
        <w:t>The Jewellery Quarter Neighbourhood Plan has been the subject of a pre-submission consultation stage (‘Regulation 14’ consultation) led by the Jewellery Quarter Development Trust Neighbourhood Planning Forum and a local planning authority led representatio</w:t>
      </w:r>
      <w:r>
        <w:rPr>
          <w:sz w:val="24"/>
        </w:rPr>
        <w:t>n period (‘Regulation 16’ consultation).</w:t>
      </w:r>
    </w:p>
    <w:p w14:paraId="3DE8BC32" w14:textId="77777777" w:rsidR="004E1929" w:rsidRDefault="004E1929">
      <w:pPr>
        <w:pStyle w:val="BodyText"/>
        <w:spacing w:before="2"/>
        <w:ind w:firstLine="0"/>
      </w:pPr>
    </w:p>
    <w:p w14:paraId="3DE8BC33" w14:textId="77777777" w:rsidR="004E1929" w:rsidRDefault="00B8283E">
      <w:pPr>
        <w:pStyle w:val="ListParagraph"/>
        <w:numPr>
          <w:ilvl w:val="1"/>
          <w:numId w:val="1"/>
        </w:numPr>
        <w:tabs>
          <w:tab w:val="left" w:pos="744"/>
        </w:tabs>
        <w:ind w:right="1193"/>
        <w:jc w:val="both"/>
        <w:rPr>
          <w:sz w:val="24"/>
        </w:rPr>
      </w:pPr>
      <w:r>
        <w:rPr>
          <w:sz w:val="24"/>
        </w:rPr>
        <w:t>An independent examiner Mr Timothy Jones, barrister at No.5 Chambers, was appointed</w:t>
      </w:r>
      <w:r>
        <w:rPr>
          <w:spacing w:val="-6"/>
          <w:sz w:val="24"/>
        </w:rPr>
        <w:t xml:space="preserve"> </w:t>
      </w:r>
      <w:r>
        <w:rPr>
          <w:sz w:val="24"/>
        </w:rPr>
        <w:t>to</w:t>
      </w:r>
      <w:r>
        <w:rPr>
          <w:spacing w:val="-6"/>
          <w:sz w:val="24"/>
        </w:rPr>
        <w:t xml:space="preserve"> </w:t>
      </w:r>
      <w:r>
        <w:rPr>
          <w:sz w:val="24"/>
        </w:rPr>
        <w:t>examine</w:t>
      </w:r>
      <w:r>
        <w:rPr>
          <w:spacing w:val="-6"/>
          <w:sz w:val="24"/>
        </w:rPr>
        <w:t xml:space="preserve"> </w:t>
      </w:r>
      <w:r>
        <w:rPr>
          <w:sz w:val="24"/>
        </w:rPr>
        <w:t>the</w:t>
      </w:r>
      <w:r>
        <w:rPr>
          <w:spacing w:val="-4"/>
          <w:sz w:val="24"/>
        </w:rPr>
        <w:t xml:space="preserve"> </w:t>
      </w:r>
      <w:r>
        <w:rPr>
          <w:sz w:val="24"/>
        </w:rPr>
        <w:t>neighbourhood</w:t>
      </w:r>
      <w:r>
        <w:rPr>
          <w:spacing w:val="-5"/>
          <w:sz w:val="24"/>
        </w:rPr>
        <w:t xml:space="preserve"> </w:t>
      </w:r>
      <w:r>
        <w:rPr>
          <w:sz w:val="24"/>
        </w:rPr>
        <w:t>plan</w:t>
      </w:r>
      <w:r>
        <w:rPr>
          <w:spacing w:val="-5"/>
          <w:sz w:val="24"/>
        </w:rPr>
        <w:t xml:space="preserve"> </w:t>
      </w:r>
      <w:r>
        <w:rPr>
          <w:sz w:val="24"/>
        </w:rPr>
        <w:t>and</w:t>
      </w:r>
      <w:r>
        <w:rPr>
          <w:spacing w:val="-6"/>
          <w:sz w:val="24"/>
        </w:rPr>
        <w:t xml:space="preserve"> </w:t>
      </w:r>
      <w:r>
        <w:rPr>
          <w:sz w:val="24"/>
        </w:rPr>
        <w:t>provided</w:t>
      </w:r>
      <w:r>
        <w:rPr>
          <w:spacing w:val="-5"/>
          <w:sz w:val="24"/>
        </w:rPr>
        <w:t xml:space="preserve"> </w:t>
      </w:r>
      <w:r>
        <w:rPr>
          <w:sz w:val="24"/>
        </w:rPr>
        <w:t>his</w:t>
      </w:r>
      <w:r>
        <w:rPr>
          <w:spacing w:val="-6"/>
          <w:sz w:val="24"/>
        </w:rPr>
        <w:t xml:space="preserve"> </w:t>
      </w:r>
      <w:r>
        <w:rPr>
          <w:sz w:val="24"/>
        </w:rPr>
        <w:t>report</w:t>
      </w:r>
      <w:r>
        <w:rPr>
          <w:spacing w:val="-6"/>
          <w:sz w:val="24"/>
        </w:rPr>
        <w:t xml:space="preserve"> </w:t>
      </w:r>
      <w:r>
        <w:rPr>
          <w:sz w:val="24"/>
        </w:rPr>
        <w:t>to</w:t>
      </w:r>
      <w:r>
        <w:rPr>
          <w:spacing w:val="-8"/>
          <w:sz w:val="24"/>
        </w:rPr>
        <w:t xml:space="preserve"> </w:t>
      </w:r>
      <w:r>
        <w:rPr>
          <w:sz w:val="24"/>
        </w:rPr>
        <w:t>Birmingham City Council on 13</w:t>
      </w:r>
      <w:proofErr w:type="spellStart"/>
      <w:r>
        <w:rPr>
          <w:position w:val="8"/>
          <w:sz w:val="16"/>
        </w:rPr>
        <w:t>th</w:t>
      </w:r>
      <w:proofErr w:type="spellEnd"/>
      <w:r>
        <w:rPr>
          <w:position w:val="8"/>
          <w:sz w:val="16"/>
        </w:rPr>
        <w:t xml:space="preserve"> </w:t>
      </w:r>
      <w:r>
        <w:rPr>
          <w:sz w:val="24"/>
        </w:rPr>
        <w:t>February 2023. The report recommended that, subject to a series of modifications proposed, the neighbourhood plan should proceed to referendum based on the designated neighbourhood area. The Council accepted all the modifications</w:t>
      </w:r>
      <w:r>
        <w:rPr>
          <w:spacing w:val="15"/>
          <w:sz w:val="24"/>
        </w:rPr>
        <w:t xml:space="preserve"> </w:t>
      </w:r>
      <w:r>
        <w:rPr>
          <w:sz w:val="24"/>
        </w:rPr>
        <w:t>proposed,</w:t>
      </w:r>
      <w:r>
        <w:rPr>
          <w:spacing w:val="17"/>
          <w:sz w:val="24"/>
        </w:rPr>
        <w:t xml:space="preserve"> </w:t>
      </w:r>
      <w:r>
        <w:rPr>
          <w:sz w:val="24"/>
        </w:rPr>
        <w:t>and</w:t>
      </w:r>
      <w:r>
        <w:rPr>
          <w:spacing w:val="18"/>
          <w:sz w:val="24"/>
        </w:rPr>
        <w:t xml:space="preserve"> </w:t>
      </w:r>
      <w:r>
        <w:rPr>
          <w:sz w:val="24"/>
        </w:rPr>
        <w:t>the</w:t>
      </w:r>
      <w:r>
        <w:rPr>
          <w:spacing w:val="19"/>
          <w:sz w:val="24"/>
        </w:rPr>
        <w:t xml:space="preserve"> </w:t>
      </w:r>
      <w:r>
        <w:rPr>
          <w:sz w:val="24"/>
        </w:rPr>
        <w:t>reasons</w:t>
      </w:r>
      <w:r>
        <w:rPr>
          <w:spacing w:val="16"/>
          <w:sz w:val="24"/>
        </w:rPr>
        <w:t xml:space="preserve"> </w:t>
      </w:r>
      <w:r>
        <w:rPr>
          <w:sz w:val="24"/>
        </w:rPr>
        <w:t>for</w:t>
      </w:r>
      <w:r>
        <w:rPr>
          <w:spacing w:val="18"/>
          <w:sz w:val="24"/>
        </w:rPr>
        <w:t xml:space="preserve"> </w:t>
      </w:r>
      <w:r>
        <w:rPr>
          <w:sz w:val="24"/>
        </w:rPr>
        <w:t>these,</w:t>
      </w:r>
      <w:r>
        <w:rPr>
          <w:spacing w:val="19"/>
          <w:sz w:val="24"/>
        </w:rPr>
        <w:t xml:space="preserve"> </w:t>
      </w:r>
      <w:r>
        <w:rPr>
          <w:sz w:val="24"/>
        </w:rPr>
        <w:t>and</w:t>
      </w:r>
      <w:r>
        <w:rPr>
          <w:spacing w:val="20"/>
          <w:sz w:val="24"/>
        </w:rPr>
        <w:t xml:space="preserve"> </w:t>
      </w:r>
      <w:r>
        <w:rPr>
          <w:sz w:val="24"/>
        </w:rPr>
        <w:t>were</w:t>
      </w:r>
      <w:r>
        <w:rPr>
          <w:spacing w:val="19"/>
          <w:sz w:val="24"/>
        </w:rPr>
        <w:t xml:space="preserve"> </w:t>
      </w:r>
      <w:r>
        <w:rPr>
          <w:sz w:val="24"/>
        </w:rPr>
        <w:t>subsequently</w:t>
      </w:r>
      <w:r>
        <w:rPr>
          <w:spacing w:val="18"/>
          <w:sz w:val="24"/>
        </w:rPr>
        <w:t xml:space="preserve"> </w:t>
      </w:r>
      <w:r>
        <w:rPr>
          <w:sz w:val="24"/>
        </w:rPr>
        <w:t>satisfied</w:t>
      </w:r>
    </w:p>
    <w:p w14:paraId="3DE8BC34" w14:textId="77777777" w:rsidR="004E1929" w:rsidRDefault="004E1929">
      <w:pPr>
        <w:jc w:val="both"/>
        <w:rPr>
          <w:sz w:val="24"/>
        </w:rPr>
        <w:sectPr w:rsidR="004E1929">
          <w:pgSz w:w="11910" w:h="16840"/>
          <w:pgMar w:top="1580" w:right="240" w:bottom="280" w:left="1340" w:header="720" w:footer="720" w:gutter="0"/>
          <w:cols w:space="720"/>
        </w:sectPr>
      </w:pPr>
    </w:p>
    <w:p w14:paraId="3DE8BC35" w14:textId="77777777" w:rsidR="004E1929" w:rsidRDefault="00B8283E">
      <w:pPr>
        <w:pStyle w:val="BodyText"/>
        <w:spacing w:before="41"/>
        <w:ind w:left="743" w:right="1504" w:firstLine="0"/>
      </w:pPr>
      <w:r>
        <w:lastRenderedPageBreak/>
        <w:t>that the neighbourhood plan met the basic conditions and all other legislative requirements.</w:t>
      </w:r>
    </w:p>
    <w:p w14:paraId="3DE8BC36" w14:textId="77777777" w:rsidR="004E1929" w:rsidRDefault="004E1929">
      <w:pPr>
        <w:pStyle w:val="BodyText"/>
        <w:spacing w:before="12"/>
        <w:ind w:firstLine="0"/>
        <w:rPr>
          <w:sz w:val="23"/>
        </w:rPr>
      </w:pPr>
    </w:p>
    <w:p w14:paraId="3DE8BC37" w14:textId="6DDBD270" w:rsidR="004E1929" w:rsidRDefault="00B8283E">
      <w:pPr>
        <w:pStyle w:val="ListParagraph"/>
        <w:numPr>
          <w:ilvl w:val="1"/>
          <w:numId w:val="1"/>
        </w:numPr>
        <w:tabs>
          <w:tab w:val="left" w:pos="744"/>
        </w:tabs>
        <w:spacing w:line="237" w:lineRule="auto"/>
        <w:ind w:right="1194"/>
        <w:jc w:val="both"/>
        <w:rPr>
          <w:sz w:val="24"/>
        </w:rPr>
      </w:pPr>
      <w:r>
        <w:rPr>
          <w:sz w:val="24"/>
        </w:rPr>
        <w:t xml:space="preserve">The Jewellery Quarter Neighbourhood Plan referendum will therefore be held on </w:t>
      </w:r>
      <w:r>
        <w:rPr>
          <w:b/>
          <w:sz w:val="24"/>
        </w:rPr>
        <w:t>Thursday 13</w:t>
      </w:r>
      <w:proofErr w:type="spellStart"/>
      <w:r>
        <w:rPr>
          <w:b/>
          <w:position w:val="8"/>
          <w:sz w:val="16"/>
        </w:rPr>
        <w:t>th</w:t>
      </w:r>
      <w:proofErr w:type="spellEnd"/>
      <w:r>
        <w:rPr>
          <w:b/>
          <w:position w:val="8"/>
          <w:sz w:val="16"/>
        </w:rPr>
        <w:t xml:space="preserve"> </w:t>
      </w:r>
      <w:r>
        <w:rPr>
          <w:b/>
          <w:sz w:val="24"/>
        </w:rPr>
        <w:t xml:space="preserve">July 2023 </w:t>
      </w:r>
      <w:r>
        <w:rPr>
          <w:sz w:val="24"/>
        </w:rPr>
        <w:t>wit</w:t>
      </w:r>
      <w:r>
        <w:rPr>
          <w:sz w:val="24"/>
        </w:rPr>
        <w:t>h further details set out in the published Information Statement at:</w:t>
      </w:r>
      <w:r>
        <w:rPr>
          <w:color w:val="0462C1"/>
          <w:sz w:val="24"/>
        </w:rPr>
        <w:t xml:space="preserve"> </w:t>
      </w:r>
      <w:hyperlink r:id="rId8" w:tooltip="Link to Jewellery Quarter Neighbourhood Plan website">
        <w:r>
          <w:rPr>
            <w:color w:val="0462C1"/>
            <w:sz w:val="24"/>
            <w:u w:val="single" w:color="0462C1"/>
          </w:rPr>
          <w:t>Jewellery Quarter Neighbourhood Plan website</w:t>
        </w:r>
      </w:hyperlink>
    </w:p>
    <w:p w14:paraId="3DE8BC38" w14:textId="77777777" w:rsidR="004E1929" w:rsidRDefault="004E1929">
      <w:pPr>
        <w:pStyle w:val="BodyText"/>
        <w:spacing w:before="9"/>
        <w:ind w:firstLine="0"/>
        <w:rPr>
          <w:sz w:val="19"/>
        </w:rPr>
      </w:pPr>
    </w:p>
    <w:p w14:paraId="3DE8BC39" w14:textId="77777777" w:rsidR="004E1929" w:rsidRDefault="00B8283E">
      <w:pPr>
        <w:pStyle w:val="ListParagraph"/>
        <w:numPr>
          <w:ilvl w:val="1"/>
          <w:numId w:val="1"/>
        </w:numPr>
        <w:tabs>
          <w:tab w:val="left" w:pos="744"/>
        </w:tabs>
        <w:spacing w:before="51"/>
        <w:ind w:right="1197"/>
        <w:jc w:val="both"/>
        <w:rPr>
          <w:sz w:val="24"/>
        </w:rPr>
      </w:pPr>
      <w:r>
        <w:rPr>
          <w:sz w:val="24"/>
        </w:rPr>
        <w:t>A</w:t>
      </w:r>
      <w:r>
        <w:rPr>
          <w:spacing w:val="-13"/>
          <w:sz w:val="24"/>
        </w:rPr>
        <w:t xml:space="preserve"> </w:t>
      </w:r>
      <w:r>
        <w:rPr>
          <w:sz w:val="24"/>
        </w:rPr>
        <w:t>neighbourhood</w:t>
      </w:r>
      <w:r>
        <w:rPr>
          <w:spacing w:val="-15"/>
          <w:sz w:val="24"/>
        </w:rPr>
        <w:t xml:space="preserve"> </w:t>
      </w:r>
      <w:r>
        <w:rPr>
          <w:sz w:val="24"/>
        </w:rPr>
        <w:t>plan</w:t>
      </w:r>
      <w:r>
        <w:rPr>
          <w:spacing w:val="-13"/>
          <w:sz w:val="24"/>
        </w:rPr>
        <w:t xml:space="preserve"> </w:t>
      </w:r>
      <w:r>
        <w:rPr>
          <w:sz w:val="24"/>
        </w:rPr>
        <w:t>needs</w:t>
      </w:r>
      <w:r>
        <w:rPr>
          <w:spacing w:val="-14"/>
          <w:sz w:val="24"/>
        </w:rPr>
        <w:t xml:space="preserve"> </w:t>
      </w:r>
      <w:r>
        <w:rPr>
          <w:sz w:val="24"/>
        </w:rPr>
        <w:t>to</w:t>
      </w:r>
      <w:r>
        <w:rPr>
          <w:spacing w:val="-12"/>
          <w:sz w:val="24"/>
        </w:rPr>
        <w:t xml:space="preserve"> </w:t>
      </w:r>
      <w:r>
        <w:rPr>
          <w:sz w:val="24"/>
        </w:rPr>
        <w:t>gain</w:t>
      </w:r>
      <w:r>
        <w:rPr>
          <w:spacing w:val="-15"/>
          <w:sz w:val="24"/>
        </w:rPr>
        <w:t xml:space="preserve"> </w:t>
      </w:r>
      <w:r>
        <w:rPr>
          <w:sz w:val="24"/>
        </w:rPr>
        <w:t>a</w:t>
      </w:r>
      <w:r>
        <w:rPr>
          <w:spacing w:val="-13"/>
          <w:sz w:val="24"/>
        </w:rPr>
        <w:t xml:space="preserve"> </w:t>
      </w:r>
      <w:r>
        <w:rPr>
          <w:sz w:val="24"/>
        </w:rPr>
        <w:t>‘Yes’</w:t>
      </w:r>
      <w:r>
        <w:rPr>
          <w:spacing w:val="-16"/>
          <w:sz w:val="24"/>
        </w:rPr>
        <w:t xml:space="preserve"> </w:t>
      </w:r>
      <w:r>
        <w:rPr>
          <w:sz w:val="24"/>
        </w:rPr>
        <w:t>vote</w:t>
      </w:r>
      <w:r>
        <w:rPr>
          <w:spacing w:val="-14"/>
          <w:sz w:val="24"/>
        </w:rPr>
        <w:t xml:space="preserve"> </w:t>
      </w:r>
      <w:r>
        <w:rPr>
          <w:sz w:val="24"/>
        </w:rPr>
        <w:t>from</w:t>
      </w:r>
      <w:r>
        <w:rPr>
          <w:spacing w:val="-13"/>
          <w:sz w:val="24"/>
        </w:rPr>
        <w:t xml:space="preserve"> </w:t>
      </w:r>
      <w:proofErr w:type="gramStart"/>
      <w:r>
        <w:rPr>
          <w:sz w:val="24"/>
        </w:rPr>
        <w:t>the</w:t>
      </w:r>
      <w:r>
        <w:rPr>
          <w:spacing w:val="-13"/>
          <w:sz w:val="24"/>
        </w:rPr>
        <w:t xml:space="preserve"> </w:t>
      </w:r>
      <w:r>
        <w:rPr>
          <w:sz w:val="24"/>
        </w:rPr>
        <w:t>majority</w:t>
      </w:r>
      <w:r>
        <w:rPr>
          <w:spacing w:val="-14"/>
          <w:sz w:val="24"/>
        </w:rPr>
        <w:t xml:space="preserve"> </w:t>
      </w:r>
      <w:r>
        <w:rPr>
          <w:sz w:val="24"/>
        </w:rPr>
        <w:t>of</w:t>
      </w:r>
      <w:proofErr w:type="gramEnd"/>
      <w:r>
        <w:rPr>
          <w:spacing w:val="-12"/>
          <w:sz w:val="24"/>
        </w:rPr>
        <w:t xml:space="preserve"> </w:t>
      </w:r>
      <w:r>
        <w:rPr>
          <w:sz w:val="24"/>
        </w:rPr>
        <w:t>voters</w:t>
      </w:r>
      <w:r>
        <w:rPr>
          <w:spacing w:val="-16"/>
          <w:sz w:val="24"/>
        </w:rPr>
        <w:t xml:space="preserve"> </w:t>
      </w:r>
      <w:r>
        <w:rPr>
          <w:sz w:val="24"/>
        </w:rPr>
        <w:t>(more</w:t>
      </w:r>
      <w:r>
        <w:rPr>
          <w:spacing w:val="-13"/>
          <w:sz w:val="24"/>
        </w:rPr>
        <w:t xml:space="preserve"> </w:t>
      </w:r>
      <w:r>
        <w:rPr>
          <w:sz w:val="24"/>
        </w:rPr>
        <w:t>than 50%) in the referendum, to enable Birmingham City Council to formally ‘make’ the neighbourhood plan. For the Jewellery Quarter Neighbourhood Plan there will be two separate referendums – one for residents of the Jewellery Quarter Neighbourhood Plan Ar</w:t>
      </w:r>
      <w:r>
        <w:rPr>
          <w:sz w:val="24"/>
        </w:rPr>
        <w:t>ea and another for businesses whose main business address is located within the Jewellery Quarter Neighbourhood Plan</w:t>
      </w:r>
      <w:r>
        <w:rPr>
          <w:spacing w:val="-3"/>
          <w:sz w:val="24"/>
        </w:rPr>
        <w:t xml:space="preserve"> </w:t>
      </w:r>
      <w:r>
        <w:rPr>
          <w:sz w:val="24"/>
        </w:rPr>
        <w:t>Area.</w:t>
      </w:r>
    </w:p>
    <w:p w14:paraId="3DE8BC3A" w14:textId="77777777" w:rsidR="004E1929" w:rsidRDefault="004E1929">
      <w:pPr>
        <w:pStyle w:val="BodyText"/>
        <w:ind w:firstLine="0"/>
      </w:pPr>
    </w:p>
    <w:p w14:paraId="3DE8BC3B" w14:textId="77777777" w:rsidR="004E1929" w:rsidRDefault="00B8283E">
      <w:pPr>
        <w:pStyle w:val="ListParagraph"/>
        <w:numPr>
          <w:ilvl w:val="1"/>
          <w:numId w:val="1"/>
        </w:numPr>
        <w:tabs>
          <w:tab w:val="left" w:pos="744"/>
        </w:tabs>
        <w:ind w:right="1195"/>
        <w:jc w:val="both"/>
        <w:rPr>
          <w:sz w:val="24"/>
        </w:rPr>
      </w:pPr>
      <w:r>
        <w:rPr>
          <w:sz w:val="24"/>
        </w:rPr>
        <w:t>If the neighbourhood plan is made, then it will become part of the statutory development plan for Birmingham and will be used in the determination of planning applications in the Jewellery Quarter Neighbourhood Area. If more people vote ‘No’ than</w:t>
      </w:r>
      <w:r>
        <w:rPr>
          <w:spacing w:val="-9"/>
          <w:sz w:val="24"/>
        </w:rPr>
        <w:t xml:space="preserve"> </w:t>
      </w:r>
      <w:r>
        <w:rPr>
          <w:sz w:val="24"/>
        </w:rPr>
        <w:t>‘Yes’</w:t>
      </w:r>
      <w:r>
        <w:rPr>
          <w:spacing w:val="-11"/>
          <w:sz w:val="24"/>
        </w:rPr>
        <w:t xml:space="preserve"> </w:t>
      </w:r>
      <w:r>
        <w:rPr>
          <w:sz w:val="24"/>
        </w:rPr>
        <w:t>in</w:t>
      </w:r>
      <w:r>
        <w:rPr>
          <w:spacing w:val="-12"/>
          <w:sz w:val="24"/>
        </w:rPr>
        <w:t xml:space="preserve"> </w:t>
      </w:r>
      <w:r>
        <w:rPr>
          <w:sz w:val="24"/>
        </w:rPr>
        <w:t>both</w:t>
      </w:r>
      <w:r>
        <w:rPr>
          <w:spacing w:val="-12"/>
          <w:sz w:val="24"/>
        </w:rPr>
        <w:t xml:space="preserve"> </w:t>
      </w:r>
      <w:r>
        <w:rPr>
          <w:sz w:val="24"/>
        </w:rPr>
        <w:t>referendums,</w:t>
      </w:r>
      <w:r>
        <w:rPr>
          <w:spacing w:val="-9"/>
          <w:sz w:val="24"/>
        </w:rPr>
        <w:t xml:space="preserve"> </w:t>
      </w:r>
      <w:r>
        <w:rPr>
          <w:sz w:val="24"/>
        </w:rPr>
        <w:t>then</w:t>
      </w:r>
      <w:r>
        <w:rPr>
          <w:spacing w:val="-13"/>
          <w:sz w:val="24"/>
        </w:rPr>
        <w:t xml:space="preserve"> </w:t>
      </w:r>
      <w:r>
        <w:rPr>
          <w:sz w:val="24"/>
        </w:rPr>
        <w:t>the</w:t>
      </w:r>
      <w:r>
        <w:rPr>
          <w:spacing w:val="-10"/>
          <w:sz w:val="24"/>
        </w:rPr>
        <w:t xml:space="preserve"> </w:t>
      </w:r>
      <w:r>
        <w:rPr>
          <w:sz w:val="24"/>
        </w:rPr>
        <w:t>neighbourhood</w:t>
      </w:r>
      <w:r>
        <w:rPr>
          <w:spacing w:val="-11"/>
          <w:sz w:val="24"/>
        </w:rPr>
        <w:t xml:space="preserve"> </w:t>
      </w:r>
      <w:r>
        <w:rPr>
          <w:sz w:val="24"/>
        </w:rPr>
        <w:t>plan</w:t>
      </w:r>
      <w:r>
        <w:rPr>
          <w:spacing w:val="-10"/>
          <w:sz w:val="24"/>
        </w:rPr>
        <w:t xml:space="preserve"> </w:t>
      </w:r>
      <w:r>
        <w:rPr>
          <w:sz w:val="24"/>
        </w:rPr>
        <w:t>will</w:t>
      </w:r>
      <w:r>
        <w:rPr>
          <w:spacing w:val="-10"/>
          <w:sz w:val="24"/>
        </w:rPr>
        <w:t xml:space="preserve"> </w:t>
      </w:r>
      <w:r>
        <w:rPr>
          <w:sz w:val="24"/>
        </w:rPr>
        <w:t>not</w:t>
      </w:r>
      <w:r>
        <w:rPr>
          <w:spacing w:val="-9"/>
          <w:sz w:val="24"/>
        </w:rPr>
        <w:t xml:space="preserve"> </w:t>
      </w:r>
      <w:r>
        <w:rPr>
          <w:sz w:val="24"/>
        </w:rPr>
        <w:t>be</w:t>
      </w:r>
      <w:r>
        <w:rPr>
          <w:spacing w:val="-12"/>
          <w:sz w:val="24"/>
        </w:rPr>
        <w:t xml:space="preserve"> </w:t>
      </w:r>
      <w:r>
        <w:rPr>
          <w:sz w:val="24"/>
        </w:rPr>
        <w:t>made</w:t>
      </w:r>
      <w:r>
        <w:rPr>
          <w:spacing w:val="-11"/>
          <w:sz w:val="24"/>
        </w:rPr>
        <w:t xml:space="preserve"> </w:t>
      </w:r>
      <w:r>
        <w:rPr>
          <w:sz w:val="24"/>
        </w:rPr>
        <w:t>and</w:t>
      </w:r>
      <w:r>
        <w:rPr>
          <w:spacing w:val="-11"/>
          <w:sz w:val="24"/>
        </w:rPr>
        <w:t xml:space="preserve"> </w:t>
      </w:r>
      <w:r>
        <w:rPr>
          <w:sz w:val="24"/>
        </w:rPr>
        <w:t>will not</w:t>
      </w:r>
      <w:r>
        <w:rPr>
          <w:spacing w:val="-7"/>
          <w:sz w:val="24"/>
        </w:rPr>
        <w:t xml:space="preserve"> </w:t>
      </w:r>
      <w:r>
        <w:rPr>
          <w:sz w:val="24"/>
        </w:rPr>
        <w:t>become</w:t>
      </w:r>
      <w:r>
        <w:rPr>
          <w:spacing w:val="-7"/>
          <w:sz w:val="24"/>
        </w:rPr>
        <w:t xml:space="preserve"> </w:t>
      </w:r>
      <w:r>
        <w:rPr>
          <w:sz w:val="24"/>
        </w:rPr>
        <w:t>part</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development</w:t>
      </w:r>
      <w:r>
        <w:rPr>
          <w:spacing w:val="-7"/>
          <w:sz w:val="24"/>
        </w:rPr>
        <w:t xml:space="preserve"> </w:t>
      </w:r>
      <w:r>
        <w:rPr>
          <w:sz w:val="24"/>
        </w:rPr>
        <w:t>plan</w:t>
      </w:r>
      <w:r>
        <w:rPr>
          <w:spacing w:val="-4"/>
          <w:sz w:val="24"/>
        </w:rPr>
        <w:t xml:space="preserve"> </w:t>
      </w:r>
      <w:r>
        <w:rPr>
          <w:sz w:val="24"/>
        </w:rPr>
        <w:t>for</w:t>
      </w:r>
      <w:r>
        <w:rPr>
          <w:spacing w:val="-8"/>
          <w:sz w:val="24"/>
        </w:rPr>
        <w:t xml:space="preserve"> </w:t>
      </w:r>
      <w:r>
        <w:rPr>
          <w:sz w:val="24"/>
        </w:rPr>
        <w:t>the</w:t>
      </w:r>
      <w:r>
        <w:rPr>
          <w:spacing w:val="-7"/>
          <w:sz w:val="24"/>
        </w:rPr>
        <w:t xml:space="preserve"> </w:t>
      </w:r>
      <w:r>
        <w:rPr>
          <w:sz w:val="24"/>
        </w:rPr>
        <w:t>area.</w:t>
      </w:r>
      <w:r>
        <w:rPr>
          <w:spacing w:val="-2"/>
          <w:sz w:val="24"/>
        </w:rPr>
        <w:t xml:space="preserve"> </w:t>
      </w:r>
      <w:r>
        <w:rPr>
          <w:sz w:val="24"/>
        </w:rPr>
        <w:t>If</w:t>
      </w:r>
      <w:r>
        <w:rPr>
          <w:spacing w:val="-5"/>
          <w:sz w:val="24"/>
        </w:rPr>
        <w:t xml:space="preserve"> </w:t>
      </w:r>
      <w:r>
        <w:rPr>
          <w:sz w:val="24"/>
        </w:rPr>
        <w:t>a</w:t>
      </w:r>
      <w:r>
        <w:rPr>
          <w:spacing w:val="-6"/>
          <w:sz w:val="24"/>
        </w:rPr>
        <w:t xml:space="preserve"> </w:t>
      </w:r>
      <w:r>
        <w:rPr>
          <w:sz w:val="24"/>
        </w:rPr>
        <w:t>majority</w:t>
      </w:r>
      <w:r>
        <w:rPr>
          <w:spacing w:val="-6"/>
          <w:sz w:val="24"/>
        </w:rPr>
        <w:t xml:space="preserve"> </w:t>
      </w:r>
      <w:r>
        <w:rPr>
          <w:sz w:val="24"/>
        </w:rPr>
        <w:t>of</w:t>
      </w:r>
      <w:r>
        <w:rPr>
          <w:spacing w:val="-5"/>
          <w:sz w:val="24"/>
        </w:rPr>
        <w:t xml:space="preserve"> </w:t>
      </w:r>
      <w:r>
        <w:rPr>
          <w:sz w:val="24"/>
        </w:rPr>
        <w:t>those</w:t>
      </w:r>
      <w:r>
        <w:rPr>
          <w:spacing w:val="-5"/>
          <w:sz w:val="24"/>
        </w:rPr>
        <w:t xml:space="preserve"> </w:t>
      </w:r>
      <w:r>
        <w:rPr>
          <w:sz w:val="24"/>
        </w:rPr>
        <w:t>who</w:t>
      </w:r>
      <w:r>
        <w:rPr>
          <w:spacing w:val="-5"/>
          <w:sz w:val="24"/>
        </w:rPr>
        <w:t xml:space="preserve"> </w:t>
      </w:r>
      <w:r>
        <w:rPr>
          <w:sz w:val="24"/>
        </w:rPr>
        <w:t>have voted in one of the referendums vote in support of making the draft neighbourhood plan and the majority of those who vote in the other referendum do not support the making of the draft plan, BCC will decide whether the neighbourhood plan should be bro</w:t>
      </w:r>
      <w:r>
        <w:rPr>
          <w:sz w:val="24"/>
        </w:rPr>
        <w:t>ught into</w:t>
      </w:r>
      <w:r>
        <w:rPr>
          <w:spacing w:val="-3"/>
          <w:sz w:val="24"/>
        </w:rPr>
        <w:t xml:space="preserve"> </w:t>
      </w:r>
      <w:r>
        <w:rPr>
          <w:sz w:val="24"/>
        </w:rPr>
        <w:t>force.</w:t>
      </w:r>
    </w:p>
    <w:p w14:paraId="3DE8BC3C" w14:textId="77777777" w:rsidR="004E1929" w:rsidRDefault="004E1929">
      <w:pPr>
        <w:pStyle w:val="BodyText"/>
        <w:spacing w:before="10"/>
        <w:ind w:firstLine="0"/>
        <w:rPr>
          <w:sz w:val="23"/>
        </w:rPr>
      </w:pPr>
    </w:p>
    <w:p w14:paraId="3DE8BC3D" w14:textId="77777777" w:rsidR="004E1929" w:rsidRDefault="00B8283E">
      <w:pPr>
        <w:pStyle w:val="ListParagraph"/>
        <w:numPr>
          <w:ilvl w:val="1"/>
          <w:numId w:val="1"/>
        </w:numPr>
        <w:tabs>
          <w:tab w:val="left" w:pos="744"/>
        </w:tabs>
        <w:ind w:right="1204"/>
        <w:jc w:val="both"/>
        <w:rPr>
          <w:sz w:val="24"/>
        </w:rPr>
      </w:pPr>
      <w:r>
        <w:rPr>
          <w:sz w:val="24"/>
        </w:rPr>
        <w:t>Further information on neighbourhood planning is available from the Government at</w:t>
      </w:r>
      <w:hyperlink r:id="rId9">
        <w:r>
          <w:rPr>
            <w:color w:val="0462C1"/>
            <w:sz w:val="24"/>
            <w:u w:val="single" w:color="0462C1"/>
          </w:rPr>
          <w:t xml:space="preserve"> https://www.gov.uk/guidance/neighbourhood-planning--2</w:t>
        </w:r>
      </w:hyperlink>
    </w:p>
    <w:sectPr w:rsidR="004E1929">
      <w:pgSz w:w="11910" w:h="16840"/>
      <w:pgMar w:top="1380" w:right="2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253A7"/>
    <w:multiLevelType w:val="multilevel"/>
    <w:tmpl w:val="C8ACF0DC"/>
    <w:lvl w:ilvl="0">
      <w:start w:val="4"/>
      <w:numFmt w:val="decimal"/>
      <w:lvlText w:val="%1."/>
      <w:lvlJc w:val="left"/>
      <w:pPr>
        <w:ind w:left="385" w:hanging="285"/>
        <w:jc w:val="left"/>
      </w:pPr>
      <w:rPr>
        <w:rFonts w:ascii="Calibri" w:eastAsia="Calibri" w:hAnsi="Calibri" w:cs="Calibri" w:hint="default"/>
        <w:b/>
        <w:bCs/>
        <w:spacing w:val="-25"/>
        <w:w w:val="100"/>
        <w:sz w:val="24"/>
        <w:szCs w:val="24"/>
        <w:lang w:val="en-GB" w:eastAsia="en-GB" w:bidi="en-GB"/>
      </w:rPr>
    </w:lvl>
    <w:lvl w:ilvl="1">
      <w:start w:val="1"/>
      <w:numFmt w:val="decimal"/>
      <w:lvlText w:val="%1.%2"/>
      <w:lvlJc w:val="left"/>
      <w:pPr>
        <w:ind w:left="743" w:hanging="360"/>
        <w:jc w:val="left"/>
      </w:pPr>
      <w:rPr>
        <w:rFonts w:ascii="Calibri" w:eastAsia="Calibri" w:hAnsi="Calibri" w:cs="Calibri" w:hint="default"/>
        <w:w w:val="100"/>
        <w:sz w:val="24"/>
        <w:szCs w:val="24"/>
        <w:lang w:val="en-GB" w:eastAsia="en-GB" w:bidi="en-GB"/>
      </w:rPr>
    </w:lvl>
    <w:lvl w:ilvl="2">
      <w:numFmt w:val="bullet"/>
      <w:lvlText w:val=""/>
      <w:lvlJc w:val="left"/>
      <w:pPr>
        <w:ind w:left="1540" w:hanging="360"/>
      </w:pPr>
      <w:rPr>
        <w:rFonts w:ascii="Symbol" w:eastAsia="Symbol" w:hAnsi="Symbol" w:cs="Symbol" w:hint="default"/>
        <w:w w:val="100"/>
        <w:sz w:val="24"/>
        <w:szCs w:val="24"/>
        <w:lang w:val="en-GB" w:eastAsia="en-GB" w:bidi="en-GB"/>
      </w:rPr>
    </w:lvl>
    <w:lvl w:ilvl="3">
      <w:numFmt w:val="bullet"/>
      <w:lvlText w:val="•"/>
      <w:lvlJc w:val="left"/>
      <w:pPr>
        <w:ind w:left="2638" w:hanging="360"/>
      </w:pPr>
      <w:rPr>
        <w:rFonts w:hint="default"/>
        <w:lang w:val="en-GB" w:eastAsia="en-GB" w:bidi="en-GB"/>
      </w:rPr>
    </w:lvl>
    <w:lvl w:ilvl="4">
      <w:numFmt w:val="bullet"/>
      <w:lvlText w:val="•"/>
      <w:lvlJc w:val="left"/>
      <w:pPr>
        <w:ind w:left="3736" w:hanging="360"/>
      </w:pPr>
      <w:rPr>
        <w:rFonts w:hint="default"/>
        <w:lang w:val="en-GB" w:eastAsia="en-GB" w:bidi="en-GB"/>
      </w:rPr>
    </w:lvl>
    <w:lvl w:ilvl="5">
      <w:numFmt w:val="bullet"/>
      <w:lvlText w:val="•"/>
      <w:lvlJc w:val="left"/>
      <w:pPr>
        <w:ind w:left="4834" w:hanging="360"/>
      </w:pPr>
      <w:rPr>
        <w:rFonts w:hint="default"/>
        <w:lang w:val="en-GB" w:eastAsia="en-GB" w:bidi="en-GB"/>
      </w:rPr>
    </w:lvl>
    <w:lvl w:ilvl="6">
      <w:numFmt w:val="bullet"/>
      <w:lvlText w:val="•"/>
      <w:lvlJc w:val="left"/>
      <w:pPr>
        <w:ind w:left="5933" w:hanging="360"/>
      </w:pPr>
      <w:rPr>
        <w:rFonts w:hint="default"/>
        <w:lang w:val="en-GB" w:eastAsia="en-GB" w:bidi="en-GB"/>
      </w:rPr>
    </w:lvl>
    <w:lvl w:ilvl="7">
      <w:numFmt w:val="bullet"/>
      <w:lvlText w:val="•"/>
      <w:lvlJc w:val="left"/>
      <w:pPr>
        <w:ind w:left="7031" w:hanging="360"/>
      </w:pPr>
      <w:rPr>
        <w:rFonts w:hint="default"/>
        <w:lang w:val="en-GB" w:eastAsia="en-GB" w:bidi="en-GB"/>
      </w:rPr>
    </w:lvl>
    <w:lvl w:ilvl="8">
      <w:numFmt w:val="bullet"/>
      <w:lvlText w:val="•"/>
      <w:lvlJc w:val="left"/>
      <w:pPr>
        <w:ind w:left="8129" w:hanging="360"/>
      </w:pPr>
      <w:rPr>
        <w:rFonts w:hint="default"/>
        <w:lang w:val="en-GB" w:eastAsia="en-GB" w:bidi="en-GB"/>
      </w:rPr>
    </w:lvl>
  </w:abstractNum>
  <w:abstractNum w:abstractNumId="1" w15:restartNumberingAfterBreak="0">
    <w:nsid w:val="257D6105"/>
    <w:multiLevelType w:val="multilevel"/>
    <w:tmpl w:val="C908D2C2"/>
    <w:lvl w:ilvl="0">
      <w:start w:val="3"/>
      <w:numFmt w:val="decimal"/>
      <w:lvlText w:val="%1"/>
      <w:lvlJc w:val="left"/>
      <w:pPr>
        <w:ind w:left="743" w:hanging="360"/>
        <w:jc w:val="left"/>
      </w:pPr>
      <w:rPr>
        <w:rFonts w:hint="default"/>
        <w:lang w:val="en-GB" w:eastAsia="en-GB" w:bidi="en-GB"/>
      </w:rPr>
    </w:lvl>
    <w:lvl w:ilvl="1">
      <w:start w:val="1"/>
      <w:numFmt w:val="decimal"/>
      <w:lvlText w:val="%1.%2"/>
      <w:lvlJc w:val="left"/>
      <w:pPr>
        <w:ind w:left="743" w:hanging="360"/>
        <w:jc w:val="left"/>
      </w:pPr>
      <w:rPr>
        <w:rFonts w:ascii="Calibri" w:eastAsia="Calibri" w:hAnsi="Calibri" w:cs="Calibri" w:hint="default"/>
        <w:w w:val="100"/>
        <w:sz w:val="24"/>
        <w:szCs w:val="24"/>
        <w:lang w:val="en-GB" w:eastAsia="en-GB" w:bidi="en-GB"/>
      </w:rPr>
    </w:lvl>
    <w:lvl w:ilvl="2">
      <w:numFmt w:val="bullet"/>
      <w:lvlText w:val="•"/>
      <w:lvlJc w:val="left"/>
      <w:pPr>
        <w:ind w:left="2657" w:hanging="360"/>
      </w:pPr>
      <w:rPr>
        <w:rFonts w:hint="default"/>
        <w:lang w:val="en-GB" w:eastAsia="en-GB" w:bidi="en-GB"/>
      </w:rPr>
    </w:lvl>
    <w:lvl w:ilvl="3">
      <w:numFmt w:val="bullet"/>
      <w:lvlText w:val="•"/>
      <w:lvlJc w:val="left"/>
      <w:pPr>
        <w:ind w:left="3615" w:hanging="360"/>
      </w:pPr>
      <w:rPr>
        <w:rFonts w:hint="default"/>
        <w:lang w:val="en-GB" w:eastAsia="en-GB" w:bidi="en-GB"/>
      </w:rPr>
    </w:lvl>
    <w:lvl w:ilvl="4">
      <w:numFmt w:val="bullet"/>
      <w:lvlText w:val="•"/>
      <w:lvlJc w:val="left"/>
      <w:pPr>
        <w:ind w:left="4574" w:hanging="360"/>
      </w:pPr>
      <w:rPr>
        <w:rFonts w:hint="default"/>
        <w:lang w:val="en-GB" w:eastAsia="en-GB" w:bidi="en-GB"/>
      </w:rPr>
    </w:lvl>
    <w:lvl w:ilvl="5">
      <w:numFmt w:val="bullet"/>
      <w:lvlText w:val="•"/>
      <w:lvlJc w:val="left"/>
      <w:pPr>
        <w:ind w:left="5533" w:hanging="360"/>
      </w:pPr>
      <w:rPr>
        <w:rFonts w:hint="default"/>
        <w:lang w:val="en-GB" w:eastAsia="en-GB" w:bidi="en-GB"/>
      </w:rPr>
    </w:lvl>
    <w:lvl w:ilvl="6">
      <w:numFmt w:val="bullet"/>
      <w:lvlText w:val="•"/>
      <w:lvlJc w:val="left"/>
      <w:pPr>
        <w:ind w:left="6491" w:hanging="360"/>
      </w:pPr>
      <w:rPr>
        <w:rFonts w:hint="default"/>
        <w:lang w:val="en-GB" w:eastAsia="en-GB" w:bidi="en-GB"/>
      </w:rPr>
    </w:lvl>
    <w:lvl w:ilvl="7">
      <w:numFmt w:val="bullet"/>
      <w:lvlText w:val="•"/>
      <w:lvlJc w:val="left"/>
      <w:pPr>
        <w:ind w:left="7450" w:hanging="360"/>
      </w:pPr>
      <w:rPr>
        <w:rFonts w:hint="default"/>
        <w:lang w:val="en-GB" w:eastAsia="en-GB" w:bidi="en-GB"/>
      </w:rPr>
    </w:lvl>
    <w:lvl w:ilvl="8">
      <w:numFmt w:val="bullet"/>
      <w:lvlText w:val="•"/>
      <w:lvlJc w:val="left"/>
      <w:pPr>
        <w:ind w:left="8409" w:hanging="360"/>
      </w:pPr>
      <w:rPr>
        <w:rFonts w:hint="default"/>
        <w:lang w:val="en-GB" w:eastAsia="en-GB" w:bidi="en-GB"/>
      </w:rPr>
    </w:lvl>
  </w:abstractNum>
  <w:abstractNum w:abstractNumId="2" w15:restartNumberingAfterBreak="0">
    <w:nsid w:val="729B79D4"/>
    <w:multiLevelType w:val="multilevel"/>
    <w:tmpl w:val="E060401A"/>
    <w:lvl w:ilvl="0">
      <w:start w:val="1"/>
      <w:numFmt w:val="decimal"/>
      <w:lvlText w:val="%1."/>
      <w:lvlJc w:val="left"/>
      <w:pPr>
        <w:ind w:left="385" w:hanging="285"/>
        <w:jc w:val="left"/>
      </w:pPr>
      <w:rPr>
        <w:rFonts w:ascii="Calibri" w:eastAsia="Calibri" w:hAnsi="Calibri" w:cs="Calibri" w:hint="default"/>
        <w:b/>
        <w:bCs/>
        <w:spacing w:val="-26"/>
        <w:w w:val="100"/>
        <w:sz w:val="24"/>
        <w:szCs w:val="24"/>
        <w:lang w:val="en-GB" w:eastAsia="en-GB" w:bidi="en-GB"/>
      </w:rPr>
    </w:lvl>
    <w:lvl w:ilvl="1">
      <w:start w:val="1"/>
      <w:numFmt w:val="decimal"/>
      <w:lvlText w:val="%1.%2"/>
      <w:lvlJc w:val="left"/>
      <w:pPr>
        <w:ind w:left="820" w:hanging="360"/>
        <w:jc w:val="left"/>
      </w:pPr>
      <w:rPr>
        <w:rFonts w:ascii="Calibri" w:eastAsia="Calibri" w:hAnsi="Calibri" w:cs="Calibri" w:hint="default"/>
        <w:w w:val="100"/>
        <w:sz w:val="24"/>
        <w:szCs w:val="24"/>
        <w:lang w:val="en-GB" w:eastAsia="en-GB" w:bidi="en-GB"/>
      </w:rPr>
    </w:lvl>
    <w:lvl w:ilvl="2">
      <w:numFmt w:val="bullet"/>
      <w:lvlText w:val=""/>
      <w:lvlJc w:val="left"/>
      <w:pPr>
        <w:ind w:left="1540" w:hanging="360"/>
      </w:pPr>
      <w:rPr>
        <w:rFonts w:ascii="Symbol" w:eastAsia="Symbol" w:hAnsi="Symbol" w:cs="Symbol" w:hint="default"/>
        <w:w w:val="100"/>
        <w:sz w:val="24"/>
        <w:szCs w:val="24"/>
        <w:lang w:val="en-GB" w:eastAsia="en-GB" w:bidi="en-GB"/>
      </w:rPr>
    </w:lvl>
    <w:lvl w:ilvl="3">
      <w:numFmt w:val="bullet"/>
      <w:lvlText w:val="•"/>
      <w:lvlJc w:val="left"/>
      <w:pPr>
        <w:ind w:left="2638" w:hanging="360"/>
      </w:pPr>
      <w:rPr>
        <w:rFonts w:hint="default"/>
        <w:lang w:val="en-GB" w:eastAsia="en-GB" w:bidi="en-GB"/>
      </w:rPr>
    </w:lvl>
    <w:lvl w:ilvl="4">
      <w:numFmt w:val="bullet"/>
      <w:lvlText w:val="•"/>
      <w:lvlJc w:val="left"/>
      <w:pPr>
        <w:ind w:left="3736" w:hanging="360"/>
      </w:pPr>
      <w:rPr>
        <w:rFonts w:hint="default"/>
        <w:lang w:val="en-GB" w:eastAsia="en-GB" w:bidi="en-GB"/>
      </w:rPr>
    </w:lvl>
    <w:lvl w:ilvl="5">
      <w:numFmt w:val="bullet"/>
      <w:lvlText w:val="•"/>
      <w:lvlJc w:val="left"/>
      <w:pPr>
        <w:ind w:left="4834" w:hanging="360"/>
      </w:pPr>
      <w:rPr>
        <w:rFonts w:hint="default"/>
        <w:lang w:val="en-GB" w:eastAsia="en-GB" w:bidi="en-GB"/>
      </w:rPr>
    </w:lvl>
    <w:lvl w:ilvl="6">
      <w:numFmt w:val="bullet"/>
      <w:lvlText w:val="•"/>
      <w:lvlJc w:val="left"/>
      <w:pPr>
        <w:ind w:left="5933" w:hanging="360"/>
      </w:pPr>
      <w:rPr>
        <w:rFonts w:hint="default"/>
        <w:lang w:val="en-GB" w:eastAsia="en-GB" w:bidi="en-GB"/>
      </w:rPr>
    </w:lvl>
    <w:lvl w:ilvl="7">
      <w:numFmt w:val="bullet"/>
      <w:lvlText w:val="•"/>
      <w:lvlJc w:val="left"/>
      <w:pPr>
        <w:ind w:left="7031" w:hanging="360"/>
      </w:pPr>
      <w:rPr>
        <w:rFonts w:hint="default"/>
        <w:lang w:val="en-GB" w:eastAsia="en-GB" w:bidi="en-GB"/>
      </w:rPr>
    </w:lvl>
    <w:lvl w:ilvl="8">
      <w:numFmt w:val="bullet"/>
      <w:lvlText w:val="•"/>
      <w:lvlJc w:val="left"/>
      <w:pPr>
        <w:ind w:left="8129" w:hanging="360"/>
      </w:pPr>
      <w:rPr>
        <w:rFonts w:hint="default"/>
        <w:lang w:val="en-GB" w:eastAsia="en-GB" w:bidi="en-GB"/>
      </w:rPr>
    </w:lvl>
  </w:abstractNum>
  <w:num w:numId="1" w16cid:durableId="48841165">
    <w:abstractNumId w:val="0"/>
  </w:num>
  <w:num w:numId="2" w16cid:durableId="614562634">
    <w:abstractNumId w:val="1"/>
  </w:num>
  <w:num w:numId="3" w16cid:durableId="62223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5Ar0sOyVsAcCd/2SRdY1GSZ0gFmemDS2wnyth1hgjZREuERASaO592f50BaIOV0m"/>
  </w:docVars>
  <w:rsids>
    <w:rsidRoot w:val="004E1929"/>
    <w:rsid w:val="004E1929"/>
    <w:rsid w:val="00B82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BC0D"/>
  <w15:docId w15:val="{FBA9A36A-18E3-4FA2-BA3B-88C38FCD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385" w:hanging="28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24"/>
      <w:szCs w:val="24"/>
    </w:rPr>
  </w:style>
  <w:style w:type="paragraph" w:styleId="ListParagraph">
    <w:name w:val="List Paragraph"/>
    <w:basedOn w:val="Normal"/>
    <w:uiPriority w:val="1"/>
    <w:qFormat/>
    <w:pPr>
      <w:ind w:left="74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irmingham.gov.uk/jqndp" TargetMode="External"/><Relationship Id="rId3" Type="http://schemas.openxmlformats.org/officeDocument/2006/relationships/settings" Target="settings.xml"/><Relationship Id="rId7" Type="http://schemas.openxmlformats.org/officeDocument/2006/relationships/hyperlink" Target="https://www.birmingham.gov.uk/info/20054/local_plan_documents/78/birmingham_development_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rmingham.gov.uk/info/20054/local_plan_documents/78/birmingham_development_pla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uidance/neighbourhood-planning--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1021</Words>
  <Characters>5978</Characters>
  <Application>Microsoft Office Word</Application>
  <DocSecurity>0</DocSecurity>
  <Lines>122</Lines>
  <Paragraphs>38</Paragraphs>
  <ScaleCrop>false</ScaleCrop>
  <Company>Birmingham City Council</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Jewellery Quarter Neighbourhood Development Plan - Referendum 2023 </dc:title>
  <dc:creator>Lawrence Munyuki</dc:creator>
  <cp:lastModifiedBy>Nick Tringham</cp:lastModifiedBy>
  <cp:revision>2</cp:revision>
  <dcterms:created xsi:type="dcterms:W3CDTF">2023-04-19T14:56:00Z</dcterms:created>
  <dcterms:modified xsi:type="dcterms:W3CDTF">2023-04-19T20:20:00Z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for Microsoft 365</vt:lpwstr>
  </property>
  <property fmtid="{D5CDD505-2E9C-101B-9397-08002B2CF9AE}" pid="4" name="LastSaved">
    <vt:filetime>2023-04-19T00:00:00Z</vt:filetime>
  </property>
</Properties>
</file>