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5B4F" w14:textId="2C67B134" w:rsidR="00DA3AB8" w:rsidRDefault="00C25C3A" w:rsidP="00FE0F37">
      <w:r>
        <w:rPr>
          <w:noProof/>
        </w:rPr>
        <w:drawing>
          <wp:anchor distT="0" distB="0" distL="114300" distR="114300" simplePos="0" relativeHeight="251658240" behindDoc="0" locked="0" layoutInCell="1" allowOverlap="1" wp14:anchorId="2125D3C7" wp14:editId="135E3623">
            <wp:simplePos x="0" y="0"/>
            <wp:positionH relativeFrom="column">
              <wp:posOffset>-238760</wp:posOffset>
            </wp:positionH>
            <wp:positionV relativeFrom="paragraph">
              <wp:posOffset>-672465</wp:posOffset>
            </wp:positionV>
            <wp:extent cx="4395470" cy="1404620"/>
            <wp:effectExtent l="0" t="0" r="5080" b="5080"/>
            <wp:wrapNone/>
            <wp:docPr id="2" name="Picture 2" descr="BCC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CC Logo">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5470" cy="1404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305F09" w14:textId="453F6738" w:rsidR="004753F4" w:rsidRDefault="004753F4" w:rsidP="00FE0F37"/>
    <w:p w14:paraId="7B584585" w14:textId="029F30B7" w:rsidR="008544CD" w:rsidRDefault="008544CD" w:rsidP="008544CD">
      <w:pPr>
        <w:pStyle w:val="NoSpacing"/>
      </w:pPr>
    </w:p>
    <w:p w14:paraId="495C0A63" w14:textId="77777777" w:rsidR="00C25C3A" w:rsidRDefault="00C25C3A" w:rsidP="008544CD">
      <w:pPr>
        <w:pStyle w:val="NoSpacing"/>
        <w:rPr>
          <w:rFonts w:cs="Calibri"/>
          <w:b/>
          <w:sz w:val="24"/>
          <w:szCs w:val="24"/>
        </w:rPr>
      </w:pPr>
    </w:p>
    <w:p w14:paraId="562374A7" w14:textId="1AABBC1B" w:rsidR="008544CD" w:rsidRPr="00CB4E42" w:rsidRDefault="008544CD" w:rsidP="00CB4E42">
      <w:pPr>
        <w:pStyle w:val="Heading1"/>
        <w:rPr>
          <w:rFonts w:ascii="Arial" w:hAnsi="Arial" w:cs="Arial"/>
          <w:sz w:val="22"/>
          <w:szCs w:val="22"/>
        </w:rPr>
      </w:pPr>
      <w:r w:rsidRPr="00CB4E42">
        <w:rPr>
          <w:rFonts w:ascii="Arial" w:hAnsi="Arial" w:cs="Arial"/>
          <w:sz w:val="22"/>
          <w:szCs w:val="22"/>
        </w:rPr>
        <w:t>Report to:</w:t>
      </w:r>
      <w:r w:rsidRPr="00CB4E42">
        <w:rPr>
          <w:rFonts w:ascii="Arial" w:hAnsi="Arial" w:cs="Arial"/>
          <w:sz w:val="22"/>
          <w:szCs w:val="22"/>
        </w:rPr>
        <w:tab/>
      </w:r>
      <w:r w:rsidR="00F32E4C" w:rsidRPr="00CB4E42">
        <w:rPr>
          <w:rFonts w:ascii="Arial" w:hAnsi="Arial" w:cs="Arial"/>
          <w:sz w:val="22"/>
          <w:szCs w:val="22"/>
        </w:rPr>
        <w:t>Schools</w:t>
      </w:r>
      <w:r w:rsidR="00BD64AD" w:rsidRPr="00CB4E42">
        <w:rPr>
          <w:rFonts w:ascii="Arial" w:hAnsi="Arial" w:cs="Arial"/>
          <w:sz w:val="22"/>
          <w:szCs w:val="22"/>
        </w:rPr>
        <w:t>’</w:t>
      </w:r>
      <w:r w:rsidR="00F32E4C" w:rsidRPr="00CB4E42">
        <w:rPr>
          <w:rFonts w:ascii="Arial" w:hAnsi="Arial" w:cs="Arial"/>
          <w:sz w:val="22"/>
          <w:szCs w:val="22"/>
        </w:rPr>
        <w:t xml:space="preserve"> Forum</w:t>
      </w:r>
      <w:r w:rsidR="003266DB" w:rsidRPr="00CB4E42">
        <w:rPr>
          <w:rFonts w:ascii="Arial" w:hAnsi="Arial" w:cs="Arial"/>
          <w:sz w:val="22"/>
          <w:szCs w:val="22"/>
        </w:rPr>
        <w:t xml:space="preserve"> </w:t>
      </w:r>
    </w:p>
    <w:p w14:paraId="293EFC0B" w14:textId="77777777" w:rsidR="00F32E4C" w:rsidRPr="00B33074" w:rsidRDefault="00F32E4C" w:rsidP="008544CD">
      <w:pPr>
        <w:pStyle w:val="NoSpacing"/>
        <w:rPr>
          <w:rFonts w:ascii="Arial" w:hAnsi="Arial" w:cs="Arial"/>
          <w:b/>
        </w:rPr>
      </w:pPr>
    </w:p>
    <w:p w14:paraId="7057EF82" w14:textId="7FE2CCDF" w:rsidR="008544CD" w:rsidRPr="00B33074" w:rsidRDefault="007614A4" w:rsidP="008544CD">
      <w:pPr>
        <w:pStyle w:val="NoSpacing"/>
        <w:rPr>
          <w:rFonts w:ascii="Arial" w:hAnsi="Arial" w:cs="Arial"/>
          <w:b/>
        </w:rPr>
      </w:pPr>
      <w:r>
        <w:rPr>
          <w:rFonts w:ascii="Arial" w:hAnsi="Arial" w:cs="Arial"/>
          <w:b/>
        </w:rPr>
        <w:t>Date</w:t>
      </w:r>
      <w:r w:rsidR="00915A7A">
        <w:rPr>
          <w:rFonts w:ascii="Arial" w:hAnsi="Arial" w:cs="Arial"/>
          <w:b/>
        </w:rPr>
        <w:t>:</w:t>
      </w:r>
      <w:r>
        <w:rPr>
          <w:rFonts w:ascii="Arial" w:hAnsi="Arial" w:cs="Arial"/>
          <w:b/>
        </w:rPr>
        <w:tab/>
      </w:r>
      <w:r>
        <w:rPr>
          <w:rFonts w:ascii="Arial" w:hAnsi="Arial" w:cs="Arial"/>
          <w:b/>
        </w:rPr>
        <w:tab/>
      </w:r>
      <w:r w:rsidR="009368E3">
        <w:rPr>
          <w:rFonts w:ascii="Arial" w:hAnsi="Arial" w:cs="Arial"/>
          <w:b/>
        </w:rPr>
        <w:t>16</w:t>
      </w:r>
      <w:r w:rsidR="009368E3" w:rsidRPr="009368E3">
        <w:rPr>
          <w:rFonts w:ascii="Arial" w:hAnsi="Arial" w:cs="Arial"/>
          <w:b/>
          <w:vertAlign w:val="superscript"/>
        </w:rPr>
        <w:t>th</w:t>
      </w:r>
      <w:r w:rsidR="009368E3">
        <w:rPr>
          <w:rFonts w:ascii="Arial" w:hAnsi="Arial" w:cs="Arial"/>
          <w:b/>
        </w:rPr>
        <w:t xml:space="preserve"> March</w:t>
      </w:r>
      <w:r>
        <w:rPr>
          <w:rFonts w:ascii="Arial" w:hAnsi="Arial" w:cs="Arial"/>
          <w:b/>
        </w:rPr>
        <w:t xml:space="preserve"> 202</w:t>
      </w:r>
      <w:r w:rsidR="00BD64AD">
        <w:rPr>
          <w:rFonts w:ascii="Arial" w:hAnsi="Arial" w:cs="Arial"/>
          <w:b/>
        </w:rPr>
        <w:t>3</w:t>
      </w:r>
    </w:p>
    <w:p w14:paraId="788C534C" w14:textId="77777777" w:rsidR="008544CD" w:rsidRPr="00B33074" w:rsidRDefault="008544CD" w:rsidP="008544CD">
      <w:pPr>
        <w:pStyle w:val="NoSpacing"/>
        <w:rPr>
          <w:rFonts w:ascii="Arial" w:hAnsi="Arial" w:cs="Arial"/>
          <w:b/>
        </w:rPr>
      </w:pPr>
    </w:p>
    <w:p w14:paraId="3A647B3A" w14:textId="27055F5F" w:rsidR="008544CD" w:rsidRDefault="008544CD" w:rsidP="007E696A">
      <w:pPr>
        <w:pStyle w:val="NoSpacing"/>
        <w:ind w:left="1440" w:hanging="1440"/>
        <w:rPr>
          <w:rFonts w:ascii="Arial" w:hAnsi="Arial" w:cs="Arial"/>
          <w:b/>
        </w:rPr>
      </w:pPr>
      <w:r w:rsidRPr="00B33074">
        <w:rPr>
          <w:rFonts w:ascii="Arial" w:hAnsi="Arial" w:cs="Arial"/>
          <w:b/>
        </w:rPr>
        <w:t>Report of:</w:t>
      </w:r>
      <w:r w:rsidRPr="00B33074">
        <w:rPr>
          <w:rFonts w:ascii="Arial" w:hAnsi="Arial" w:cs="Arial"/>
          <w:b/>
        </w:rPr>
        <w:tab/>
      </w:r>
      <w:r w:rsidR="00E320C5">
        <w:rPr>
          <w:rFonts w:ascii="Arial" w:hAnsi="Arial" w:cs="Arial"/>
          <w:b/>
        </w:rPr>
        <w:t xml:space="preserve">Terry Shaw, </w:t>
      </w:r>
      <w:r w:rsidR="007C541F">
        <w:rPr>
          <w:rFonts w:ascii="Arial" w:hAnsi="Arial" w:cs="Arial"/>
          <w:b/>
        </w:rPr>
        <w:t>Finance Manager (Schools and Fair Funding Team)</w:t>
      </w:r>
      <w:r w:rsidR="009F01AD">
        <w:rPr>
          <w:rFonts w:ascii="Arial" w:hAnsi="Arial" w:cs="Arial"/>
          <w:b/>
        </w:rPr>
        <w:t xml:space="preserve"> </w:t>
      </w:r>
    </w:p>
    <w:p w14:paraId="3BD83A36" w14:textId="77777777" w:rsidR="00EA4A73" w:rsidRPr="00B33074" w:rsidRDefault="00EA4A73" w:rsidP="007E696A">
      <w:pPr>
        <w:pStyle w:val="NoSpacing"/>
        <w:ind w:left="1440" w:hanging="1440"/>
        <w:rPr>
          <w:rFonts w:ascii="Arial" w:hAnsi="Arial" w:cs="Arial"/>
          <w:b/>
        </w:rPr>
      </w:pPr>
    </w:p>
    <w:p w14:paraId="713DF0CC" w14:textId="7843C399" w:rsidR="0061434E" w:rsidRDefault="00EC624D" w:rsidP="007C541F">
      <w:pPr>
        <w:pStyle w:val="NoSpacing"/>
        <w:ind w:left="1440" w:hanging="1440"/>
        <w:rPr>
          <w:rFonts w:ascii="Arial" w:hAnsi="Arial" w:cs="Arial"/>
          <w:b/>
        </w:rPr>
      </w:pPr>
      <w:r w:rsidRPr="00B33074">
        <w:rPr>
          <w:rFonts w:ascii="Arial" w:hAnsi="Arial" w:cs="Arial"/>
          <w:b/>
        </w:rPr>
        <w:t>Title:</w:t>
      </w:r>
      <w:r w:rsidRPr="00B33074">
        <w:rPr>
          <w:rFonts w:ascii="Arial" w:hAnsi="Arial" w:cs="Arial"/>
          <w:b/>
        </w:rPr>
        <w:tab/>
      </w:r>
      <w:r w:rsidR="0072196D">
        <w:rPr>
          <w:rFonts w:ascii="Arial" w:hAnsi="Arial" w:cs="Arial"/>
          <w:b/>
        </w:rPr>
        <w:t>D</w:t>
      </w:r>
      <w:r w:rsidR="007C541F">
        <w:rPr>
          <w:rFonts w:ascii="Arial" w:hAnsi="Arial" w:cs="Arial"/>
          <w:b/>
        </w:rPr>
        <w:t xml:space="preserve">raft Financial Strategy – Projected Dedicated Schools Grant (DSG) Block </w:t>
      </w:r>
      <w:r w:rsidR="003E3220">
        <w:rPr>
          <w:rFonts w:ascii="Arial" w:hAnsi="Arial" w:cs="Arial"/>
          <w:b/>
        </w:rPr>
        <w:t>Reserves Forecast over the Medium Term</w:t>
      </w:r>
    </w:p>
    <w:p w14:paraId="704BB160" w14:textId="77777777" w:rsidR="0061434E" w:rsidRDefault="0061434E" w:rsidP="008544CD">
      <w:pPr>
        <w:pStyle w:val="NoSpacing"/>
        <w:rPr>
          <w:rFonts w:ascii="Arial" w:hAnsi="Arial" w:cs="Arial"/>
          <w:b/>
        </w:rPr>
      </w:pPr>
    </w:p>
    <w:p w14:paraId="22E0A60A" w14:textId="5A0CB200" w:rsidR="008544CD" w:rsidRPr="00B33074" w:rsidRDefault="0061434E" w:rsidP="008544CD">
      <w:pPr>
        <w:pStyle w:val="NoSpacing"/>
        <w:rPr>
          <w:rFonts w:ascii="Arial" w:hAnsi="Arial" w:cs="Arial"/>
        </w:rPr>
      </w:pPr>
      <w:r>
        <w:rPr>
          <w:rFonts w:ascii="Arial" w:hAnsi="Arial" w:cs="Arial"/>
          <w:b/>
        </w:rPr>
        <w:t>Status</w:t>
      </w:r>
      <w:r w:rsidR="009C7087">
        <w:rPr>
          <w:rFonts w:ascii="Arial" w:hAnsi="Arial" w:cs="Arial"/>
          <w:b/>
        </w:rPr>
        <w:t>:</w:t>
      </w:r>
      <w:r w:rsidR="009C7087">
        <w:rPr>
          <w:rFonts w:ascii="Arial" w:hAnsi="Arial" w:cs="Arial"/>
          <w:b/>
        </w:rPr>
        <w:tab/>
      </w:r>
      <w:r>
        <w:rPr>
          <w:rFonts w:ascii="Arial" w:hAnsi="Arial" w:cs="Arial"/>
          <w:b/>
        </w:rPr>
        <w:t xml:space="preserve">For </w:t>
      </w:r>
      <w:r w:rsidR="007C541F">
        <w:rPr>
          <w:rFonts w:ascii="Arial" w:hAnsi="Arial" w:cs="Arial"/>
          <w:b/>
        </w:rPr>
        <w:t>Information</w:t>
      </w:r>
    </w:p>
    <w:p w14:paraId="1F4E9258" w14:textId="77777777" w:rsidR="008544CD" w:rsidRPr="006C52BF" w:rsidRDefault="008544CD" w:rsidP="008544CD">
      <w:pPr>
        <w:pStyle w:val="NoSpacing"/>
        <w:rPr>
          <w:rFonts w:cs="Calibri"/>
          <w:sz w:val="24"/>
          <w:szCs w:val="24"/>
        </w:rPr>
      </w:pPr>
    </w:p>
    <w:p w14:paraId="2451031A" w14:textId="77777777" w:rsidR="00F32E4C" w:rsidRDefault="00F32E4C" w:rsidP="00F32E4C">
      <w:pPr>
        <w:pStyle w:val="NoSpacing"/>
        <w:jc w:val="both"/>
        <w:rPr>
          <w:rFonts w:cs="Calibri"/>
          <w:b/>
          <w:sz w:val="24"/>
          <w:szCs w:val="24"/>
        </w:rPr>
      </w:pPr>
    </w:p>
    <w:p w14:paraId="52F0BAB6" w14:textId="77777777" w:rsidR="007614A4" w:rsidRDefault="007614A4" w:rsidP="00F32E4C">
      <w:pPr>
        <w:pStyle w:val="NoSpacing"/>
        <w:jc w:val="both"/>
        <w:rPr>
          <w:rFonts w:cs="Calibri"/>
          <w:b/>
          <w:sz w:val="24"/>
          <w:szCs w:val="24"/>
        </w:rPr>
      </w:pPr>
      <w:r>
        <w:rPr>
          <w:rFonts w:cs="Calibri"/>
          <w:b/>
          <w:sz w:val="24"/>
          <w:szCs w:val="24"/>
        </w:rPr>
        <w:t>Purpose</w:t>
      </w:r>
    </w:p>
    <w:p w14:paraId="7837AFC8" w14:textId="77777777" w:rsidR="007614A4" w:rsidRDefault="007614A4" w:rsidP="00F32E4C">
      <w:pPr>
        <w:pStyle w:val="NoSpacing"/>
        <w:jc w:val="both"/>
        <w:rPr>
          <w:rFonts w:cs="Calibri"/>
          <w:b/>
          <w:sz w:val="24"/>
          <w:szCs w:val="24"/>
        </w:rPr>
      </w:pPr>
    </w:p>
    <w:p w14:paraId="0B5F796E" w14:textId="74D90893" w:rsidR="007614A4" w:rsidRDefault="007614A4" w:rsidP="007614A4">
      <w:pPr>
        <w:pStyle w:val="NoSpacing"/>
        <w:rPr>
          <w:rFonts w:cs="Calibri"/>
          <w:sz w:val="24"/>
          <w:szCs w:val="24"/>
        </w:rPr>
      </w:pPr>
      <w:r w:rsidRPr="007614A4">
        <w:rPr>
          <w:rFonts w:cs="Calibri"/>
          <w:sz w:val="24"/>
          <w:szCs w:val="24"/>
        </w:rPr>
        <w:t xml:space="preserve">The purpose of this report is to </w:t>
      </w:r>
      <w:r w:rsidR="0072196D">
        <w:rPr>
          <w:rFonts w:cs="Calibri"/>
          <w:sz w:val="24"/>
          <w:szCs w:val="24"/>
        </w:rPr>
        <w:t>inform</w:t>
      </w:r>
      <w:r w:rsidRPr="007614A4">
        <w:rPr>
          <w:rFonts w:cs="Calibri"/>
          <w:sz w:val="24"/>
          <w:szCs w:val="24"/>
        </w:rPr>
        <w:t xml:space="preserve"> Schools</w:t>
      </w:r>
      <w:r w:rsidR="0072196D">
        <w:rPr>
          <w:rFonts w:cs="Calibri"/>
          <w:sz w:val="24"/>
          <w:szCs w:val="24"/>
        </w:rPr>
        <w:t>’</w:t>
      </w:r>
      <w:r w:rsidRPr="007614A4">
        <w:rPr>
          <w:rFonts w:cs="Calibri"/>
          <w:sz w:val="24"/>
          <w:szCs w:val="24"/>
        </w:rPr>
        <w:t xml:space="preserve"> Forum </w:t>
      </w:r>
      <w:r w:rsidR="0072196D">
        <w:rPr>
          <w:rFonts w:cs="Calibri"/>
          <w:sz w:val="24"/>
          <w:szCs w:val="24"/>
        </w:rPr>
        <w:t>of the Dedicated Schools Grant</w:t>
      </w:r>
      <w:r w:rsidR="007C541F">
        <w:rPr>
          <w:rFonts w:cs="Calibri"/>
          <w:sz w:val="24"/>
          <w:szCs w:val="24"/>
        </w:rPr>
        <w:t xml:space="preserve"> (DSG) Block </w:t>
      </w:r>
      <w:r w:rsidR="003C26EE">
        <w:rPr>
          <w:rFonts w:cs="Calibri"/>
          <w:sz w:val="24"/>
          <w:szCs w:val="24"/>
        </w:rPr>
        <w:t xml:space="preserve">reserves </w:t>
      </w:r>
      <w:r w:rsidR="007C541F">
        <w:rPr>
          <w:rFonts w:cs="Calibri"/>
          <w:sz w:val="24"/>
          <w:szCs w:val="24"/>
        </w:rPr>
        <w:t xml:space="preserve">forecast </w:t>
      </w:r>
      <w:r w:rsidR="003C26EE">
        <w:rPr>
          <w:rFonts w:cs="Calibri"/>
          <w:sz w:val="24"/>
          <w:szCs w:val="24"/>
        </w:rPr>
        <w:t>over the financial medium term of three years</w:t>
      </w:r>
      <w:r w:rsidR="007C541F">
        <w:rPr>
          <w:rFonts w:cs="Calibri"/>
          <w:sz w:val="24"/>
          <w:szCs w:val="24"/>
        </w:rPr>
        <w:t xml:space="preserve">. </w:t>
      </w:r>
    </w:p>
    <w:p w14:paraId="68C2287B" w14:textId="1845D101" w:rsidR="007614A4" w:rsidRDefault="007614A4" w:rsidP="007614A4">
      <w:pPr>
        <w:pStyle w:val="NoSpacing"/>
        <w:rPr>
          <w:rFonts w:cs="Calibri"/>
          <w:sz w:val="24"/>
          <w:szCs w:val="24"/>
        </w:rPr>
      </w:pPr>
    </w:p>
    <w:p w14:paraId="496FD78C" w14:textId="77777777" w:rsidR="00010ECA" w:rsidRDefault="00010ECA" w:rsidP="007614A4">
      <w:pPr>
        <w:pStyle w:val="NoSpacing"/>
        <w:rPr>
          <w:rFonts w:cs="Calibri"/>
          <w:sz w:val="24"/>
          <w:szCs w:val="24"/>
        </w:rPr>
      </w:pPr>
    </w:p>
    <w:p w14:paraId="7B97E75F" w14:textId="032ECF77" w:rsidR="007614A4" w:rsidRDefault="007614A4" w:rsidP="007614A4">
      <w:pPr>
        <w:pStyle w:val="NoSpacing"/>
        <w:rPr>
          <w:rFonts w:cs="Calibri"/>
          <w:b/>
          <w:sz w:val="24"/>
          <w:szCs w:val="24"/>
        </w:rPr>
      </w:pPr>
      <w:r w:rsidRPr="007614A4">
        <w:rPr>
          <w:rFonts w:cs="Calibri"/>
          <w:b/>
          <w:sz w:val="24"/>
          <w:szCs w:val="24"/>
        </w:rPr>
        <w:t>Background</w:t>
      </w:r>
    </w:p>
    <w:p w14:paraId="35D9C945" w14:textId="7F0B2904" w:rsidR="0072196D" w:rsidRPr="0072196D" w:rsidRDefault="0072196D" w:rsidP="007614A4">
      <w:pPr>
        <w:pStyle w:val="NoSpacing"/>
        <w:rPr>
          <w:rFonts w:asciiTheme="minorHAnsi" w:hAnsiTheme="minorHAnsi" w:cstheme="minorHAnsi"/>
          <w:b/>
          <w:sz w:val="24"/>
          <w:szCs w:val="24"/>
        </w:rPr>
      </w:pPr>
    </w:p>
    <w:p w14:paraId="383B744B" w14:textId="77777777" w:rsidR="00167716" w:rsidRDefault="0072196D" w:rsidP="0072196D">
      <w:pPr>
        <w:pStyle w:val="NoSpacing"/>
        <w:rPr>
          <w:rFonts w:cs="Calibri"/>
          <w:sz w:val="24"/>
          <w:szCs w:val="24"/>
        </w:rPr>
      </w:pPr>
      <w:r w:rsidRPr="0072196D">
        <w:rPr>
          <w:rFonts w:cs="Calibri"/>
          <w:sz w:val="24"/>
          <w:szCs w:val="24"/>
        </w:rPr>
        <w:t xml:space="preserve">Schools receive funding via a variety of different funding streams, the main ones being the four blocks of the Dedicated School Grant (DSG), Pupil Premium, Education &amp; Skills Funding Agency (ESFA) Post 16 Funding and Universal Infant Free School Meals. </w:t>
      </w:r>
      <w:r w:rsidR="00167716">
        <w:rPr>
          <w:rFonts w:cs="Calibri"/>
          <w:sz w:val="24"/>
          <w:szCs w:val="24"/>
        </w:rPr>
        <w:t xml:space="preserve"> </w:t>
      </w:r>
    </w:p>
    <w:p w14:paraId="1A2B5398" w14:textId="77777777" w:rsidR="00167716" w:rsidRDefault="00167716" w:rsidP="0072196D">
      <w:pPr>
        <w:pStyle w:val="NoSpacing"/>
        <w:rPr>
          <w:rFonts w:cs="Calibri"/>
          <w:sz w:val="24"/>
          <w:szCs w:val="24"/>
        </w:rPr>
      </w:pPr>
    </w:p>
    <w:p w14:paraId="6A318433" w14:textId="635B4CBF" w:rsidR="0072196D" w:rsidRDefault="0072196D" w:rsidP="0072196D">
      <w:pPr>
        <w:pStyle w:val="NoSpacing"/>
        <w:rPr>
          <w:rFonts w:cs="Calibri"/>
          <w:sz w:val="24"/>
          <w:szCs w:val="24"/>
        </w:rPr>
      </w:pPr>
      <w:r w:rsidRPr="0072196D">
        <w:rPr>
          <w:rFonts w:cs="Calibri"/>
          <w:sz w:val="24"/>
          <w:szCs w:val="24"/>
        </w:rPr>
        <w:t>DSG is the main funding stream for schools and education services</w:t>
      </w:r>
      <w:r w:rsidR="00167716">
        <w:rPr>
          <w:rFonts w:cs="Calibri"/>
          <w:sz w:val="24"/>
          <w:szCs w:val="24"/>
        </w:rPr>
        <w:t xml:space="preserve"> and is split into the following four blocks of funding:</w:t>
      </w:r>
    </w:p>
    <w:p w14:paraId="409C1719" w14:textId="3F2F0082" w:rsidR="00167716" w:rsidRDefault="00167716" w:rsidP="0072196D">
      <w:pPr>
        <w:pStyle w:val="NoSpacing"/>
        <w:rPr>
          <w:rFonts w:cs="Calibri"/>
          <w:sz w:val="24"/>
          <w:szCs w:val="24"/>
        </w:rPr>
      </w:pPr>
    </w:p>
    <w:tbl>
      <w:tblPr>
        <w:tblStyle w:val="TableGrid"/>
        <w:tblW w:w="9776" w:type="dxa"/>
        <w:tblLook w:val="0420" w:firstRow="1" w:lastRow="0" w:firstColumn="0" w:lastColumn="0" w:noHBand="0" w:noVBand="1"/>
        <w:tblDescription w:val="DSG Block and purpose of funding"/>
      </w:tblPr>
      <w:tblGrid>
        <w:gridCol w:w="4094"/>
        <w:gridCol w:w="5682"/>
      </w:tblGrid>
      <w:tr w:rsidR="00167716" w14:paraId="5EA8D31D" w14:textId="77777777" w:rsidTr="00386EF9">
        <w:tc>
          <w:tcPr>
            <w:tcW w:w="4094" w:type="dxa"/>
          </w:tcPr>
          <w:p w14:paraId="42B80BE1" w14:textId="07530032" w:rsidR="00167716" w:rsidRPr="00167716" w:rsidRDefault="00167716" w:rsidP="0072196D">
            <w:pPr>
              <w:pStyle w:val="NoSpacing"/>
              <w:rPr>
                <w:rFonts w:cs="Calibri"/>
                <w:b/>
                <w:bCs/>
                <w:sz w:val="24"/>
                <w:szCs w:val="24"/>
              </w:rPr>
            </w:pPr>
            <w:r w:rsidRPr="00167716">
              <w:rPr>
                <w:rFonts w:cs="Calibri"/>
                <w:b/>
                <w:bCs/>
                <w:sz w:val="24"/>
                <w:szCs w:val="24"/>
              </w:rPr>
              <w:t>DSG Block</w:t>
            </w:r>
          </w:p>
        </w:tc>
        <w:tc>
          <w:tcPr>
            <w:tcW w:w="5682" w:type="dxa"/>
          </w:tcPr>
          <w:p w14:paraId="29ACA0FD" w14:textId="7AB168A4" w:rsidR="00167716" w:rsidRPr="00167716" w:rsidRDefault="00167716" w:rsidP="0072196D">
            <w:pPr>
              <w:pStyle w:val="NoSpacing"/>
              <w:rPr>
                <w:rFonts w:cs="Calibri"/>
                <w:b/>
                <w:bCs/>
                <w:sz w:val="24"/>
                <w:szCs w:val="24"/>
              </w:rPr>
            </w:pPr>
            <w:r w:rsidRPr="00167716">
              <w:rPr>
                <w:rFonts w:cs="Calibri"/>
                <w:b/>
                <w:bCs/>
                <w:sz w:val="24"/>
                <w:szCs w:val="24"/>
              </w:rPr>
              <w:t>Purpose of funding</w:t>
            </w:r>
          </w:p>
        </w:tc>
      </w:tr>
      <w:tr w:rsidR="00167716" w14:paraId="7C7A2155" w14:textId="77777777" w:rsidTr="00386EF9">
        <w:tc>
          <w:tcPr>
            <w:tcW w:w="4094" w:type="dxa"/>
          </w:tcPr>
          <w:p w14:paraId="0DB7EB23" w14:textId="0ABF15AA" w:rsidR="00167716" w:rsidRDefault="00167716" w:rsidP="0072196D">
            <w:pPr>
              <w:pStyle w:val="NoSpacing"/>
              <w:rPr>
                <w:rFonts w:cs="Calibri"/>
                <w:sz w:val="24"/>
                <w:szCs w:val="24"/>
              </w:rPr>
            </w:pPr>
            <w:r>
              <w:rPr>
                <w:rFonts w:cs="Calibri"/>
                <w:sz w:val="24"/>
                <w:szCs w:val="24"/>
              </w:rPr>
              <w:t>Schools Block</w:t>
            </w:r>
          </w:p>
        </w:tc>
        <w:tc>
          <w:tcPr>
            <w:tcW w:w="5682" w:type="dxa"/>
          </w:tcPr>
          <w:p w14:paraId="63C44AE5" w14:textId="45D3D8D0" w:rsidR="00167716" w:rsidRDefault="00167716" w:rsidP="0072196D">
            <w:pPr>
              <w:pStyle w:val="NoSpacing"/>
              <w:rPr>
                <w:rFonts w:cs="Calibri"/>
                <w:sz w:val="24"/>
                <w:szCs w:val="24"/>
              </w:rPr>
            </w:pPr>
            <w:r>
              <w:rPr>
                <w:rFonts w:cs="Calibri"/>
                <w:sz w:val="24"/>
                <w:szCs w:val="24"/>
              </w:rPr>
              <w:t xml:space="preserve">To </w:t>
            </w:r>
            <w:r w:rsidR="00010ECA">
              <w:rPr>
                <w:rFonts w:cs="Calibri"/>
                <w:sz w:val="24"/>
                <w:szCs w:val="24"/>
              </w:rPr>
              <w:t>fund</w:t>
            </w:r>
            <w:r>
              <w:rPr>
                <w:rFonts w:cs="Calibri"/>
                <w:sz w:val="24"/>
                <w:szCs w:val="24"/>
              </w:rPr>
              <w:t xml:space="preserve"> primary and secondary mainstream schools</w:t>
            </w:r>
          </w:p>
        </w:tc>
      </w:tr>
      <w:tr w:rsidR="00167716" w14:paraId="3A2183A7" w14:textId="77777777" w:rsidTr="00386EF9">
        <w:tc>
          <w:tcPr>
            <w:tcW w:w="4094" w:type="dxa"/>
          </w:tcPr>
          <w:p w14:paraId="745DBA87" w14:textId="7FE5BFA1" w:rsidR="00167716" w:rsidRDefault="00167716" w:rsidP="0072196D">
            <w:pPr>
              <w:pStyle w:val="NoSpacing"/>
              <w:rPr>
                <w:rFonts w:cs="Calibri"/>
                <w:sz w:val="24"/>
                <w:szCs w:val="24"/>
              </w:rPr>
            </w:pPr>
            <w:r>
              <w:rPr>
                <w:rFonts w:cs="Calibri"/>
                <w:sz w:val="24"/>
                <w:szCs w:val="24"/>
              </w:rPr>
              <w:t>Central Schools Services Block (CSSB)</w:t>
            </w:r>
          </w:p>
        </w:tc>
        <w:tc>
          <w:tcPr>
            <w:tcW w:w="5682" w:type="dxa"/>
          </w:tcPr>
          <w:p w14:paraId="4AC9C899" w14:textId="0B07FF6E" w:rsidR="00167716" w:rsidRDefault="00167716" w:rsidP="0072196D">
            <w:pPr>
              <w:pStyle w:val="NoSpacing"/>
              <w:rPr>
                <w:rFonts w:cs="Calibri"/>
                <w:sz w:val="24"/>
                <w:szCs w:val="24"/>
              </w:rPr>
            </w:pPr>
            <w:r>
              <w:rPr>
                <w:rFonts w:cs="Calibri"/>
                <w:sz w:val="24"/>
                <w:szCs w:val="24"/>
              </w:rPr>
              <w:t>To fund LA functions supporting schools &amp; education</w:t>
            </w:r>
          </w:p>
        </w:tc>
      </w:tr>
      <w:tr w:rsidR="00167716" w14:paraId="78615F74" w14:textId="77777777" w:rsidTr="00386EF9">
        <w:tc>
          <w:tcPr>
            <w:tcW w:w="4094" w:type="dxa"/>
          </w:tcPr>
          <w:p w14:paraId="32C470FD" w14:textId="034F767E" w:rsidR="00167716" w:rsidRDefault="00167716" w:rsidP="0072196D">
            <w:pPr>
              <w:pStyle w:val="NoSpacing"/>
              <w:rPr>
                <w:rFonts w:cs="Calibri"/>
                <w:sz w:val="24"/>
                <w:szCs w:val="24"/>
              </w:rPr>
            </w:pPr>
            <w:r>
              <w:rPr>
                <w:rFonts w:cs="Calibri"/>
                <w:sz w:val="24"/>
                <w:szCs w:val="24"/>
              </w:rPr>
              <w:t>High Needs Block</w:t>
            </w:r>
          </w:p>
        </w:tc>
        <w:tc>
          <w:tcPr>
            <w:tcW w:w="5682" w:type="dxa"/>
          </w:tcPr>
          <w:p w14:paraId="352F7327" w14:textId="0044C468" w:rsidR="00167716" w:rsidRDefault="00167716" w:rsidP="0072196D">
            <w:pPr>
              <w:pStyle w:val="NoSpacing"/>
              <w:rPr>
                <w:rFonts w:cs="Calibri"/>
                <w:sz w:val="24"/>
                <w:szCs w:val="24"/>
              </w:rPr>
            </w:pPr>
            <w:r>
              <w:rPr>
                <w:rFonts w:cs="Calibri"/>
                <w:sz w:val="24"/>
                <w:szCs w:val="24"/>
              </w:rPr>
              <w:t>To fund special schools and resource bases</w:t>
            </w:r>
          </w:p>
        </w:tc>
      </w:tr>
      <w:tr w:rsidR="00167716" w14:paraId="46A0335E" w14:textId="77777777" w:rsidTr="00386EF9">
        <w:tc>
          <w:tcPr>
            <w:tcW w:w="4094" w:type="dxa"/>
          </w:tcPr>
          <w:p w14:paraId="4A97DF80" w14:textId="32FEB54D" w:rsidR="00167716" w:rsidRDefault="00167716" w:rsidP="0072196D">
            <w:pPr>
              <w:pStyle w:val="NoSpacing"/>
              <w:rPr>
                <w:rFonts w:cs="Calibri"/>
                <w:sz w:val="24"/>
                <w:szCs w:val="24"/>
              </w:rPr>
            </w:pPr>
            <w:r>
              <w:rPr>
                <w:rFonts w:cs="Calibri"/>
                <w:sz w:val="24"/>
                <w:szCs w:val="24"/>
              </w:rPr>
              <w:t>Early Years Block</w:t>
            </w:r>
          </w:p>
        </w:tc>
        <w:tc>
          <w:tcPr>
            <w:tcW w:w="5682" w:type="dxa"/>
          </w:tcPr>
          <w:p w14:paraId="3F65FCCE" w14:textId="0E00F25B" w:rsidR="00167716" w:rsidRDefault="00167716" w:rsidP="0072196D">
            <w:pPr>
              <w:pStyle w:val="NoSpacing"/>
              <w:rPr>
                <w:rFonts w:cs="Calibri"/>
                <w:sz w:val="24"/>
                <w:szCs w:val="24"/>
              </w:rPr>
            </w:pPr>
            <w:r>
              <w:rPr>
                <w:rFonts w:cs="Calibri"/>
                <w:sz w:val="24"/>
                <w:szCs w:val="24"/>
              </w:rPr>
              <w:t xml:space="preserve">To </w:t>
            </w:r>
            <w:r w:rsidR="00010ECA">
              <w:rPr>
                <w:rFonts w:cs="Calibri"/>
                <w:sz w:val="24"/>
                <w:szCs w:val="24"/>
              </w:rPr>
              <w:t>fund</w:t>
            </w:r>
            <w:r>
              <w:rPr>
                <w:rFonts w:cs="Calibri"/>
                <w:sz w:val="24"/>
                <w:szCs w:val="24"/>
              </w:rPr>
              <w:t xml:space="preserve"> nurseries</w:t>
            </w:r>
            <w:r w:rsidR="00010ECA">
              <w:rPr>
                <w:rFonts w:cs="Calibri"/>
                <w:sz w:val="24"/>
                <w:szCs w:val="24"/>
              </w:rPr>
              <w:t xml:space="preserve"> and early years providers</w:t>
            </w:r>
            <w:r>
              <w:rPr>
                <w:rFonts w:cs="Calibri"/>
                <w:sz w:val="24"/>
                <w:szCs w:val="24"/>
              </w:rPr>
              <w:t xml:space="preserve"> </w:t>
            </w:r>
          </w:p>
        </w:tc>
      </w:tr>
    </w:tbl>
    <w:p w14:paraId="093360AF" w14:textId="474F8837" w:rsidR="00167716" w:rsidRDefault="00167716" w:rsidP="0072196D">
      <w:pPr>
        <w:pStyle w:val="NoSpacing"/>
        <w:rPr>
          <w:rFonts w:cs="Calibri"/>
          <w:sz w:val="24"/>
          <w:szCs w:val="24"/>
        </w:rPr>
      </w:pPr>
    </w:p>
    <w:p w14:paraId="7730147D" w14:textId="48DE0810" w:rsidR="00010ECA" w:rsidRDefault="00010ECA" w:rsidP="0072196D">
      <w:pPr>
        <w:pStyle w:val="NoSpacing"/>
        <w:rPr>
          <w:sz w:val="24"/>
          <w:szCs w:val="24"/>
        </w:rPr>
      </w:pPr>
      <w:r w:rsidRPr="00167716">
        <w:rPr>
          <w:sz w:val="24"/>
          <w:szCs w:val="24"/>
        </w:rPr>
        <w:t>The allocation of DSG funding is governed and managed in conjunction with the Schools’ Forum.</w:t>
      </w:r>
      <w:r>
        <w:rPr>
          <w:sz w:val="24"/>
          <w:szCs w:val="24"/>
        </w:rPr>
        <w:t xml:space="preserve">  </w:t>
      </w:r>
    </w:p>
    <w:p w14:paraId="08E83C7C" w14:textId="50651F63" w:rsidR="007C541F" w:rsidRDefault="007C541F" w:rsidP="0072196D">
      <w:pPr>
        <w:pStyle w:val="NoSpacing"/>
        <w:rPr>
          <w:sz w:val="24"/>
          <w:szCs w:val="24"/>
        </w:rPr>
      </w:pPr>
    </w:p>
    <w:p w14:paraId="5271F799" w14:textId="0221CF4F" w:rsidR="00213821" w:rsidRDefault="00213821">
      <w:pPr>
        <w:spacing w:after="0" w:line="240" w:lineRule="auto"/>
        <w:rPr>
          <w:b/>
          <w:bCs/>
          <w:sz w:val="24"/>
          <w:szCs w:val="24"/>
        </w:rPr>
      </w:pPr>
      <w:r>
        <w:rPr>
          <w:b/>
          <w:bCs/>
          <w:sz w:val="24"/>
          <w:szCs w:val="24"/>
        </w:rPr>
        <w:br w:type="page"/>
      </w:r>
    </w:p>
    <w:p w14:paraId="0C31EC44" w14:textId="1842DCC3" w:rsidR="00010ECA" w:rsidRDefault="00223D15" w:rsidP="0072196D">
      <w:pPr>
        <w:pStyle w:val="NoSpacing"/>
        <w:rPr>
          <w:rFonts w:cs="Calibri"/>
          <w:sz w:val="24"/>
          <w:szCs w:val="24"/>
        </w:rPr>
      </w:pPr>
      <w:r w:rsidRPr="00223D15">
        <w:rPr>
          <w:rFonts w:cs="Calibri"/>
          <w:b/>
          <w:bCs/>
          <w:sz w:val="24"/>
          <w:szCs w:val="24"/>
        </w:rPr>
        <w:lastRenderedPageBreak/>
        <w:t xml:space="preserve">DSG </w:t>
      </w:r>
      <w:r>
        <w:rPr>
          <w:rFonts w:cs="Calibri"/>
          <w:b/>
          <w:bCs/>
          <w:sz w:val="24"/>
          <w:szCs w:val="24"/>
        </w:rPr>
        <w:t xml:space="preserve">Balances </w:t>
      </w:r>
      <w:r w:rsidRPr="00223D15">
        <w:rPr>
          <w:rFonts w:cs="Calibri"/>
          <w:b/>
          <w:bCs/>
          <w:sz w:val="24"/>
          <w:szCs w:val="24"/>
        </w:rPr>
        <w:t xml:space="preserve">Carried Forward </w:t>
      </w:r>
      <w:r>
        <w:rPr>
          <w:rFonts w:cs="Calibri"/>
          <w:b/>
          <w:bCs/>
          <w:sz w:val="24"/>
          <w:szCs w:val="24"/>
        </w:rPr>
        <w:t xml:space="preserve">as per the </w:t>
      </w:r>
      <w:r w:rsidRPr="00223D15">
        <w:rPr>
          <w:rFonts w:cs="Calibri"/>
          <w:b/>
          <w:bCs/>
          <w:sz w:val="24"/>
          <w:szCs w:val="24"/>
        </w:rPr>
        <w:t>2021/</w:t>
      </w:r>
      <w:r w:rsidR="003E3220">
        <w:rPr>
          <w:rFonts w:cs="Calibri"/>
          <w:b/>
          <w:bCs/>
          <w:sz w:val="24"/>
          <w:szCs w:val="24"/>
        </w:rPr>
        <w:t>20</w:t>
      </w:r>
      <w:r w:rsidRPr="00223D15">
        <w:rPr>
          <w:rFonts w:cs="Calibri"/>
          <w:b/>
          <w:bCs/>
          <w:sz w:val="24"/>
          <w:szCs w:val="24"/>
        </w:rPr>
        <w:t>22 Statement of Accounts</w:t>
      </w:r>
    </w:p>
    <w:p w14:paraId="01945D5E" w14:textId="31C8C9D9" w:rsidR="00010ECA" w:rsidRDefault="00010ECA" w:rsidP="0072196D">
      <w:pPr>
        <w:pStyle w:val="NoSpacing"/>
        <w:rPr>
          <w:rFonts w:cs="Calibri"/>
          <w:sz w:val="24"/>
          <w:szCs w:val="24"/>
        </w:rPr>
      </w:pPr>
    </w:p>
    <w:p w14:paraId="314E601E" w14:textId="351E7A2E" w:rsidR="00223D15" w:rsidRDefault="00223D15" w:rsidP="0072196D">
      <w:pPr>
        <w:pStyle w:val="NoSpacing"/>
        <w:rPr>
          <w:rFonts w:cs="Calibri"/>
          <w:sz w:val="24"/>
          <w:szCs w:val="24"/>
        </w:rPr>
      </w:pPr>
      <w:r>
        <w:rPr>
          <w:rFonts w:cs="Calibri"/>
          <w:sz w:val="24"/>
          <w:szCs w:val="24"/>
        </w:rPr>
        <w:t>The DSG balances carried forward as per the 2021/</w:t>
      </w:r>
      <w:r w:rsidR="003E3220">
        <w:rPr>
          <w:rFonts w:cs="Calibri"/>
          <w:sz w:val="24"/>
          <w:szCs w:val="24"/>
        </w:rPr>
        <w:t>20</w:t>
      </w:r>
      <w:r>
        <w:rPr>
          <w:rFonts w:cs="Calibri"/>
          <w:sz w:val="24"/>
          <w:szCs w:val="24"/>
        </w:rPr>
        <w:t xml:space="preserve">22 statement of Accounts </w:t>
      </w:r>
      <w:r w:rsidR="00213821">
        <w:rPr>
          <w:rFonts w:cs="Calibri"/>
          <w:sz w:val="24"/>
          <w:szCs w:val="24"/>
        </w:rPr>
        <w:t>a</w:t>
      </w:r>
      <w:r>
        <w:rPr>
          <w:rFonts w:cs="Calibri"/>
          <w:sz w:val="24"/>
          <w:szCs w:val="24"/>
        </w:rPr>
        <w:t>re shown in the table below:</w:t>
      </w:r>
    </w:p>
    <w:p w14:paraId="2C58D8DE" w14:textId="406402B4" w:rsidR="00223D15" w:rsidRDefault="00223D15" w:rsidP="0072196D">
      <w:pPr>
        <w:pStyle w:val="NoSpacing"/>
        <w:rPr>
          <w:rFonts w:cs="Calibri"/>
          <w:sz w:val="24"/>
          <w:szCs w:val="24"/>
        </w:rPr>
      </w:pPr>
    </w:p>
    <w:tbl>
      <w:tblPr>
        <w:tblStyle w:val="TableGrid"/>
        <w:tblW w:w="8642" w:type="dxa"/>
        <w:tblLook w:val="0420" w:firstRow="1" w:lastRow="0" w:firstColumn="0" w:lastColumn="0" w:noHBand="0" w:noVBand="1"/>
        <w:tblDescription w:val="DSG Block surplus/Deficit"/>
      </w:tblPr>
      <w:tblGrid>
        <w:gridCol w:w="6232"/>
        <w:gridCol w:w="2410"/>
      </w:tblGrid>
      <w:tr w:rsidR="00223D15" w14:paraId="61C89597" w14:textId="77777777" w:rsidTr="00386EF9">
        <w:tc>
          <w:tcPr>
            <w:tcW w:w="6232" w:type="dxa"/>
            <w:shd w:val="clear" w:color="auto" w:fill="BFBFBF" w:themeFill="background1" w:themeFillShade="BF"/>
          </w:tcPr>
          <w:p w14:paraId="40E6B6C7" w14:textId="63D642BC" w:rsidR="00223D15" w:rsidRPr="00223D15" w:rsidRDefault="00223D15" w:rsidP="0072196D">
            <w:pPr>
              <w:pStyle w:val="NoSpacing"/>
              <w:rPr>
                <w:rFonts w:cs="Calibri"/>
                <w:b/>
                <w:bCs/>
                <w:sz w:val="24"/>
                <w:szCs w:val="24"/>
              </w:rPr>
            </w:pPr>
            <w:r w:rsidRPr="00223D15">
              <w:rPr>
                <w:rFonts w:cs="Calibri"/>
                <w:b/>
                <w:bCs/>
                <w:sz w:val="24"/>
                <w:szCs w:val="24"/>
              </w:rPr>
              <w:t>DSG Block</w:t>
            </w:r>
          </w:p>
        </w:tc>
        <w:tc>
          <w:tcPr>
            <w:tcW w:w="2410" w:type="dxa"/>
            <w:shd w:val="clear" w:color="auto" w:fill="BFBFBF" w:themeFill="background1" w:themeFillShade="BF"/>
          </w:tcPr>
          <w:p w14:paraId="6DFEC496" w14:textId="28CFC55F" w:rsidR="00223D15" w:rsidRPr="00223D15" w:rsidRDefault="00223D15" w:rsidP="00223D15">
            <w:pPr>
              <w:pStyle w:val="NoSpacing"/>
              <w:jc w:val="right"/>
              <w:rPr>
                <w:rFonts w:cs="Calibri"/>
                <w:b/>
                <w:bCs/>
                <w:sz w:val="24"/>
                <w:szCs w:val="24"/>
              </w:rPr>
            </w:pPr>
            <w:r w:rsidRPr="00223D15">
              <w:rPr>
                <w:rFonts w:cs="Calibri"/>
                <w:b/>
                <w:bCs/>
                <w:color w:val="FF0000"/>
                <w:sz w:val="24"/>
                <w:szCs w:val="24"/>
              </w:rPr>
              <w:t>(Surplus)</w:t>
            </w:r>
            <w:r w:rsidRPr="00223D15">
              <w:rPr>
                <w:rFonts w:cs="Calibri"/>
                <w:b/>
                <w:bCs/>
                <w:sz w:val="24"/>
                <w:szCs w:val="24"/>
              </w:rPr>
              <w:t xml:space="preserve"> / Deficit</w:t>
            </w:r>
            <w:r>
              <w:rPr>
                <w:rFonts w:cs="Calibri"/>
                <w:b/>
                <w:bCs/>
                <w:sz w:val="24"/>
                <w:szCs w:val="24"/>
              </w:rPr>
              <w:t xml:space="preserve"> (£)</w:t>
            </w:r>
          </w:p>
        </w:tc>
      </w:tr>
      <w:tr w:rsidR="00223D15" w14:paraId="0B6CC127" w14:textId="77777777" w:rsidTr="00386EF9">
        <w:tc>
          <w:tcPr>
            <w:tcW w:w="6232" w:type="dxa"/>
          </w:tcPr>
          <w:p w14:paraId="671FBFA8" w14:textId="133AF4CD" w:rsidR="00223D15" w:rsidRDefault="00223D15" w:rsidP="0072196D">
            <w:pPr>
              <w:pStyle w:val="NoSpacing"/>
              <w:rPr>
                <w:rFonts w:cs="Calibri"/>
                <w:sz w:val="24"/>
                <w:szCs w:val="24"/>
              </w:rPr>
            </w:pPr>
            <w:r>
              <w:rPr>
                <w:rFonts w:cs="Calibri"/>
                <w:sz w:val="24"/>
                <w:szCs w:val="24"/>
              </w:rPr>
              <w:t>Schools Block</w:t>
            </w:r>
          </w:p>
        </w:tc>
        <w:tc>
          <w:tcPr>
            <w:tcW w:w="2410" w:type="dxa"/>
          </w:tcPr>
          <w:p w14:paraId="48088F42" w14:textId="5B660088" w:rsidR="00223D15" w:rsidRPr="00223D15" w:rsidRDefault="00223D15" w:rsidP="00223D15">
            <w:pPr>
              <w:pStyle w:val="NoSpacing"/>
              <w:jc w:val="right"/>
              <w:rPr>
                <w:rFonts w:cs="Calibri"/>
                <w:color w:val="FF0000"/>
                <w:sz w:val="24"/>
                <w:szCs w:val="24"/>
              </w:rPr>
            </w:pPr>
            <w:r w:rsidRPr="00223D15">
              <w:rPr>
                <w:rFonts w:cs="Calibri"/>
                <w:color w:val="FF0000"/>
                <w:sz w:val="24"/>
                <w:szCs w:val="24"/>
              </w:rPr>
              <w:t>(9,152,955)</w:t>
            </w:r>
          </w:p>
        </w:tc>
      </w:tr>
      <w:tr w:rsidR="00223D15" w14:paraId="50AF43E2" w14:textId="77777777" w:rsidTr="00386EF9">
        <w:tc>
          <w:tcPr>
            <w:tcW w:w="6232" w:type="dxa"/>
          </w:tcPr>
          <w:p w14:paraId="663AB767" w14:textId="06FBC9C9" w:rsidR="00223D15" w:rsidRDefault="00223D15" w:rsidP="0072196D">
            <w:pPr>
              <w:pStyle w:val="NoSpacing"/>
              <w:rPr>
                <w:rFonts w:cs="Calibri"/>
                <w:sz w:val="24"/>
                <w:szCs w:val="24"/>
              </w:rPr>
            </w:pPr>
            <w:r>
              <w:rPr>
                <w:rFonts w:cs="Calibri"/>
                <w:sz w:val="24"/>
                <w:szCs w:val="24"/>
              </w:rPr>
              <w:t>Central Schools Services Block</w:t>
            </w:r>
            <w:r w:rsidR="00683B85">
              <w:rPr>
                <w:rFonts w:cs="Calibri"/>
                <w:sz w:val="24"/>
                <w:szCs w:val="24"/>
              </w:rPr>
              <w:t xml:space="preserve"> (CSSB)</w:t>
            </w:r>
          </w:p>
        </w:tc>
        <w:tc>
          <w:tcPr>
            <w:tcW w:w="2410" w:type="dxa"/>
          </w:tcPr>
          <w:p w14:paraId="759ADA22" w14:textId="732F4715" w:rsidR="00223D15" w:rsidRPr="00223D15" w:rsidRDefault="00223D15" w:rsidP="00223D15">
            <w:pPr>
              <w:pStyle w:val="NoSpacing"/>
              <w:jc w:val="right"/>
              <w:rPr>
                <w:rFonts w:cs="Calibri"/>
                <w:color w:val="FF0000"/>
                <w:sz w:val="24"/>
                <w:szCs w:val="24"/>
              </w:rPr>
            </w:pPr>
            <w:r w:rsidRPr="00223D15">
              <w:rPr>
                <w:rFonts w:cs="Calibri"/>
                <w:color w:val="FF0000"/>
                <w:sz w:val="24"/>
                <w:szCs w:val="24"/>
              </w:rPr>
              <w:t>(1,714,199)</w:t>
            </w:r>
          </w:p>
        </w:tc>
      </w:tr>
      <w:tr w:rsidR="00223D15" w14:paraId="2DE79243" w14:textId="77777777" w:rsidTr="00386EF9">
        <w:tc>
          <w:tcPr>
            <w:tcW w:w="6232" w:type="dxa"/>
          </w:tcPr>
          <w:p w14:paraId="6ECC26EA" w14:textId="4C591627" w:rsidR="00223D15" w:rsidRDefault="00223D15" w:rsidP="0072196D">
            <w:pPr>
              <w:pStyle w:val="NoSpacing"/>
              <w:rPr>
                <w:rFonts w:cs="Calibri"/>
                <w:sz w:val="24"/>
                <w:szCs w:val="24"/>
              </w:rPr>
            </w:pPr>
            <w:r>
              <w:rPr>
                <w:rFonts w:cs="Calibri"/>
                <w:sz w:val="24"/>
                <w:szCs w:val="24"/>
              </w:rPr>
              <w:t>Early Years Block</w:t>
            </w:r>
          </w:p>
        </w:tc>
        <w:tc>
          <w:tcPr>
            <w:tcW w:w="2410" w:type="dxa"/>
          </w:tcPr>
          <w:p w14:paraId="28FDDBD7" w14:textId="77C6DD1F" w:rsidR="00223D15" w:rsidRPr="00223D15" w:rsidRDefault="00223D15" w:rsidP="00223D15">
            <w:pPr>
              <w:pStyle w:val="NoSpacing"/>
              <w:jc w:val="right"/>
              <w:rPr>
                <w:rFonts w:cs="Calibri"/>
                <w:color w:val="FF0000"/>
                <w:sz w:val="24"/>
                <w:szCs w:val="24"/>
              </w:rPr>
            </w:pPr>
            <w:r w:rsidRPr="00223D15">
              <w:rPr>
                <w:rFonts w:cs="Calibri"/>
                <w:color w:val="FF0000"/>
                <w:sz w:val="24"/>
                <w:szCs w:val="24"/>
              </w:rPr>
              <w:t>(2,430,484)</w:t>
            </w:r>
          </w:p>
        </w:tc>
      </w:tr>
      <w:tr w:rsidR="003C26EE" w14:paraId="5E322606" w14:textId="77777777" w:rsidTr="00386EF9">
        <w:tc>
          <w:tcPr>
            <w:tcW w:w="6232" w:type="dxa"/>
          </w:tcPr>
          <w:p w14:paraId="6C728252" w14:textId="64B9264D" w:rsidR="003C26EE" w:rsidRDefault="003C26EE" w:rsidP="0072196D">
            <w:pPr>
              <w:pStyle w:val="NoSpacing"/>
              <w:rPr>
                <w:rFonts w:cs="Calibri"/>
                <w:sz w:val="24"/>
                <w:szCs w:val="24"/>
              </w:rPr>
            </w:pPr>
            <w:r>
              <w:rPr>
                <w:rFonts w:cs="Calibri"/>
                <w:sz w:val="24"/>
                <w:szCs w:val="24"/>
              </w:rPr>
              <w:t xml:space="preserve">High Needs Block </w:t>
            </w:r>
          </w:p>
        </w:tc>
        <w:tc>
          <w:tcPr>
            <w:tcW w:w="2410" w:type="dxa"/>
          </w:tcPr>
          <w:p w14:paraId="7FFE69EA" w14:textId="038AE1A2" w:rsidR="003C26EE" w:rsidRDefault="003E3220" w:rsidP="00223D15">
            <w:pPr>
              <w:pStyle w:val="NoSpacing"/>
              <w:jc w:val="right"/>
              <w:rPr>
                <w:rFonts w:cs="Calibri"/>
                <w:sz w:val="24"/>
                <w:szCs w:val="24"/>
              </w:rPr>
            </w:pPr>
            <w:r>
              <w:rPr>
                <w:rFonts w:cs="Calibri"/>
                <w:sz w:val="24"/>
                <w:szCs w:val="24"/>
              </w:rPr>
              <w:t>247,128</w:t>
            </w:r>
          </w:p>
        </w:tc>
      </w:tr>
      <w:tr w:rsidR="00213821" w14:paraId="1E57A497" w14:textId="77777777" w:rsidTr="00386EF9">
        <w:tc>
          <w:tcPr>
            <w:tcW w:w="6232" w:type="dxa"/>
            <w:shd w:val="clear" w:color="auto" w:fill="BFBFBF" w:themeFill="background1" w:themeFillShade="BF"/>
          </w:tcPr>
          <w:p w14:paraId="2BA18A24" w14:textId="23213416" w:rsidR="00213821" w:rsidRPr="00213821" w:rsidRDefault="00213821" w:rsidP="0072196D">
            <w:pPr>
              <w:pStyle w:val="NoSpacing"/>
              <w:rPr>
                <w:rFonts w:cs="Calibri"/>
                <w:b/>
                <w:bCs/>
                <w:sz w:val="24"/>
                <w:szCs w:val="24"/>
              </w:rPr>
            </w:pPr>
            <w:r w:rsidRPr="00213821">
              <w:rPr>
                <w:rFonts w:cs="Calibri"/>
                <w:b/>
                <w:bCs/>
                <w:sz w:val="24"/>
                <w:szCs w:val="24"/>
              </w:rPr>
              <w:t>Total DSG Carry Forward Balance 2021/</w:t>
            </w:r>
            <w:r w:rsidR="003E3220">
              <w:rPr>
                <w:rFonts w:cs="Calibri"/>
                <w:b/>
                <w:bCs/>
                <w:sz w:val="24"/>
                <w:szCs w:val="24"/>
              </w:rPr>
              <w:t>20</w:t>
            </w:r>
            <w:r w:rsidRPr="00213821">
              <w:rPr>
                <w:rFonts w:cs="Calibri"/>
                <w:b/>
                <w:bCs/>
                <w:sz w:val="24"/>
                <w:szCs w:val="24"/>
              </w:rPr>
              <w:t>22</w:t>
            </w:r>
          </w:p>
        </w:tc>
        <w:tc>
          <w:tcPr>
            <w:tcW w:w="2410" w:type="dxa"/>
            <w:shd w:val="clear" w:color="auto" w:fill="BFBFBF" w:themeFill="background1" w:themeFillShade="BF"/>
          </w:tcPr>
          <w:p w14:paraId="6F3D50F4" w14:textId="73625BD6" w:rsidR="00213821" w:rsidRPr="00213821" w:rsidRDefault="00213821" w:rsidP="00223D15">
            <w:pPr>
              <w:pStyle w:val="NoSpacing"/>
              <w:jc w:val="right"/>
              <w:rPr>
                <w:rFonts w:cs="Calibri"/>
                <w:b/>
                <w:bCs/>
                <w:sz w:val="24"/>
                <w:szCs w:val="24"/>
              </w:rPr>
            </w:pPr>
            <w:r w:rsidRPr="00213821">
              <w:rPr>
                <w:rFonts w:cs="Calibri"/>
                <w:b/>
                <w:bCs/>
                <w:color w:val="FF0000"/>
                <w:sz w:val="24"/>
                <w:szCs w:val="24"/>
              </w:rPr>
              <w:t>(13,050,510)</w:t>
            </w:r>
          </w:p>
        </w:tc>
      </w:tr>
    </w:tbl>
    <w:p w14:paraId="57C87C85" w14:textId="77777777" w:rsidR="00223D15" w:rsidRDefault="00223D15" w:rsidP="0072196D">
      <w:pPr>
        <w:pStyle w:val="NoSpacing"/>
        <w:rPr>
          <w:rFonts w:cs="Calibri"/>
          <w:sz w:val="24"/>
          <w:szCs w:val="24"/>
        </w:rPr>
      </w:pPr>
    </w:p>
    <w:p w14:paraId="3728F9BF" w14:textId="145DA4AB" w:rsidR="00223D15" w:rsidRDefault="00D27FCB" w:rsidP="0072196D">
      <w:pPr>
        <w:pStyle w:val="NoSpacing"/>
        <w:rPr>
          <w:rFonts w:cs="Calibri"/>
          <w:sz w:val="24"/>
          <w:szCs w:val="24"/>
        </w:rPr>
      </w:pPr>
      <w:r>
        <w:rPr>
          <w:rFonts w:cs="Calibri"/>
          <w:sz w:val="24"/>
          <w:szCs w:val="24"/>
        </w:rPr>
        <w:t xml:space="preserve">The </w:t>
      </w:r>
      <w:r w:rsidR="00683B85">
        <w:rPr>
          <w:rFonts w:cs="Calibri"/>
          <w:sz w:val="24"/>
          <w:szCs w:val="24"/>
        </w:rPr>
        <w:t>Schools Block, CSSB and the Early Years Block DSG are</w:t>
      </w:r>
      <w:r>
        <w:rPr>
          <w:rFonts w:cs="Calibri"/>
          <w:sz w:val="24"/>
          <w:szCs w:val="24"/>
        </w:rPr>
        <w:t xml:space="preserve"> currently projected to spend to budget in 2022/</w:t>
      </w:r>
      <w:r w:rsidR="003E3220">
        <w:rPr>
          <w:rFonts w:cs="Calibri"/>
          <w:sz w:val="24"/>
          <w:szCs w:val="24"/>
        </w:rPr>
        <w:t>20</w:t>
      </w:r>
      <w:r>
        <w:rPr>
          <w:rFonts w:cs="Calibri"/>
          <w:sz w:val="24"/>
          <w:szCs w:val="24"/>
        </w:rPr>
        <w:t>23</w:t>
      </w:r>
      <w:r w:rsidR="003C26EE">
        <w:rPr>
          <w:rFonts w:cs="Calibri"/>
          <w:sz w:val="24"/>
          <w:szCs w:val="24"/>
        </w:rPr>
        <w:t xml:space="preserve">, with the High Needs Block and Early Years Block yet to be determined. </w:t>
      </w:r>
    </w:p>
    <w:p w14:paraId="2C88E70A" w14:textId="693A94AF" w:rsidR="00D27FCB" w:rsidRDefault="00D27FCB" w:rsidP="0072196D">
      <w:pPr>
        <w:pStyle w:val="NoSpacing"/>
        <w:rPr>
          <w:rFonts w:cs="Calibri"/>
          <w:sz w:val="24"/>
          <w:szCs w:val="24"/>
        </w:rPr>
      </w:pPr>
    </w:p>
    <w:p w14:paraId="0766F59D" w14:textId="77777777" w:rsidR="00D27FCB" w:rsidRDefault="00D27FCB" w:rsidP="0072196D">
      <w:pPr>
        <w:pStyle w:val="NoSpacing"/>
        <w:rPr>
          <w:rFonts w:cs="Calibri"/>
          <w:sz w:val="24"/>
          <w:szCs w:val="24"/>
        </w:rPr>
      </w:pPr>
    </w:p>
    <w:p w14:paraId="5F67D30E" w14:textId="4F939080" w:rsidR="00167716" w:rsidRPr="00167716" w:rsidRDefault="00167716" w:rsidP="0072196D">
      <w:pPr>
        <w:pStyle w:val="NoSpacing"/>
        <w:rPr>
          <w:rFonts w:cs="Calibri"/>
          <w:b/>
          <w:bCs/>
          <w:sz w:val="24"/>
          <w:szCs w:val="24"/>
        </w:rPr>
      </w:pPr>
      <w:r w:rsidRPr="00167716">
        <w:rPr>
          <w:rFonts w:cs="Calibri"/>
          <w:b/>
          <w:bCs/>
          <w:sz w:val="24"/>
          <w:szCs w:val="24"/>
        </w:rPr>
        <w:t>Dedicated Schools Grant Allocation 2023/</w:t>
      </w:r>
      <w:r w:rsidR="003E3220">
        <w:rPr>
          <w:rFonts w:cs="Calibri"/>
          <w:b/>
          <w:bCs/>
          <w:sz w:val="24"/>
          <w:szCs w:val="24"/>
        </w:rPr>
        <w:t>20</w:t>
      </w:r>
      <w:r w:rsidRPr="00167716">
        <w:rPr>
          <w:rFonts w:cs="Calibri"/>
          <w:b/>
          <w:bCs/>
          <w:sz w:val="24"/>
          <w:szCs w:val="24"/>
        </w:rPr>
        <w:t>24</w:t>
      </w:r>
    </w:p>
    <w:p w14:paraId="0D942EE9" w14:textId="025195E0" w:rsidR="007614A4" w:rsidRDefault="007614A4" w:rsidP="00167716">
      <w:pPr>
        <w:pStyle w:val="NoSpacing"/>
      </w:pPr>
    </w:p>
    <w:p w14:paraId="7565694C" w14:textId="69184E67" w:rsidR="00010ECA" w:rsidRDefault="00167716" w:rsidP="00167716">
      <w:pPr>
        <w:pStyle w:val="NoSpacing"/>
        <w:rPr>
          <w:sz w:val="24"/>
          <w:szCs w:val="24"/>
        </w:rPr>
      </w:pPr>
      <w:r w:rsidRPr="00167716">
        <w:rPr>
          <w:sz w:val="24"/>
          <w:szCs w:val="24"/>
        </w:rPr>
        <w:t xml:space="preserve">The </w:t>
      </w:r>
      <w:r w:rsidR="00D27FCB">
        <w:rPr>
          <w:sz w:val="24"/>
          <w:szCs w:val="24"/>
        </w:rPr>
        <w:t>Council’s DSG allocation</w:t>
      </w:r>
      <w:r w:rsidRPr="00167716">
        <w:rPr>
          <w:sz w:val="24"/>
          <w:szCs w:val="24"/>
        </w:rPr>
        <w:t xml:space="preserve"> announced by DfE 16 December 2022, is set at £1,457.6m for 2023/</w:t>
      </w:r>
      <w:r w:rsidR="003E3220">
        <w:rPr>
          <w:sz w:val="24"/>
          <w:szCs w:val="24"/>
        </w:rPr>
        <w:t>20</w:t>
      </w:r>
      <w:r w:rsidRPr="00167716">
        <w:rPr>
          <w:sz w:val="24"/>
          <w:szCs w:val="24"/>
        </w:rPr>
        <w:t>24</w:t>
      </w:r>
      <w:r w:rsidR="00D27FCB">
        <w:rPr>
          <w:sz w:val="24"/>
          <w:szCs w:val="24"/>
        </w:rPr>
        <w:t>, which is broken down as follows:</w:t>
      </w:r>
    </w:p>
    <w:p w14:paraId="746A46BF" w14:textId="2C290A85" w:rsidR="00D27FCB" w:rsidRDefault="00D27FCB" w:rsidP="00167716">
      <w:pPr>
        <w:pStyle w:val="NoSpacing"/>
        <w:rPr>
          <w:sz w:val="24"/>
          <w:szCs w:val="24"/>
        </w:rPr>
      </w:pPr>
    </w:p>
    <w:tbl>
      <w:tblPr>
        <w:tblStyle w:val="TableGrid"/>
        <w:tblW w:w="8642" w:type="dxa"/>
        <w:tblLook w:val="0420" w:firstRow="1" w:lastRow="0" w:firstColumn="0" w:lastColumn="0" w:noHBand="0" w:noVBand="1"/>
        <w:tblDescription w:val="DSG Block 23/24 Allocation"/>
      </w:tblPr>
      <w:tblGrid>
        <w:gridCol w:w="6232"/>
        <w:gridCol w:w="2410"/>
      </w:tblGrid>
      <w:tr w:rsidR="00D27FCB" w14:paraId="2DCEF2BB" w14:textId="77777777" w:rsidTr="00836ED0">
        <w:tc>
          <w:tcPr>
            <w:tcW w:w="6232" w:type="dxa"/>
            <w:shd w:val="clear" w:color="auto" w:fill="BFBFBF" w:themeFill="background1" w:themeFillShade="BF"/>
          </w:tcPr>
          <w:p w14:paraId="3CB73205" w14:textId="77777777" w:rsidR="00D27FCB" w:rsidRPr="00223D15" w:rsidRDefault="00D27FCB" w:rsidP="00906D45">
            <w:pPr>
              <w:pStyle w:val="NoSpacing"/>
              <w:rPr>
                <w:rFonts w:cs="Calibri"/>
                <w:b/>
                <w:bCs/>
                <w:sz w:val="24"/>
                <w:szCs w:val="24"/>
              </w:rPr>
            </w:pPr>
            <w:r w:rsidRPr="00223D15">
              <w:rPr>
                <w:rFonts w:cs="Calibri"/>
                <w:b/>
                <w:bCs/>
                <w:sz w:val="24"/>
                <w:szCs w:val="24"/>
              </w:rPr>
              <w:t>DSG Block</w:t>
            </w:r>
          </w:p>
        </w:tc>
        <w:tc>
          <w:tcPr>
            <w:tcW w:w="2410" w:type="dxa"/>
            <w:shd w:val="clear" w:color="auto" w:fill="BFBFBF" w:themeFill="background1" w:themeFillShade="BF"/>
          </w:tcPr>
          <w:p w14:paraId="5B06C561" w14:textId="6EEB637E" w:rsidR="00D27FCB" w:rsidRPr="00223D15" w:rsidRDefault="00D27FCB" w:rsidP="00D27FCB">
            <w:pPr>
              <w:pStyle w:val="NoSpacing"/>
              <w:jc w:val="center"/>
              <w:rPr>
                <w:rFonts w:cs="Calibri"/>
                <w:b/>
                <w:bCs/>
                <w:sz w:val="24"/>
                <w:szCs w:val="24"/>
              </w:rPr>
            </w:pPr>
            <w:r>
              <w:rPr>
                <w:rFonts w:cs="Calibri"/>
                <w:b/>
                <w:bCs/>
                <w:sz w:val="24"/>
                <w:szCs w:val="24"/>
              </w:rPr>
              <w:t>2023/</w:t>
            </w:r>
            <w:r w:rsidR="003E3220">
              <w:rPr>
                <w:rFonts w:cs="Calibri"/>
                <w:b/>
                <w:bCs/>
                <w:sz w:val="24"/>
                <w:szCs w:val="24"/>
              </w:rPr>
              <w:t>20</w:t>
            </w:r>
            <w:r>
              <w:rPr>
                <w:rFonts w:cs="Calibri"/>
                <w:b/>
                <w:bCs/>
                <w:sz w:val="24"/>
                <w:szCs w:val="24"/>
              </w:rPr>
              <w:t>24 Allocation including Academies Recoupment</w:t>
            </w:r>
          </w:p>
        </w:tc>
      </w:tr>
      <w:tr w:rsidR="00D27FCB" w14:paraId="4B05FC6A" w14:textId="77777777" w:rsidTr="00836ED0">
        <w:tc>
          <w:tcPr>
            <w:tcW w:w="6232" w:type="dxa"/>
          </w:tcPr>
          <w:p w14:paraId="7742B743" w14:textId="77777777" w:rsidR="00D27FCB" w:rsidRDefault="00D27FCB" w:rsidP="00906D45">
            <w:pPr>
              <w:pStyle w:val="NoSpacing"/>
              <w:rPr>
                <w:rFonts w:cs="Calibri"/>
                <w:sz w:val="24"/>
                <w:szCs w:val="24"/>
              </w:rPr>
            </w:pPr>
            <w:r>
              <w:rPr>
                <w:rFonts w:cs="Calibri"/>
                <w:sz w:val="24"/>
                <w:szCs w:val="24"/>
              </w:rPr>
              <w:t>Schools Block</w:t>
            </w:r>
          </w:p>
        </w:tc>
        <w:tc>
          <w:tcPr>
            <w:tcW w:w="2410" w:type="dxa"/>
          </w:tcPr>
          <w:p w14:paraId="557D828B" w14:textId="1A1286BD" w:rsidR="00D27FCB" w:rsidRPr="00D27FCB" w:rsidRDefault="00D27FCB" w:rsidP="00906D45">
            <w:pPr>
              <w:pStyle w:val="NoSpacing"/>
              <w:jc w:val="right"/>
              <w:rPr>
                <w:rFonts w:cs="Calibri"/>
                <w:sz w:val="24"/>
                <w:szCs w:val="24"/>
              </w:rPr>
            </w:pPr>
            <w:r w:rsidRPr="00D27FCB">
              <w:rPr>
                <w:rFonts w:cs="Calibri"/>
                <w:sz w:val="24"/>
                <w:szCs w:val="24"/>
              </w:rPr>
              <w:t>1,085,994,147</w:t>
            </w:r>
          </w:p>
        </w:tc>
      </w:tr>
      <w:tr w:rsidR="00D27FCB" w14:paraId="6593EB9F" w14:textId="77777777" w:rsidTr="00836ED0">
        <w:tc>
          <w:tcPr>
            <w:tcW w:w="6232" w:type="dxa"/>
          </w:tcPr>
          <w:p w14:paraId="3FB15A41" w14:textId="77777777" w:rsidR="00D27FCB" w:rsidRDefault="00D27FCB" w:rsidP="00906D45">
            <w:pPr>
              <w:pStyle w:val="NoSpacing"/>
              <w:rPr>
                <w:rFonts w:cs="Calibri"/>
                <w:sz w:val="24"/>
                <w:szCs w:val="24"/>
              </w:rPr>
            </w:pPr>
            <w:r>
              <w:rPr>
                <w:rFonts w:cs="Calibri"/>
                <w:sz w:val="24"/>
                <w:szCs w:val="24"/>
              </w:rPr>
              <w:t>Central Schools Services Block</w:t>
            </w:r>
          </w:p>
        </w:tc>
        <w:tc>
          <w:tcPr>
            <w:tcW w:w="2410" w:type="dxa"/>
          </w:tcPr>
          <w:p w14:paraId="11E05119" w14:textId="187C2458" w:rsidR="00D27FCB" w:rsidRPr="00D27FCB" w:rsidRDefault="00D27FCB" w:rsidP="00906D45">
            <w:pPr>
              <w:pStyle w:val="NoSpacing"/>
              <w:jc w:val="right"/>
              <w:rPr>
                <w:rFonts w:cs="Calibri"/>
                <w:sz w:val="24"/>
                <w:szCs w:val="24"/>
              </w:rPr>
            </w:pPr>
            <w:r w:rsidRPr="00D27FCB">
              <w:rPr>
                <w:rFonts w:cs="Calibri"/>
                <w:sz w:val="24"/>
                <w:szCs w:val="24"/>
              </w:rPr>
              <w:t>8,245,347</w:t>
            </w:r>
          </w:p>
        </w:tc>
      </w:tr>
      <w:tr w:rsidR="00D27FCB" w14:paraId="6293C230" w14:textId="77777777" w:rsidTr="00836ED0">
        <w:tc>
          <w:tcPr>
            <w:tcW w:w="6232" w:type="dxa"/>
          </w:tcPr>
          <w:p w14:paraId="76C30DCC" w14:textId="77777777" w:rsidR="00D27FCB" w:rsidRDefault="00D27FCB" w:rsidP="00906D45">
            <w:pPr>
              <w:pStyle w:val="NoSpacing"/>
              <w:rPr>
                <w:rFonts w:cs="Calibri"/>
                <w:sz w:val="24"/>
                <w:szCs w:val="24"/>
              </w:rPr>
            </w:pPr>
            <w:r>
              <w:rPr>
                <w:rFonts w:cs="Calibri"/>
                <w:sz w:val="24"/>
                <w:szCs w:val="24"/>
              </w:rPr>
              <w:t>Early Years Block</w:t>
            </w:r>
          </w:p>
        </w:tc>
        <w:tc>
          <w:tcPr>
            <w:tcW w:w="2410" w:type="dxa"/>
          </w:tcPr>
          <w:p w14:paraId="33F53F8D" w14:textId="3AEB9E97" w:rsidR="00D27FCB" w:rsidRPr="00D27FCB" w:rsidRDefault="003E3220" w:rsidP="00906D45">
            <w:pPr>
              <w:pStyle w:val="NoSpacing"/>
              <w:jc w:val="right"/>
              <w:rPr>
                <w:rFonts w:cs="Calibri"/>
                <w:sz w:val="24"/>
                <w:szCs w:val="24"/>
              </w:rPr>
            </w:pPr>
            <w:r>
              <w:rPr>
                <w:rFonts w:cs="Calibri"/>
                <w:sz w:val="24"/>
                <w:szCs w:val="24"/>
              </w:rPr>
              <w:t>92,454,419</w:t>
            </w:r>
          </w:p>
        </w:tc>
      </w:tr>
      <w:tr w:rsidR="00D27FCB" w14:paraId="44D8867C" w14:textId="77777777" w:rsidTr="00836ED0">
        <w:tc>
          <w:tcPr>
            <w:tcW w:w="6232" w:type="dxa"/>
          </w:tcPr>
          <w:p w14:paraId="598D8D98" w14:textId="77777777" w:rsidR="00D27FCB" w:rsidRDefault="00D27FCB" w:rsidP="00906D45">
            <w:pPr>
              <w:pStyle w:val="NoSpacing"/>
              <w:rPr>
                <w:rFonts w:cs="Calibri"/>
                <w:sz w:val="24"/>
                <w:szCs w:val="24"/>
              </w:rPr>
            </w:pPr>
            <w:r>
              <w:rPr>
                <w:rFonts w:cs="Calibri"/>
                <w:sz w:val="24"/>
                <w:szCs w:val="24"/>
              </w:rPr>
              <w:t>High Needs Block</w:t>
            </w:r>
          </w:p>
        </w:tc>
        <w:tc>
          <w:tcPr>
            <w:tcW w:w="2410" w:type="dxa"/>
          </w:tcPr>
          <w:p w14:paraId="267DD81D" w14:textId="32BFC638" w:rsidR="00D27FCB" w:rsidRPr="00D27FCB" w:rsidRDefault="003E3220" w:rsidP="00906D45">
            <w:pPr>
              <w:pStyle w:val="NoSpacing"/>
              <w:jc w:val="right"/>
              <w:rPr>
                <w:rFonts w:cs="Calibri"/>
                <w:sz w:val="24"/>
                <w:szCs w:val="24"/>
              </w:rPr>
            </w:pPr>
            <w:r>
              <w:rPr>
                <w:rFonts w:cs="Calibri"/>
                <w:sz w:val="24"/>
                <w:szCs w:val="24"/>
              </w:rPr>
              <w:t>270,893,581</w:t>
            </w:r>
          </w:p>
        </w:tc>
      </w:tr>
      <w:tr w:rsidR="00D27FCB" w14:paraId="34D97E5A" w14:textId="77777777" w:rsidTr="00836ED0">
        <w:tc>
          <w:tcPr>
            <w:tcW w:w="6232" w:type="dxa"/>
            <w:shd w:val="clear" w:color="auto" w:fill="BFBFBF" w:themeFill="background1" w:themeFillShade="BF"/>
          </w:tcPr>
          <w:p w14:paraId="41AC147F" w14:textId="01BA0F58" w:rsidR="00D27FCB" w:rsidRPr="00213821" w:rsidRDefault="00D27FCB" w:rsidP="00906D45">
            <w:pPr>
              <w:pStyle w:val="NoSpacing"/>
              <w:rPr>
                <w:rFonts w:cs="Calibri"/>
                <w:b/>
                <w:bCs/>
                <w:sz w:val="24"/>
                <w:szCs w:val="24"/>
              </w:rPr>
            </w:pPr>
            <w:r>
              <w:rPr>
                <w:rFonts w:cs="Calibri"/>
                <w:b/>
                <w:bCs/>
                <w:sz w:val="24"/>
                <w:szCs w:val="24"/>
              </w:rPr>
              <w:t>Total DSG Allocation 2023/</w:t>
            </w:r>
            <w:r w:rsidR="003E3220">
              <w:rPr>
                <w:rFonts w:cs="Calibri"/>
                <w:b/>
                <w:bCs/>
                <w:sz w:val="24"/>
                <w:szCs w:val="24"/>
              </w:rPr>
              <w:t>20</w:t>
            </w:r>
            <w:r>
              <w:rPr>
                <w:rFonts w:cs="Calibri"/>
                <w:b/>
                <w:bCs/>
                <w:sz w:val="24"/>
                <w:szCs w:val="24"/>
              </w:rPr>
              <w:t>24</w:t>
            </w:r>
          </w:p>
        </w:tc>
        <w:tc>
          <w:tcPr>
            <w:tcW w:w="2410" w:type="dxa"/>
            <w:shd w:val="clear" w:color="auto" w:fill="BFBFBF" w:themeFill="background1" w:themeFillShade="BF"/>
          </w:tcPr>
          <w:p w14:paraId="019B10A0" w14:textId="555CCB0F" w:rsidR="00D27FCB" w:rsidRPr="00213821" w:rsidRDefault="00D27FCB" w:rsidP="00906D45">
            <w:pPr>
              <w:pStyle w:val="NoSpacing"/>
              <w:jc w:val="right"/>
              <w:rPr>
                <w:rFonts w:cs="Calibri"/>
                <w:b/>
                <w:bCs/>
                <w:sz w:val="24"/>
                <w:szCs w:val="24"/>
              </w:rPr>
            </w:pPr>
            <w:r>
              <w:rPr>
                <w:rFonts w:cs="Calibri"/>
                <w:b/>
                <w:bCs/>
                <w:sz w:val="24"/>
                <w:szCs w:val="24"/>
              </w:rPr>
              <w:t>1,457,587,494</w:t>
            </w:r>
          </w:p>
        </w:tc>
      </w:tr>
    </w:tbl>
    <w:p w14:paraId="1B9566B3" w14:textId="7DC8E6B1" w:rsidR="00010ECA" w:rsidRDefault="00010ECA" w:rsidP="00167716">
      <w:pPr>
        <w:pStyle w:val="NoSpacing"/>
        <w:rPr>
          <w:sz w:val="24"/>
          <w:szCs w:val="24"/>
        </w:rPr>
      </w:pPr>
    </w:p>
    <w:p w14:paraId="28BD941C" w14:textId="65FB546A" w:rsidR="00167716" w:rsidRDefault="00167716" w:rsidP="00167716">
      <w:pPr>
        <w:pStyle w:val="NoSpacing"/>
        <w:rPr>
          <w:bCs/>
          <w:iCs/>
          <w:sz w:val="24"/>
          <w:szCs w:val="24"/>
        </w:rPr>
      </w:pPr>
    </w:p>
    <w:p w14:paraId="07913C8E" w14:textId="3285DA6E" w:rsidR="00010ECA" w:rsidRPr="00010ECA" w:rsidRDefault="00010ECA" w:rsidP="00010ECA">
      <w:pPr>
        <w:pStyle w:val="NoSpacing"/>
        <w:rPr>
          <w:b/>
          <w:bCs/>
          <w:sz w:val="24"/>
          <w:szCs w:val="24"/>
        </w:rPr>
      </w:pPr>
      <w:r w:rsidRPr="00010ECA">
        <w:rPr>
          <w:b/>
          <w:bCs/>
          <w:sz w:val="24"/>
          <w:szCs w:val="24"/>
        </w:rPr>
        <w:t>Additional DSG Grant Allocations 2023/</w:t>
      </w:r>
      <w:r w:rsidR="003E3220">
        <w:rPr>
          <w:b/>
          <w:bCs/>
          <w:sz w:val="24"/>
          <w:szCs w:val="24"/>
        </w:rPr>
        <w:t>20</w:t>
      </w:r>
      <w:r w:rsidRPr="00010ECA">
        <w:rPr>
          <w:b/>
          <w:bCs/>
          <w:sz w:val="24"/>
          <w:szCs w:val="24"/>
        </w:rPr>
        <w:t>24</w:t>
      </w:r>
    </w:p>
    <w:p w14:paraId="69CCC32A" w14:textId="77777777" w:rsidR="00010ECA" w:rsidRDefault="00010ECA" w:rsidP="00010ECA">
      <w:pPr>
        <w:pStyle w:val="NoSpacing"/>
      </w:pPr>
    </w:p>
    <w:p w14:paraId="6F680935" w14:textId="77777777" w:rsidR="00010ECA" w:rsidRPr="00167716" w:rsidRDefault="00010ECA" w:rsidP="00010ECA">
      <w:pPr>
        <w:pStyle w:val="NoSpacing"/>
        <w:rPr>
          <w:sz w:val="24"/>
          <w:szCs w:val="24"/>
        </w:rPr>
      </w:pPr>
      <w:r w:rsidRPr="00167716">
        <w:rPr>
          <w:sz w:val="24"/>
          <w:szCs w:val="24"/>
        </w:rPr>
        <w:t>Schools are expected to meet all the pay and inflationary pressures from within their budget allocations.</w:t>
      </w:r>
    </w:p>
    <w:p w14:paraId="05362620" w14:textId="77777777" w:rsidR="00010ECA" w:rsidRDefault="00010ECA" w:rsidP="00010ECA">
      <w:pPr>
        <w:pStyle w:val="NoSpacing"/>
        <w:rPr>
          <w:sz w:val="24"/>
          <w:szCs w:val="24"/>
        </w:rPr>
      </w:pPr>
    </w:p>
    <w:p w14:paraId="09615473" w14:textId="0FE3D782" w:rsidR="00010ECA" w:rsidRDefault="00010ECA" w:rsidP="00010ECA">
      <w:pPr>
        <w:pStyle w:val="NoSpacing"/>
        <w:rPr>
          <w:sz w:val="24"/>
          <w:szCs w:val="24"/>
        </w:rPr>
      </w:pPr>
      <w:proofErr w:type="gramStart"/>
      <w:r>
        <w:rPr>
          <w:sz w:val="24"/>
          <w:szCs w:val="24"/>
        </w:rPr>
        <w:t>However</w:t>
      </w:r>
      <w:proofErr w:type="gramEnd"/>
      <w:r>
        <w:rPr>
          <w:sz w:val="24"/>
          <w:szCs w:val="24"/>
        </w:rPr>
        <w:t xml:space="preserve"> </w:t>
      </w:r>
      <w:r w:rsidRPr="000C05CA">
        <w:rPr>
          <w:sz w:val="24"/>
          <w:szCs w:val="24"/>
        </w:rPr>
        <w:t>on 16</w:t>
      </w:r>
      <w:r w:rsidRPr="000C05CA">
        <w:rPr>
          <w:sz w:val="24"/>
          <w:szCs w:val="24"/>
          <w:vertAlign w:val="superscript"/>
        </w:rPr>
        <w:t>th</w:t>
      </w:r>
      <w:r w:rsidRPr="000C05CA">
        <w:rPr>
          <w:sz w:val="24"/>
          <w:szCs w:val="24"/>
        </w:rPr>
        <w:t xml:space="preserve"> December 202</w:t>
      </w:r>
      <w:r w:rsidR="003C26EE">
        <w:rPr>
          <w:sz w:val="24"/>
          <w:szCs w:val="24"/>
        </w:rPr>
        <w:t>2</w:t>
      </w:r>
      <w:r w:rsidRPr="000C05CA">
        <w:rPr>
          <w:sz w:val="24"/>
          <w:szCs w:val="24"/>
        </w:rPr>
        <w:t xml:space="preserve">, the ESFA </w:t>
      </w:r>
      <w:r>
        <w:rPr>
          <w:sz w:val="24"/>
          <w:szCs w:val="24"/>
        </w:rPr>
        <w:t xml:space="preserve">also </w:t>
      </w:r>
      <w:r w:rsidRPr="000C05CA">
        <w:rPr>
          <w:sz w:val="24"/>
          <w:szCs w:val="24"/>
        </w:rPr>
        <w:t>published the Mainstream Schools Additional Grant indicative allocations.  Birmingham City Council has provisionally been awarded £37.6m funding for schools for the 2023/</w:t>
      </w:r>
      <w:r w:rsidR="003E3220">
        <w:rPr>
          <w:sz w:val="24"/>
          <w:szCs w:val="24"/>
        </w:rPr>
        <w:t>20</w:t>
      </w:r>
      <w:r w:rsidRPr="000C05CA">
        <w:rPr>
          <w:sz w:val="24"/>
          <w:szCs w:val="24"/>
        </w:rPr>
        <w:t>24 financial year in addition to the main Schools Block DSG settlement for 2023/</w:t>
      </w:r>
      <w:r w:rsidR="003E3220">
        <w:rPr>
          <w:sz w:val="24"/>
          <w:szCs w:val="24"/>
        </w:rPr>
        <w:t>20</w:t>
      </w:r>
      <w:r w:rsidRPr="000C05CA">
        <w:rPr>
          <w:sz w:val="24"/>
          <w:szCs w:val="24"/>
        </w:rPr>
        <w:t>24 to further support schools with the costs of inflation</w:t>
      </w:r>
      <w:r w:rsidR="00D27FCB">
        <w:rPr>
          <w:sz w:val="24"/>
          <w:szCs w:val="24"/>
        </w:rPr>
        <w:t xml:space="preserve">, increases in energy costs </w:t>
      </w:r>
      <w:r w:rsidRPr="000C05CA">
        <w:rPr>
          <w:sz w:val="24"/>
          <w:szCs w:val="24"/>
        </w:rPr>
        <w:t xml:space="preserve">and wider </w:t>
      </w:r>
      <w:r w:rsidR="00D27FCB">
        <w:rPr>
          <w:sz w:val="24"/>
          <w:szCs w:val="24"/>
        </w:rPr>
        <w:t xml:space="preserve">increases in salary </w:t>
      </w:r>
      <w:r w:rsidRPr="000C05CA">
        <w:rPr>
          <w:sz w:val="24"/>
          <w:szCs w:val="24"/>
        </w:rPr>
        <w:t>costs.  School level allocations will be confirmed in Spring 2023.</w:t>
      </w:r>
    </w:p>
    <w:p w14:paraId="213FD7A2" w14:textId="7A7120EE" w:rsidR="00AF08BC" w:rsidRDefault="00AF08BC" w:rsidP="00010ECA">
      <w:pPr>
        <w:pStyle w:val="NoSpacing"/>
        <w:rPr>
          <w:sz w:val="24"/>
          <w:szCs w:val="24"/>
        </w:rPr>
      </w:pPr>
    </w:p>
    <w:p w14:paraId="303D20E0" w14:textId="1442EF9F" w:rsidR="00D27FCB" w:rsidRDefault="00D27FCB" w:rsidP="00010ECA">
      <w:pPr>
        <w:pStyle w:val="NoSpacing"/>
        <w:rPr>
          <w:sz w:val="24"/>
          <w:szCs w:val="24"/>
        </w:rPr>
      </w:pPr>
      <w:r>
        <w:rPr>
          <w:sz w:val="24"/>
          <w:szCs w:val="24"/>
        </w:rPr>
        <w:t>For the purposes of forecasting, the additional DSG Grant Allocations have not been included in the three-year forecast as inflation, increases in energy costs and wider increases in salary costs have also been excluded from the calculations.  It has been assumed that there will be additional allocations in future years to cover the costs of inflation, increases in energy costs and wider increases in salary costs.</w:t>
      </w:r>
    </w:p>
    <w:p w14:paraId="00C62555" w14:textId="68947A85" w:rsidR="00683B85" w:rsidRDefault="00683B85" w:rsidP="00167716">
      <w:pPr>
        <w:pStyle w:val="NoSpacing"/>
        <w:rPr>
          <w:b/>
          <w:bCs/>
          <w:sz w:val="24"/>
          <w:szCs w:val="24"/>
        </w:rPr>
      </w:pPr>
      <w:r w:rsidRPr="00683B85">
        <w:rPr>
          <w:b/>
          <w:bCs/>
          <w:sz w:val="24"/>
          <w:szCs w:val="24"/>
        </w:rPr>
        <w:t xml:space="preserve">DSG </w:t>
      </w:r>
      <w:r w:rsidR="003E3220">
        <w:rPr>
          <w:b/>
          <w:bCs/>
          <w:sz w:val="24"/>
          <w:szCs w:val="24"/>
        </w:rPr>
        <w:t xml:space="preserve">Reserves </w:t>
      </w:r>
      <w:r w:rsidRPr="00683B85">
        <w:rPr>
          <w:b/>
          <w:bCs/>
          <w:sz w:val="24"/>
          <w:szCs w:val="24"/>
        </w:rPr>
        <w:t xml:space="preserve">Forecast </w:t>
      </w:r>
    </w:p>
    <w:p w14:paraId="59B974A5" w14:textId="77777777" w:rsidR="003E3220" w:rsidRDefault="003E3220" w:rsidP="00167716">
      <w:pPr>
        <w:pStyle w:val="NoSpacing"/>
        <w:rPr>
          <w:sz w:val="24"/>
          <w:szCs w:val="24"/>
        </w:rPr>
      </w:pPr>
    </w:p>
    <w:p w14:paraId="4B2EB5C6" w14:textId="618B53E3" w:rsidR="00683B85" w:rsidRDefault="003C26EE" w:rsidP="00167716">
      <w:pPr>
        <w:pStyle w:val="NoSpacing"/>
        <w:rPr>
          <w:sz w:val="24"/>
          <w:szCs w:val="24"/>
        </w:rPr>
      </w:pPr>
      <w:r>
        <w:rPr>
          <w:sz w:val="24"/>
          <w:szCs w:val="24"/>
        </w:rPr>
        <w:lastRenderedPageBreak/>
        <w:t xml:space="preserve">The Schools Block reserves are projected to reduce to </w:t>
      </w:r>
      <w:r w:rsidR="003E3220">
        <w:rPr>
          <w:sz w:val="24"/>
          <w:szCs w:val="24"/>
        </w:rPr>
        <w:t>£6.0 million in 2023/2024 following a drawdown from DSG reserves of £3.1 million.</w:t>
      </w:r>
      <w:r w:rsidR="00805E05">
        <w:rPr>
          <w:sz w:val="24"/>
          <w:szCs w:val="24"/>
        </w:rPr>
        <w:t xml:space="preserve">  Discussions are expected to take place with the ESFA in 2023/2024 as most Local Authorities are encountering an in-year Schools Block Deficit.</w:t>
      </w:r>
    </w:p>
    <w:p w14:paraId="5301B7E3" w14:textId="05C7FE42" w:rsidR="003E3220" w:rsidRDefault="003E3220" w:rsidP="00167716">
      <w:pPr>
        <w:pStyle w:val="NoSpacing"/>
        <w:rPr>
          <w:sz w:val="24"/>
          <w:szCs w:val="24"/>
        </w:rPr>
      </w:pPr>
    </w:p>
    <w:p w14:paraId="6C5576AD" w14:textId="26FB4321" w:rsidR="003E3220" w:rsidRDefault="003E3220" w:rsidP="00167716">
      <w:pPr>
        <w:pStyle w:val="NoSpacing"/>
        <w:rPr>
          <w:sz w:val="24"/>
          <w:szCs w:val="24"/>
        </w:rPr>
      </w:pPr>
      <w:r>
        <w:rPr>
          <w:sz w:val="24"/>
          <w:szCs w:val="24"/>
        </w:rPr>
        <w:t xml:space="preserve">The CSSB Block reserves are projected to reduce to £1.4 million in 2023/2024 and are projected to remain in surplus over the medium term to the end of the financial year 2025/2026.  </w:t>
      </w:r>
      <w:r w:rsidR="00805E05">
        <w:rPr>
          <w:sz w:val="24"/>
          <w:szCs w:val="24"/>
        </w:rPr>
        <w:t>H</w:t>
      </w:r>
      <w:r>
        <w:rPr>
          <w:sz w:val="24"/>
          <w:szCs w:val="24"/>
        </w:rPr>
        <w:t xml:space="preserve">owever, the historical commitments will need to be revised to ensure that spending is reduced in line with the annual 20% reduction in funding to ensure that upon the eventual depletion of reserves, the DSG allocation is sufficient to </w:t>
      </w:r>
      <w:r w:rsidR="00805E05">
        <w:rPr>
          <w:sz w:val="24"/>
          <w:szCs w:val="24"/>
        </w:rPr>
        <w:t>fund the CSSB ongoing responsibilities.</w:t>
      </w:r>
    </w:p>
    <w:p w14:paraId="794BAEC7" w14:textId="07A6C5EF" w:rsidR="00A83F37" w:rsidRDefault="00A83F37" w:rsidP="00167716">
      <w:pPr>
        <w:pStyle w:val="NoSpacing"/>
        <w:rPr>
          <w:sz w:val="24"/>
          <w:szCs w:val="24"/>
        </w:rPr>
      </w:pPr>
    </w:p>
    <w:p w14:paraId="423EC9F9" w14:textId="1BD0B956" w:rsidR="00C9131A" w:rsidRPr="00C9131A" w:rsidRDefault="00805E05" w:rsidP="00C9131A">
      <w:pPr>
        <w:pStyle w:val="NoSpacing"/>
        <w:rPr>
          <w:b/>
          <w:bCs/>
          <w:sz w:val="24"/>
          <w:szCs w:val="24"/>
        </w:rPr>
      </w:pPr>
      <w:r>
        <w:rPr>
          <w:sz w:val="24"/>
          <w:szCs w:val="24"/>
        </w:rPr>
        <w:t>The Early Years Block and High Needs Block reserves are still to be determined.</w:t>
      </w:r>
    </w:p>
    <w:sectPr w:rsidR="00C9131A" w:rsidRPr="00C9131A" w:rsidSect="00C9131A">
      <w:pgSz w:w="11906" w:h="16838"/>
      <w:pgMar w:top="1418" w:right="1416"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27AC" w14:textId="77777777" w:rsidR="00C02D93" w:rsidRDefault="00C02D93" w:rsidP="00714D13">
      <w:r>
        <w:separator/>
      </w:r>
    </w:p>
  </w:endnote>
  <w:endnote w:type="continuationSeparator" w:id="0">
    <w:p w14:paraId="3E5E4642" w14:textId="77777777" w:rsidR="00C02D93" w:rsidRDefault="00C02D93" w:rsidP="0071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3C2E" w14:textId="77777777" w:rsidR="00C02D93" w:rsidRDefault="00C02D93" w:rsidP="00714D13">
      <w:r>
        <w:separator/>
      </w:r>
    </w:p>
  </w:footnote>
  <w:footnote w:type="continuationSeparator" w:id="0">
    <w:p w14:paraId="2CE21E27" w14:textId="77777777" w:rsidR="00C02D93" w:rsidRDefault="00C02D93" w:rsidP="0071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B7A"/>
    <w:multiLevelType w:val="multilevel"/>
    <w:tmpl w:val="30E636E4"/>
    <w:lvl w:ilvl="0">
      <w:start w:val="1"/>
      <w:numFmt w:val="bullet"/>
      <w:lvlText w:val=""/>
      <w:lvlJc w:val="left"/>
      <w:pPr>
        <w:ind w:left="540" w:hanging="540"/>
      </w:pPr>
      <w:rPr>
        <w:rFonts w:ascii="Symbol" w:hAnsi="Symbol" w:hint="default"/>
      </w:rPr>
    </w:lvl>
    <w:lvl w:ilvl="1">
      <w:start w:val="3"/>
      <w:numFmt w:val="decimal"/>
      <w:lvlText w:val="%1.%2"/>
      <w:lvlJc w:val="left"/>
      <w:pPr>
        <w:ind w:left="1192" w:hanging="540"/>
      </w:pPr>
      <w:rPr>
        <w:rFonts w:hint="default"/>
      </w:rPr>
    </w:lvl>
    <w:lvl w:ilvl="2">
      <w:start w:val="1"/>
      <w:numFmt w:val="bullet"/>
      <w:lvlText w:val=""/>
      <w:lvlJc w:val="left"/>
      <w:pPr>
        <w:ind w:left="2024" w:hanging="720"/>
      </w:pPr>
      <w:rPr>
        <w:rFonts w:ascii="Symbol" w:hAnsi="Symbol" w:hint="default"/>
        <w:b/>
        <w:bCs/>
      </w:rPr>
    </w:lvl>
    <w:lvl w:ilvl="3">
      <w:start w:val="1"/>
      <w:numFmt w:val="bullet"/>
      <w:lvlText w:val=""/>
      <w:lvlJc w:val="left"/>
      <w:pPr>
        <w:ind w:left="3036" w:hanging="1080"/>
      </w:pPr>
      <w:rPr>
        <w:rFonts w:ascii="Symbol" w:hAnsi="Symbol"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1" w15:restartNumberingAfterBreak="0">
    <w:nsid w:val="08013682"/>
    <w:multiLevelType w:val="multilevel"/>
    <w:tmpl w:val="09241348"/>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bullet"/>
      <w:pStyle w:val="FinPlan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AC6369"/>
    <w:multiLevelType w:val="multilevel"/>
    <w:tmpl w:val="30E636E4"/>
    <w:lvl w:ilvl="0">
      <w:start w:val="1"/>
      <w:numFmt w:val="bullet"/>
      <w:lvlText w:val=""/>
      <w:lvlJc w:val="left"/>
      <w:pPr>
        <w:ind w:left="540" w:hanging="540"/>
      </w:pPr>
      <w:rPr>
        <w:rFonts w:ascii="Symbol" w:hAnsi="Symbol" w:hint="default"/>
      </w:rPr>
    </w:lvl>
    <w:lvl w:ilvl="1">
      <w:start w:val="3"/>
      <w:numFmt w:val="decimal"/>
      <w:lvlText w:val="%1.%2"/>
      <w:lvlJc w:val="left"/>
      <w:pPr>
        <w:ind w:left="1192" w:hanging="540"/>
      </w:pPr>
      <w:rPr>
        <w:rFonts w:hint="default"/>
      </w:rPr>
    </w:lvl>
    <w:lvl w:ilvl="2">
      <w:start w:val="1"/>
      <w:numFmt w:val="bullet"/>
      <w:lvlText w:val=""/>
      <w:lvlJc w:val="left"/>
      <w:pPr>
        <w:ind w:left="2024" w:hanging="720"/>
      </w:pPr>
      <w:rPr>
        <w:rFonts w:ascii="Symbol" w:hAnsi="Symbol" w:hint="default"/>
        <w:b/>
        <w:bCs/>
      </w:rPr>
    </w:lvl>
    <w:lvl w:ilvl="3">
      <w:start w:val="1"/>
      <w:numFmt w:val="bullet"/>
      <w:lvlText w:val=""/>
      <w:lvlJc w:val="left"/>
      <w:pPr>
        <w:ind w:left="3036" w:hanging="1080"/>
      </w:pPr>
      <w:rPr>
        <w:rFonts w:ascii="Symbol" w:hAnsi="Symbol"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3" w15:restartNumberingAfterBreak="0">
    <w:nsid w:val="1C0401CB"/>
    <w:multiLevelType w:val="multilevel"/>
    <w:tmpl w:val="30E636E4"/>
    <w:lvl w:ilvl="0">
      <w:start w:val="1"/>
      <w:numFmt w:val="bullet"/>
      <w:lvlText w:val=""/>
      <w:lvlJc w:val="left"/>
      <w:pPr>
        <w:ind w:left="540" w:hanging="540"/>
      </w:pPr>
      <w:rPr>
        <w:rFonts w:ascii="Symbol" w:hAnsi="Symbol" w:hint="default"/>
      </w:rPr>
    </w:lvl>
    <w:lvl w:ilvl="1">
      <w:start w:val="3"/>
      <w:numFmt w:val="decimal"/>
      <w:lvlText w:val="%1.%2"/>
      <w:lvlJc w:val="left"/>
      <w:pPr>
        <w:ind w:left="1192" w:hanging="540"/>
      </w:pPr>
      <w:rPr>
        <w:rFonts w:hint="default"/>
      </w:rPr>
    </w:lvl>
    <w:lvl w:ilvl="2">
      <w:start w:val="1"/>
      <w:numFmt w:val="bullet"/>
      <w:lvlText w:val=""/>
      <w:lvlJc w:val="left"/>
      <w:pPr>
        <w:ind w:left="2024" w:hanging="720"/>
      </w:pPr>
      <w:rPr>
        <w:rFonts w:ascii="Symbol" w:hAnsi="Symbol" w:hint="default"/>
        <w:b/>
        <w:bCs/>
      </w:rPr>
    </w:lvl>
    <w:lvl w:ilvl="3">
      <w:start w:val="1"/>
      <w:numFmt w:val="bullet"/>
      <w:lvlText w:val=""/>
      <w:lvlJc w:val="left"/>
      <w:pPr>
        <w:ind w:left="3036" w:hanging="1080"/>
      </w:pPr>
      <w:rPr>
        <w:rFonts w:ascii="Symbol" w:hAnsi="Symbol"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4" w15:restartNumberingAfterBreak="0">
    <w:nsid w:val="267F1675"/>
    <w:multiLevelType w:val="multilevel"/>
    <w:tmpl w:val="63A8BE9A"/>
    <w:lvl w:ilvl="0">
      <w:start w:val="1"/>
      <w:numFmt w:val="bullet"/>
      <w:lvlText w:val=""/>
      <w:lvlJc w:val="left"/>
      <w:pPr>
        <w:ind w:left="540" w:hanging="540"/>
      </w:pPr>
      <w:rPr>
        <w:rFonts w:ascii="Symbol" w:hAnsi="Symbol" w:hint="default"/>
      </w:rPr>
    </w:lvl>
    <w:lvl w:ilvl="1">
      <w:start w:val="3"/>
      <w:numFmt w:val="decimal"/>
      <w:lvlText w:val="%1.%2"/>
      <w:lvlJc w:val="left"/>
      <w:pPr>
        <w:ind w:left="1192" w:hanging="540"/>
      </w:pPr>
      <w:rPr>
        <w:rFonts w:hint="default"/>
      </w:rPr>
    </w:lvl>
    <w:lvl w:ilvl="2">
      <w:start w:val="1"/>
      <w:numFmt w:val="bullet"/>
      <w:lvlText w:val=""/>
      <w:lvlJc w:val="left"/>
      <w:pPr>
        <w:ind w:left="2024" w:hanging="720"/>
      </w:pPr>
      <w:rPr>
        <w:rFonts w:ascii="Symbol" w:hAnsi="Symbol" w:hint="default"/>
        <w:b/>
        <w:bCs/>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15:restartNumberingAfterBreak="0">
    <w:nsid w:val="2AAB292C"/>
    <w:multiLevelType w:val="multilevel"/>
    <w:tmpl w:val="3C6EA4C4"/>
    <w:lvl w:ilvl="0">
      <w:start w:val="1"/>
      <w:numFmt w:val="decimal"/>
      <w:pStyle w:val="FinPlanLvl1Para"/>
      <w:lvlText w:val="%1."/>
      <w:lvlJc w:val="left"/>
      <w:pPr>
        <w:ind w:left="360" w:hanging="360"/>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FinPlanLvl2Para"/>
      <w:lvlText w:val="%1.%2."/>
      <w:lvlJc w:val="left"/>
      <w:pPr>
        <w:ind w:left="1991" w:hanging="432"/>
      </w:pPr>
      <w:rPr>
        <w:rFonts w:hint="default"/>
        <w:b/>
        <w:bCs/>
      </w:rPr>
    </w:lvl>
    <w:lvl w:ilvl="2">
      <w:start w:val="1"/>
      <w:numFmt w:val="decimal"/>
      <w:pStyle w:val="FinPlanLvl3Para"/>
      <w:lvlText w:val="%1.%2.%3."/>
      <w:lvlJc w:val="left"/>
      <w:pPr>
        <w:ind w:left="-51" w:hanging="504"/>
      </w:pPr>
      <w:rPr>
        <w:rFonts w:hint="default"/>
      </w:rPr>
    </w:lvl>
    <w:lvl w:ilvl="3">
      <w:start w:val="1"/>
      <w:numFmt w:val="decimal"/>
      <w:lvlText w:val="%1.%2.%3.%4."/>
      <w:lvlJc w:val="left"/>
      <w:pPr>
        <w:ind w:left="453" w:hanging="648"/>
      </w:pPr>
      <w:rPr>
        <w:rFonts w:hint="default"/>
      </w:rPr>
    </w:lvl>
    <w:lvl w:ilvl="4">
      <w:start w:val="1"/>
      <w:numFmt w:val="decimal"/>
      <w:lvlText w:val="%1.%2.%3.%4.%5."/>
      <w:lvlJc w:val="left"/>
      <w:pPr>
        <w:ind w:left="957" w:hanging="792"/>
      </w:pPr>
      <w:rPr>
        <w:rFonts w:hint="default"/>
      </w:rPr>
    </w:lvl>
    <w:lvl w:ilvl="5">
      <w:start w:val="1"/>
      <w:numFmt w:val="decimal"/>
      <w:lvlText w:val="%1.%2.%3.%4.%5.%6."/>
      <w:lvlJc w:val="left"/>
      <w:pPr>
        <w:ind w:left="1461" w:hanging="936"/>
      </w:pPr>
      <w:rPr>
        <w:rFonts w:hint="default"/>
      </w:rPr>
    </w:lvl>
    <w:lvl w:ilvl="6">
      <w:start w:val="1"/>
      <w:numFmt w:val="decimal"/>
      <w:lvlText w:val="%1.%2.%3.%4.%5.%6.%7."/>
      <w:lvlJc w:val="left"/>
      <w:pPr>
        <w:ind w:left="1965" w:hanging="1080"/>
      </w:pPr>
      <w:rPr>
        <w:rFonts w:hint="default"/>
      </w:rPr>
    </w:lvl>
    <w:lvl w:ilvl="7">
      <w:start w:val="1"/>
      <w:numFmt w:val="decimal"/>
      <w:lvlText w:val="%1.%2.%3.%4.%5.%6.%7.%8."/>
      <w:lvlJc w:val="left"/>
      <w:pPr>
        <w:ind w:left="2469" w:hanging="1224"/>
      </w:pPr>
      <w:rPr>
        <w:rFonts w:hint="default"/>
      </w:rPr>
    </w:lvl>
    <w:lvl w:ilvl="8">
      <w:start w:val="1"/>
      <w:numFmt w:val="decimal"/>
      <w:lvlText w:val="%1.%2.%3.%4.%5.%6.%7.%8.%9."/>
      <w:lvlJc w:val="left"/>
      <w:pPr>
        <w:ind w:left="3045" w:hanging="1440"/>
      </w:pPr>
      <w:rPr>
        <w:rFonts w:hint="default"/>
      </w:rPr>
    </w:lvl>
  </w:abstractNum>
  <w:abstractNum w:abstractNumId="6"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4DEC139B"/>
    <w:multiLevelType w:val="multilevel"/>
    <w:tmpl w:val="30E636E4"/>
    <w:lvl w:ilvl="0">
      <w:start w:val="1"/>
      <w:numFmt w:val="bullet"/>
      <w:lvlText w:val=""/>
      <w:lvlJc w:val="left"/>
      <w:pPr>
        <w:ind w:left="540" w:hanging="540"/>
      </w:pPr>
      <w:rPr>
        <w:rFonts w:ascii="Symbol" w:hAnsi="Symbol" w:hint="default"/>
      </w:rPr>
    </w:lvl>
    <w:lvl w:ilvl="1">
      <w:start w:val="3"/>
      <w:numFmt w:val="decimal"/>
      <w:lvlText w:val="%1.%2"/>
      <w:lvlJc w:val="left"/>
      <w:pPr>
        <w:ind w:left="1192" w:hanging="540"/>
      </w:pPr>
      <w:rPr>
        <w:rFonts w:hint="default"/>
      </w:rPr>
    </w:lvl>
    <w:lvl w:ilvl="2">
      <w:start w:val="1"/>
      <w:numFmt w:val="bullet"/>
      <w:lvlText w:val=""/>
      <w:lvlJc w:val="left"/>
      <w:pPr>
        <w:ind w:left="2024" w:hanging="720"/>
      </w:pPr>
      <w:rPr>
        <w:rFonts w:ascii="Symbol" w:hAnsi="Symbol" w:hint="default"/>
        <w:b/>
        <w:bCs/>
      </w:rPr>
    </w:lvl>
    <w:lvl w:ilvl="3">
      <w:start w:val="1"/>
      <w:numFmt w:val="bullet"/>
      <w:lvlText w:val=""/>
      <w:lvlJc w:val="left"/>
      <w:pPr>
        <w:ind w:left="3036" w:hanging="1080"/>
      </w:pPr>
      <w:rPr>
        <w:rFonts w:ascii="Symbol" w:hAnsi="Symbol"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num w:numId="1" w16cid:durableId="1699575049">
    <w:abstractNumId w:val="6"/>
  </w:num>
  <w:num w:numId="2" w16cid:durableId="161094528">
    <w:abstractNumId w:val="5"/>
  </w:num>
  <w:num w:numId="3" w16cid:durableId="249848801">
    <w:abstractNumId w:val="1"/>
  </w:num>
  <w:num w:numId="4" w16cid:durableId="912281373">
    <w:abstractNumId w:val="4"/>
  </w:num>
  <w:num w:numId="5" w16cid:durableId="865021709">
    <w:abstractNumId w:val="2"/>
  </w:num>
  <w:num w:numId="6" w16cid:durableId="529032886">
    <w:abstractNumId w:val="7"/>
  </w:num>
  <w:num w:numId="7" w16cid:durableId="778259662">
    <w:abstractNumId w:val="3"/>
  </w:num>
  <w:num w:numId="8" w16cid:durableId="1276601873">
    <w:abstractNumId w:val="5"/>
  </w:num>
  <w:num w:numId="9" w16cid:durableId="163718045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0A6CHekK1qOqZrbJFJflDTXLwxN8UsqbAf6rk1Dj3hgdrCL9HzZVT5XfsYCCDkC+"/>
  </w:docVars>
  <w:rsids>
    <w:rsidRoot w:val="008544CD"/>
    <w:rsid w:val="00010ECA"/>
    <w:rsid w:val="00017E1F"/>
    <w:rsid w:val="00025D18"/>
    <w:rsid w:val="00040A2A"/>
    <w:rsid w:val="00041ADC"/>
    <w:rsid w:val="00051619"/>
    <w:rsid w:val="00057C6A"/>
    <w:rsid w:val="00060D23"/>
    <w:rsid w:val="00064120"/>
    <w:rsid w:val="000961FB"/>
    <w:rsid w:val="000A14DA"/>
    <w:rsid w:val="000B54BC"/>
    <w:rsid w:val="000C05CA"/>
    <w:rsid w:val="000C1E1D"/>
    <w:rsid w:val="000C283C"/>
    <w:rsid w:val="000C5B69"/>
    <w:rsid w:val="000D17D0"/>
    <w:rsid w:val="000D392E"/>
    <w:rsid w:val="000D39E2"/>
    <w:rsid w:val="000D43EA"/>
    <w:rsid w:val="000D4BFA"/>
    <w:rsid w:val="000F1600"/>
    <w:rsid w:val="000F301E"/>
    <w:rsid w:val="001003B8"/>
    <w:rsid w:val="0010247A"/>
    <w:rsid w:val="00102CDF"/>
    <w:rsid w:val="001071D0"/>
    <w:rsid w:val="00112C51"/>
    <w:rsid w:val="00114C84"/>
    <w:rsid w:val="00125521"/>
    <w:rsid w:val="00144B4C"/>
    <w:rsid w:val="00145631"/>
    <w:rsid w:val="00153779"/>
    <w:rsid w:val="00160187"/>
    <w:rsid w:val="0016718B"/>
    <w:rsid w:val="00167716"/>
    <w:rsid w:val="001725DE"/>
    <w:rsid w:val="001729E3"/>
    <w:rsid w:val="001768C6"/>
    <w:rsid w:val="00192FB5"/>
    <w:rsid w:val="00193FEA"/>
    <w:rsid w:val="0019699A"/>
    <w:rsid w:val="001A131F"/>
    <w:rsid w:val="001B1322"/>
    <w:rsid w:val="001C0694"/>
    <w:rsid w:val="001C170B"/>
    <w:rsid w:val="001C3A3F"/>
    <w:rsid w:val="001C4B5D"/>
    <w:rsid w:val="001E623B"/>
    <w:rsid w:val="001F1F7F"/>
    <w:rsid w:val="002037F3"/>
    <w:rsid w:val="00213821"/>
    <w:rsid w:val="0021662C"/>
    <w:rsid w:val="002174F2"/>
    <w:rsid w:val="0022109D"/>
    <w:rsid w:val="00223B04"/>
    <w:rsid w:val="00223D15"/>
    <w:rsid w:val="00224247"/>
    <w:rsid w:val="00233316"/>
    <w:rsid w:val="00243C70"/>
    <w:rsid w:val="00251C1A"/>
    <w:rsid w:val="002606D7"/>
    <w:rsid w:val="00265605"/>
    <w:rsid w:val="00272BE1"/>
    <w:rsid w:val="0027388F"/>
    <w:rsid w:val="0029251D"/>
    <w:rsid w:val="002C5061"/>
    <w:rsid w:val="002D351C"/>
    <w:rsid w:val="002D580D"/>
    <w:rsid w:val="002E3FD4"/>
    <w:rsid w:val="002E5915"/>
    <w:rsid w:val="002E6171"/>
    <w:rsid w:val="002E72B7"/>
    <w:rsid w:val="002F25F3"/>
    <w:rsid w:val="002F6B16"/>
    <w:rsid w:val="00302497"/>
    <w:rsid w:val="00311D16"/>
    <w:rsid w:val="00311EB3"/>
    <w:rsid w:val="003124D9"/>
    <w:rsid w:val="00314720"/>
    <w:rsid w:val="003266DB"/>
    <w:rsid w:val="003343B9"/>
    <w:rsid w:val="003443E8"/>
    <w:rsid w:val="00344CC3"/>
    <w:rsid w:val="003450B4"/>
    <w:rsid w:val="003503FC"/>
    <w:rsid w:val="0036293A"/>
    <w:rsid w:val="0037336F"/>
    <w:rsid w:val="003737E7"/>
    <w:rsid w:val="00381B8D"/>
    <w:rsid w:val="00384FD8"/>
    <w:rsid w:val="00386EF9"/>
    <w:rsid w:val="00394B37"/>
    <w:rsid w:val="003974FB"/>
    <w:rsid w:val="003A3D5F"/>
    <w:rsid w:val="003A44EA"/>
    <w:rsid w:val="003B4E0C"/>
    <w:rsid w:val="003C1A9E"/>
    <w:rsid w:val="003C26EE"/>
    <w:rsid w:val="003C5C4E"/>
    <w:rsid w:val="003C76AD"/>
    <w:rsid w:val="003E148A"/>
    <w:rsid w:val="003E3220"/>
    <w:rsid w:val="003F12CF"/>
    <w:rsid w:val="003F1C64"/>
    <w:rsid w:val="003F2824"/>
    <w:rsid w:val="003F4AF3"/>
    <w:rsid w:val="003F71AE"/>
    <w:rsid w:val="004032B8"/>
    <w:rsid w:val="00412CB1"/>
    <w:rsid w:val="0041767E"/>
    <w:rsid w:val="0042387B"/>
    <w:rsid w:val="00427F2C"/>
    <w:rsid w:val="00431EE3"/>
    <w:rsid w:val="004323CD"/>
    <w:rsid w:val="00433316"/>
    <w:rsid w:val="00434268"/>
    <w:rsid w:val="004362D3"/>
    <w:rsid w:val="0044212B"/>
    <w:rsid w:val="004477CD"/>
    <w:rsid w:val="004517A7"/>
    <w:rsid w:val="00454B32"/>
    <w:rsid w:val="00472ADA"/>
    <w:rsid w:val="004733DB"/>
    <w:rsid w:val="004753F4"/>
    <w:rsid w:val="004910B4"/>
    <w:rsid w:val="00491CFA"/>
    <w:rsid w:val="004938A3"/>
    <w:rsid w:val="00494A9D"/>
    <w:rsid w:val="00495181"/>
    <w:rsid w:val="0049565A"/>
    <w:rsid w:val="004A37FA"/>
    <w:rsid w:val="004A469C"/>
    <w:rsid w:val="004B07F5"/>
    <w:rsid w:val="004B78AE"/>
    <w:rsid w:val="004D10C6"/>
    <w:rsid w:val="004E443D"/>
    <w:rsid w:val="004F2213"/>
    <w:rsid w:val="004F40BD"/>
    <w:rsid w:val="004F40DF"/>
    <w:rsid w:val="00502A00"/>
    <w:rsid w:val="005052AA"/>
    <w:rsid w:val="005124FF"/>
    <w:rsid w:val="0051297A"/>
    <w:rsid w:val="00525D4A"/>
    <w:rsid w:val="00540C5F"/>
    <w:rsid w:val="005516F6"/>
    <w:rsid w:val="005528F4"/>
    <w:rsid w:val="00580CF7"/>
    <w:rsid w:val="00582756"/>
    <w:rsid w:val="00583E05"/>
    <w:rsid w:val="00585512"/>
    <w:rsid w:val="00587026"/>
    <w:rsid w:val="00597C02"/>
    <w:rsid w:val="005A5FAC"/>
    <w:rsid w:val="005B6342"/>
    <w:rsid w:val="005C07B5"/>
    <w:rsid w:val="005D5085"/>
    <w:rsid w:val="005E1B5E"/>
    <w:rsid w:val="005E625F"/>
    <w:rsid w:val="005F26ED"/>
    <w:rsid w:val="005F4807"/>
    <w:rsid w:val="00601295"/>
    <w:rsid w:val="0061434E"/>
    <w:rsid w:val="00627C70"/>
    <w:rsid w:val="006356E5"/>
    <w:rsid w:val="00640471"/>
    <w:rsid w:val="006447E9"/>
    <w:rsid w:val="00652353"/>
    <w:rsid w:val="00652D91"/>
    <w:rsid w:val="0065341E"/>
    <w:rsid w:val="00661D52"/>
    <w:rsid w:val="006645D3"/>
    <w:rsid w:val="006656CF"/>
    <w:rsid w:val="00666653"/>
    <w:rsid w:val="00683B85"/>
    <w:rsid w:val="00695FBA"/>
    <w:rsid w:val="006A05AF"/>
    <w:rsid w:val="006A068E"/>
    <w:rsid w:val="006A74AC"/>
    <w:rsid w:val="006B1E5E"/>
    <w:rsid w:val="006C52BF"/>
    <w:rsid w:val="006C7497"/>
    <w:rsid w:val="006C7DBC"/>
    <w:rsid w:val="006E04C9"/>
    <w:rsid w:val="006F4831"/>
    <w:rsid w:val="006F6961"/>
    <w:rsid w:val="00700601"/>
    <w:rsid w:val="00700F82"/>
    <w:rsid w:val="00705248"/>
    <w:rsid w:val="00711ACE"/>
    <w:rsid w:val="00714D13"/>
    <w:rsid w:val="0071678D"/>
    <w:rsid w:val="0072196D"/>
    <w:rsid w:val="00725156"/>
    <w:rsid w:val="00727846"/>
    <w:rsid w:val="0073164E"/>
    <w:rsid w:val="00734461"/>
    <w:rsid w:val="00745293"/>
    <w:rsid w:val="0075267D"/>
    <w:rsid w:val="00753126"/>
    <w:rsid w:val="007614A4"/>
    <w:rsid w:val="0076461C"/>
    <w:rsid w:val="00764E8B"/>
    <w:rsid w:val="00767E4B"/>
    <w:rsid w:val="007700EF"/>
    <w:rsid w:val="0077093A"/>
    <w:rsid w:val="00773ACB"/>
    <w:rsid w:val="007741C3"/>
    <w:rsid w:val="007744B7"/>
    <w:rsid w:val="00786D9D"/>
    <w:rsid w:val="007870EE"/>
    <w:rsid w:val="00792374"/>
    <w:rsid w:val="00797BC3"/>
    <w:rsid w:val="007A4BD4"/>
    <w:rsid w:val="007B068A"/>
    <w:rsid w:val="007B351A"/>
    <w:rsid w:val="007C541F"/>
    <w:rsid w:val="007E0684"/>
    <w:rsid w:val="007E2D31"/>
    <w:rsid w:val="007E6725"/>
    <w:rsid w:val="007E696A"/>
    <w:rsid w:val="007F448F"/>
    <w:rsid w:val="008007CC"/>
    <w:rsid w:val="00805C18"/>
    <w:rsid w:val="00805E05"/>
    <w:rsid w:val="008130A8"/>
    <w:rsid w:val="00830FBD"/>
    <w:rsid w:val="0083146A"/>
    <w:rsid w:val="008367C4"/>
    <w:rsid w:val="00836ED0"/>
    <w:rsid w:val="008402F7"/>
    <w:rsid w:val="00843AA9"/>
    <w:rsid w:val="00844750"/>
    <w:rsid w:val="008464EC"/>
    <w:rsid w:val="00851CB4"/>
    <w:rsid w:val="008544CD"/>
    <w:rsid w:val="00855290"/>
    <w:rsid w:val="00873F36"/>
    <w:rsid w:val="00875318"/>
    <w:rsid w:val="00877364"/>
    <w:rsid w:val="00892A95"/>
    <w:rsid w:val="008A3EB3"/>
    <w:rsid w:val="008B1519"/>
    <w:rsid w:val="008B350B"/>
    <w:rsid w:val="008B4426"/>
    <w:rsid w:val="008B6A9C"/>
    <w:rsid w:val="008D1032"/>
    <w:rsid w:val="008D504F"/>
    <w:rsid w:val="008D558C"/>
    <w:rsid w:val="008F2903"/>
    <w:rsid w:val="008F325E"/>
    <w:rsid w:val="008F4028"/>
    <w:rsid w:val="008F6346"/>
    <w:rsid w:val="008F70A6"/>
    <w:rsid w:val="009033AF"/>
    <w:rsid w:val="0090396E"/>
    <w:rsid w:val="00903BC6"/>
    <w:rsid w:val="00905D39"/>
    <w:rsid w:val="00914425"/>
    <w:rsid w:val="00915A7A"/>
    <w:rsid w:val="00916F6D"/>
    <w:rsid w:val="0092130E"/>
    <w:rsid w:val="0092499B"/>
    <w:rsid w:val="00925CDA"/>
    <w:rsid w:val="00931EFE"/>
    <w:rsid w:val="009321D2"/>
    <w:rsid w:val="00935D50"/>
    <w:rsid w:val="009368E3"/>
    <w:rsid w:val="00940D34"/>
    <w:rsid w:val="009424B4"/>
    <w:rsid w:val="009460FE"/>
    <w:rsid w:val="009611E5"/>
    <w:rsid w:val="00961380"/>
    <w:rsid w:val="00962BBE"/>
    <w:rsid w:val="009653AF"/>
    <w:rsid w:val="00977DAE"/>
    <w:rsid w:val="00984A78"/>
    <w:rsid w:val="009854F8"/>
    <w:rsid w:val="009A1925"/>
    <w:rsid w:val="009B370A"/>
    <w:rsid w:val="009C1C43"/>
    <w:rsid w:val="009C3890"/>
    <w:rsid w:val="009C7087"/>
    <w:rsid w:val="009C7824"/>
    <w:rsid w:val="009D178F"/>
    <w:rsid w:val="009E15B7"/>
    <w:rsid w:val="009E1EF6"/>
    <w:rsid w:val="009E595A"/>
    <w:rsid w:val="009E767C"/>
    <w:rsid w:val="009F01AD"/>
    <w:rsid w:val="009F3B4A"/>
    <w:rsid w:val="00A03B11"/>
    <w:rsid w:val="00A05F12"/>
    <w:rsid w:val="00A07D88"/>
    <w:rsid w:val="00A10347"/>
    <w:rsid w:val="00A2008B"/>
    <w:rsid w:val="00A26845"/>
    <w:rsid w:val="00A30180"/>
    <w:rsid w:val="00A31E36"/>
    <w:rsid w:val="00A3522F"/>
    <w:rsid w:val="00A401B4"/>
    <w:rsid w:val="00A45F06"/>
    <w:rsid w:val="00A472DD"/>
    <w:rsid w:val="00A477E5"/>
    <w:rsid w:val="00A555ED"/>
    <w:rsid w:val="00A64C31"/>
    <w:rsid w:val="00A654EC"/>
    <w:rsid w:val="00A71094"/>
    <w:rsid w:val="00A7543E"/>
    <w:rsid w:val="00A83F37"/>
    <w:rsid w:val="00A847B1"/>
    <w:rsid w:val="00A90898"/>
    <w:rsid w:val="00A91BEC"/>
    <w:rsid w:val="00AA5198"/>
    <w:rsid w:val="00AB082C"/>
    <w:rsid w:val="00AB7D36"/>
    <w:rsid w:val="00AC65A1"/>
    <w:rsid w:val="00AE7F12"/>
    <w:rsid w:val="00AF08BC"/>
    <w:rsid w:val="00AF0AF3"/>
    <w:rsid w:val="00AF66C8"/>
    <w:rsid w:val="00B01023"/>
    <w:rsid w:val="00B031F3"/>
    <w:rsid w:val="00B055B6"/>
    <w:rsid w:val="00B12EB0"/>
    <w:rsid w:val="00B14E8F"/>
    <w:rsid w:val="00B21AF6"/>
    <w:rsid w:val="00B2542D"/>
    <w:rsid w:val="00B26961"/>
    <w:rsid w:val="00B31D31"/>
    <w:rsid w:val="00B33074"/>
    <w:rsid w:val="00B553CA"/>
    <w:rsid w:val="00B6058F"/>
    <w:rsid w:val="00B60FC9"/>
    <w:rsid w:val="00B6590D"/>
    <w:rsid w:val="00B65B7C"/>
    <w:rsid w:val="00B71C72"/>
    <w:rsid w:val="00B83102"/>
    <w:rsid w:val="00B93682"/>
    <w:rsid w:val="00BA2E72"/>
    <w:rsid w:val="00BA37A6"/>
    <w:rsid w:val="00BA6C24"/>
    <w:rsid w:val="00BB1EC4"/>
    <w:rsid w:val="00BC3206"/>
    <w:rsid w:val="00BD1E25"/>
    <w:rsid w:val="00BD5C89"/>
    <w:rsid w:val="00BD64AD"/>
    <w:rsid w:val="00BF0116"/>
    <w:rsid w:val="00BF2AF0"/>
    <w:rsid w:val="00C02D93"/>
    <w:rsid w:val="00C118B2"/>
    <w:rsid w:val="00C16FFF"/>
    <w:rsid w:val="00C25C3A"/>
    <w:rsid w:val="00C27E20"/>
    <w:rsid w:val="00C360EF"/>
    <w:rsid w:val="00C377CF"/>
    <w:rsid w:val="00C4076B"/>
    <w:rsid w:val="00C42C28"/>
    <w:rsid w:val="00C57154"/>
    <w:rsid w:val="00C5761A"/>
    <w:rsid w:val="00C57798"/>
    <w:rsid w:val="00C6338F"/>
    <w:rsid w:val="00C664CE"/>
    <w:rsid w:val="00C71EC6"/>
    <w:rsid w:val="00C72668"/>
    <w:rsid w:val="00C766D7"/>
    <w:rsid w:val="00C76A0E"/>
    <w:rsid w:val="00C90964"/>
    <w:rsid w:val="00C9131A"/>
    <w:rsid w:val="00C91997"/>
    <w:rsid w:val="00C977D3"/>
    <w:rsid w:val="00CA3269"/>
    <w:rsid w:val="00CA391F"/>
    <w:rsid w:val="00CA473C"/>
    <w:rsid w:val="00CB3B03"/>
    <w:rsid w:val="00CB4E42"/>
    <w:rsid w:val="00CC12C1"/>
    <w:rsid w:val="00CC4D9A"/>
    <w:rsid w:val="00CE0BF8"/>
    <w:rsid w:val="00CE63D1"/>
    <w:rsid w:val="00CE71E2"/>
    <w:rsid w:val="00CE7F5C"/>
    <w:rsid w:val="00D005DE"/>
    <w:rsid w:val="00D11610"/>
    <w:rsid w:val="00D1243F"/>
    <w:rsid w:val="00D12A52"/>
    <w:rsid w:val="00D163C6"/>
    <w:rsid w:val="00D2151D"/>
    <w:rsid w:val="00D23898"/>
    <w:rsid w:val="00D27FCB"/>
    <w:rsid w:val="00D30894"/>
    <w:rsid w:val="00D3315C"/>
    <w:rsid w:val="00D7002F"/>
    <w:rsid w:val="00D72503"/>
    <w:rsid w:val="00D73AEA"/>
    <w:rsid w:val="00D774CF"/>
    <w:rsid w:val="00D86ACC"/>
    <w:rsid w:val="00D94AE3"/>
    <w:rsid w:val="00D9707A"/>
    <w:rsid w:val="00DA1D87"/>
    <w:rsid w:val="00DA3AB8"/>
    <w:rsid w:val="00DB0BEC"/>
    <w:rsid w:val="00DB5F01"/>
    <w:rsid w:val="00DC1408"/>
    <w:rsid w:val="00DC35FE"/>
    <w:rsid w:val="00DE1147"/>
    <w:rsid w:val="00E0129D"/>
    <w:rsid w:val="00E05DCD"/>
    <w:rsid w:val="00E078E9"/>
    <w:rsid w:val="00E16D9D"/>
    <w:rsid w:val="00E320C5"/>
    <w:rsid w:val="00E50508"/>
    <w:rsid w:val="00E528D9"/>
    <w:rsid w:val="00E656BD"/>
    <w:rsid w:val="00E67013"/>
    <w:rsid w:val="00E77F31"/>
    <w:rsid w:val="00E954DF"/>
    <w:rsid w:val="00EA0FD6"/>
    <w:rsid w:val="00EA4A73"/>
    <w:rsid w:val="00EC0E9C"/>
    <w:rsid w:val="00EC430C"/>
    <w:rsid w:val="00EC624D"/>
    <w:rsid w:val="00EC7531"/>
    <w:rsid w:val="00ED6506"/>
    <w:rsid w:val="00ED6FD5"/>
    <w:rsid w:val="00ED7848"/>
    <w:rsid w:val="00EE270C"/>
    <w:rsid w:val="00F078C1"/>
    <w:rsid w:val="00F15C63"/>
    <w:rsid w:val="00F32E4C"/>
    <w:rsid w:val="00F365C7"/>
    <w:rsid w:val="00F41E98"/>
    <w:rsid w:val="00F47F26"/>
    <w:rsid w:val="00F543AF"/>
    <w:rsid w:val="00F55837"/>
    <w:rsid w:val="00F5672D"/>
    <w:rsid w:val="00F76FCE"/>
    <w:rsid w:val="00F80531"/>
    <w:rsid w:val="00F846A1"/>
    <w:rsid w:val="00F9065B"/>
    <w:rsid w:val="00F94465"/>
    <w:rsid w:val="00F96688"/>
    <w:rsid w:val="00F97805"/>
    <w:rsid w:val="00FA3623"/>
    <w:rsid w:val="00FA7E6B"/>
    <w:rsid w:val="00FB130E"/>
    <w:rsid w:val="00FC01EA"/>
    <w:rsid w:val="00FC2ACC"/>
    <w:rsid w:val="00FC2E09"/>
    <w:rsid w:val="00FC4A73"/>
    <w:rsid w:val="00FC7992"/>
    <w:rsid w:val="00FD0C00"/>
    <w:rsid w:val="00FD1261"/>
    <w:rsid w:val="00FD4CF2"/>
    <w:rsid w:val="00FD7D10"/>
    <w:rsid w:val="00FE0F37"/>
    <w:rsid w:val="00FE2697"/>
    <w:rsid w:val="00FE2813"/>
    <w:rsid w:val="00FE317B"/>
    <w:rsid w:val="00FE56A4"/>
    <w:rsid w:val="00FF2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D34058"/>
  <w15:docId w15:val="{E1F18736-CAC6-4E62-B0DA-D59F236B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FCB"/>
    <w:pPr>
      <w:spacing w:after="200" w:line="276" w:lineRule="auto"/>
    </w:pPr>
    <w:rPr>
      <w:sz w:val="22"/>
      <w:szCs w:val="22"/>
      <w:lang w:eastAsia="en-US"/>
    </w:rPr>
  </w:style>
  <w:style w:type="paragraph" w:styleId="Heading1">
    <w:name w:val="heading 1"/>
    <w:basedOn w:val="Normal"/>
    <w:next w:val="Normal"/>
    <w:link w:val="Heading1Char"/>
    <w:qFormat/>
    <w:rsid w:val="0072196D"/>
    <w:pPr>
      <w:keepNext/>
      <w:spacing w:before="240" w:after="60"/>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4CD"/>
    <w:rPr>
      <w:sz w:val="22"/>
      <w:szCs w:val="22"/>
      <w:lang w:eastAsia="en-US"/>
    </w:rPr>
  </w:style>
  <w:style w:type="paragraph" w:styleId="ListParagraph">
    <w:name w:val="List Paragraph"/>
    <w:basedOn w:val="Normal"/>
    <w:link w:val="ListParagraphChar"/>
    <w:uiPriority w:val="34"/>
    <w:qFormat/>
    <w:rsid w:val="002C5061"/>
    <w:pPr>
      <w:ind w:left="720"/>
    </w:pPr>
  </w:style>
  <w:style w:type="paragraph" w:styleId="BalloonText">
    <w:name w:val="Balloon Text"/>
    <w:basedOn w:val="Normal"/>
    <w:semiHidden/>
    <w:rsid w:val="008402F7"/>
    <w:rPr>
      <w:rFonts w:ascii="Tahoma" w:hAnsi="Tahoma" w:cs="Tahoma"/>
      <w:sz w:val="16"/>
      <w:szCs w:val="16"/>
    </w:rPr>
  </w:style>
  <w:style w:type="paragraph" w:styleId="Header">
    <w:name w:val="header"/>
    <w:basedOn w:val="Normal"/>
    <w:rsid w:val="005E625F"/>
    <w:pPr>
      <w:tabs>
        <w:tab w:val="center" w:pos="4153"/>
        <w:tab w:val="right" w:pos="8306"/>
      </w:tabs>
    </w:pPr>
  </w:style>
  <w:style w:type="paragraph" w:styleId="Footer">
    <w:name w:val="footer"/>
    <w:basedOn w:val="Normal"/>
    <w:rsid w:val="005E625F"/>
    <w:pPr>
      <w:tabs>
        <w:tab w:val="center" w:pos="4153"/>
        <w:tab w:val="right" w:pos="8306"/>
      </w:tabs>
    </w:pPr>
  </w:style>
  <w:style w:type="character" w:styleId="PageNumber">
    <w:name w:val="page number"/>
    <w:basedOn w:val="DefaultParagraphFont"/>
    <w:rsid w:val="005E625F"/>
  </w:style>
  <w:style w:type="paragraph" w:customStyle="1" w:styleId="DeptBullets">
    <w:name w:val="DeptBullets"/>
    <w:basedOn w:val="Normal"/>
    <w:rsid w:val="00057C6A"/>
    <w:pPr>
      <w:numPr>
        <w:numId w:val="1"/>
      </w:numPr>
      <w:tabs>
        <w:tab w:val="clear" w:pos="720"/>
      </w:tabs>
      <w:overflowPunct w:val="0"/>
      <w:autoSpaceDE w:val="0"/>
      <w:autoSpaceDN w:val="0"/>
      <w:spacing w:after="240" w:line="240" w:lineRule="auto"/>
      <w:ind w:left="360"/>
    </w:pPr>
    <w:rPr>
      <w:rFonts w:ascii="Arial" w:hAnsi="Arial" w:cs="Arial"/>
      <w:sz w:val="24"/>
      <w:szCs w:val="24"/>
    </w:rPr>
  </w:style>
  <w:style w:type="table" w:styleId="TableGrid">
    <w:name w:val="Table Grid"/>
    <w:basedOn w:val="TableNormal"/>
    <w:uiPriority w:val="59"/>
    <w:rsid w:val="00FE5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E443D"/>
    <w:rPr>
      <w:sz w:val="20"/>
      <w:szCs w:val="20"/>
    </w:rPr>
  </w:style>
  <w:style w:type="character" w:customStyle="1" w:styleId="EndnoteTextChar">
    <w:name w:val="Endnote Text Char"/>
    <w:link w:val="EndnoteText"/>
    <w:uiPriority w:val="99"/>
    <w:semiHidden/>
    <w:rsid w:val="004E443D"/>
    <w:rPr>
      <w:lang w:eastAsia="en-US"/>
    </w:rPr>
  </w:style>
  <w:style w:type="character" w:styleId="EndnoteReference">
    <w:name w:val="endnote reference"/>
    <w:uiPriority w:val="99"/>
    <w:semiHidden/>
    <w:unhideWhenUsed/>
    <w:rsid w:val="004E443D"/>
    <w:rPr>
      <w:vertAlign w:val="superscript"/>
    </w:rPr>
  </w:style>
  <w:style w:type="paragraph" w:styleId="FootnoteText">
    <w:name w:val="footnote text"/>
    <w:basedOn w:val="Normal"/>
    <w:link w:val="FootnoteTextChar"/>
    <w:uiPriority w:val="99"/>
    <w:semiHidden/>
    <w:unhideWhenUsed/>
    <w:rsid w:val="004E443D"/>
    <w:rPr>
      <w:sz w:val="20"/>
      <w:szCs w:val="20"/>
    </w:rPr>
  </w:style>
  <w:style w:type="character" w:customStyle="1" w:styleId="FootnoteTextChar">
    <w:name w:val="Footnote Text Char"/>
    <w:link w:val="FootnoteText"/>
    <w:uiPriority w:val="99"/>
    <w:semiHidden/>
    <w:rsid w:val="004E443D"/>
    <w:rPr>
      <w:lang w:eastAsia="en-US"/>
    </w:rPr>
  </w:style>
  <w:style w:type="character" w:styleId="FootnoteReference">
    <w:name w:val="footnote reference"/>
    <w:uiPriority w:val="99"/>
    <w:semiHidden/>
    <w:unhideWhenUsed/>
    <w:rsid w:val="004E443D"/>
    <w:rPr>
      <w:vertAlign w:val="superscript"/>
    </w:rPr>
  </w:style>
  <w:style w:type="character" w:styleId="Hyperlink">
    <w:name w:val="Hyperlink"/>
    <w:uiPriority w:val="99"/>
    <w:semiHidden/>
    <w:unhideWhenUsed/>
    <w:rsid w:val="00A30180"/>
    <w:rPr>
      <w:color w:val="0000FF"/>
      <w:u w:val="single"/>
    </w:rPr>
  </w:style>
  <w:style w:type="paragraph" w:styleId="NormalWeb">
    <w:name w:val="Normal (Web)"/>
    <w:basedOn w:val="Normal"/>
    <w:uiPriority w:val="99"/>
    <w:semiHidden/>
    <w:unhideWhenUsed/>
    <w:rsid w:val="00A30180"/>
    <w:pPr>
      <w:spacing w:before="100" w:beforeAutospacing="1" w:after="100" w:afterAutospacing="1" w:line="240" w:lineRule="auto"/>
    </w:pPr>
    <w:rPr>
      <w:rFonts w:ascii="Times New Roman" w:hAnsi="Times New Roman"/>
      <w:sz w:val="24"/>
      <w:szCs w:val="24"/>
      <w:lang w:eastAsia="en-GB"/>
    </w:rPr>
  </w:style>
  <w:style w:type="character" w:customStyle="1" w:styleId="Heading1Char">
    <w:name w:val="Heading 1 Char"/>
    <w:basedOn w:val="DefaultParagraphFont"/>
    <w:link w:val="Heading1"/>
    <w:rsid w:val="0072196D"/>
    <w:rPr>
      <w:rFonts w:eastAsia="Times New Roman"/>
      <w:b/>
      <w:bCs/>
      <w:kern w:val="32"/>
      <w:sz w:val="32"/>
      <w:szCs w:val="32"/>
      <w:lang w:eastAsia="en-US"/>
    </w:rPr>
  </w:style>
  <w:style w:type="paragraph" w:customStyle="1" w:styleId="FinPlanLvl1Para">
    <w:name w:val="Fin Plan Lvl 1 Para"/>
    <w:basedOn w:val="Normal"/>
    <w:link w:val="FinPlanLvl1ParaChar"/>
    <w:qFormat/>
    <w:rsid w:val="0072196D"/>
    <w:pPr>
      <w:numPr>
        <w:numId w:val="2"/>
      </w:numPr>
      <w:spacing w:after="0" w:line="240" w:lineRule="auto"/>
      <w:outlineLvl w:val="1"/>
    </w:pPr>
    <w:rPr>
      <w:rFonts w:ascii="Arial" w:hAnsi="Arial"/>
      <w:b/>
      <w:sz w:val="24"/>
      <w:szCs w:val="24"/>
    </w:rPr>
  </w:style>
  <w:style w:type="paragraph" w:customStyle="1" w:styleId="FinPlanLvl2Para">
    <w:name w:val="Fin Plan Lvl 2 Para"/>
    <w:basedOn w:val="Normal"/>
    <w:link w:val="FinPlanLvl2ParaChar"/>
    <w:qFormat/>
    <w:rsid w:val="0072196D"/>
    <w:pPr>
      <w:numPr>
        <w:ilvl w:val="1"/>
        <w:numId w:val="2"/>
      </w:numPr>
      <w:spacing w:after="0" w:line="240" w:lineRule="auto"/>
    </w:pPr>
    <w:rPr>
      <w:rFonts w:ascii="Arial" w:hAnsi="Arial"/>
      <w:sz w:val="24"/>
      <w:szCs w:val="24"/>
    </w:rPr>
  </w:style>
  <w:style w:type="character" w:customStyle="1" w:styleId="FinPlanLvl2ParaChar">
    <w:name w:val="Fin Plan Lvl 2 Para Char"/>
    <w:basedOn w:val="DefaultParagraphFont"/>
    <w:link w:val="FinPlanLvl2Para"/>
    <w:rsid w:val="0072196D"/>
    <w:rPr>
      <w:rFonts w:ascii="Arial" w:hAnsi="Arial"/>
      <w:sz w:val="24"/>
      <w:szCs w:val="24"/>
      <w:lang w:eastAsia="en-US"/>
    </w:rPr>
  </w:style>
  <w:style w:type="paragraph" w:customStyle="1" w:styleId="FinPlanBlankLine">
    <w:name w:val="Fin Plan Blank Line"/>
    <w:basedOn w:val="Normal"/>
    <w:link w:val="FinPlanBlankLineChar"/>
    <w:qFormat/>
    <w:rsid w:val="0072196D"/>
    <w:pPr>
      <w:spacing w:after="0" w:line="240" w:lineRule="auto"/>
    </w:pPr>
    <w:rPr>
      <w:rFonts w:ascii="Arial" w:hAnsi="Arial"/>
      <w:bCs/>
      <w:iCs/>
      <w:sz w:val="24"/>
      <w:szCs w:val="26"/>
    </w:rPr>
  </w:style>
  <w:style w:type="character" w:customStyle="1" w:styleId="FinPlanBlankLineChar">
    <w:name w:val="Fin Plan Blank Line Char"/>
    <w:basedOn w:val="DefaultParagraphFont"/>
    <w:link w:val="FinPlanBlankLine"/>
    <w:rsid w:val="0072196D"/>
    <w:rPr>
      <w:rFonts w:ascii="Arial" w:hAnsi="Arial"/>
      <w:bCs/>
      <w:iCs/>
      <w:sz w:val="24"/>
      <w:szCs w:val="26"/>
      <w:lang w:eastAsia="en-US"/>
    </w:rPr>
  </w:style>
  <w:style w:type="paragraph" w:customStyle="1" w:styleId="FinPlanLvl3Para">
    <w:name w:val="Fin Plan Lvl 3 Para"/>
    <w:basedOn w:val="FinPlanLvl2Para"/>
    <w:qFormat/>
    <w:rsid w:val="0072196D"/>
    <w:pPr>
      <w:numPr>
        <w:ilvl w:val="2"/>
      </w:numPr>
      <w:ind w:left="794" w:hanging="794"/>
    </w:pPr>
  </w:style>
  <w:style w:type="character" w:customStyle="1" w:styleId="ListParagraphChar">
    <w:name w:val="List Paragraph Char"/>
    <w:basedOn w:val="DefaultParagraphFont"/>
    <w:link w:val="ListParagraph"/>
    <w:uiPriority w:val="34"/>
    <w:rsid w:val="00167716"/>
    <w:rPr>
      <w:sz w:val="22"/>
      <w:szCs w:val="22"/>
      <w:lang w:eastAsia="en-US"/>
    </w:rPr>
  </w:style>
  <w:style w:type="paragraph" w:customStyle="1" w:styleId="FinPlanBullet">
    <w:name w:val="Fin Plan Bullet"/>
    <w:basedOn w:val="Normal"/>
    <w:link w:val="FinPlanBulletChar"/>
    <w:qFormat/>
    <w:rsid w:val="00010ECA"/>
    <w:pPr>
      <w:numPr>
        <w:ilvl w:val="2"/>
        <w:numId w:val="3"/>
      </w:numPr>
      <w:autoSpaceDE w:val="0"/>
      <w:autoSpaceDN w:val="0"/>
      <w:adjustRightInd w:val="0"/>
      <w:spacing w:after="120" w:line="240" w:lineRule="auto"/>
      <w:ind w:left="1304" w:hanging="340"/>
    </w:pPr>
    <w:rPr>
      <w:rFonts w:ascii="Arial" w:eastAsia="Times New Roman" w:hAnsi="Arial" w:cs="Arial"/>
      <w:color w:val="000000"/>
      <w:sz w:val="24"/>
      <w:szCs w:val="24"/>
      <w:lang w:eastAsia="en-GB"/>
    </w:rPr>
  </w:style>
  <w:style w:type="character" w:customStyle="1" w:styleId="FinPlanBulletChar">
    <w:name w:val="Fin Plan Bullet Char"/>
    <w:basedOn w:val="DefaultParagraphFont"/>
    <w:link w:val="FinPlanBullet"/>
    <w:rsid w:val="00010ECA"/>
    <w:rPr>
      <w:rFonts w:ascii="Arial" w:eastAsia="Times New Roman" w:hAnsi="Arial" w:cs="Arial"/>
      <w:color w:val="000000"/>
      <w:sz w:val="24"/>
      <w:szCs w:val="24"/>
    </w:rPr>
  </w:style>
  <w:style w:type="character" w:customStyle="1" w:styleId="FinPlanLvl1ParaChar">
    <w:name w:val="Fin Plan Lvl 1 Para Char"/>
    <w:basedOn w:val="DefaultParagraphFont"/>
    <w:link w:val="FinPlanLvl1Para"/>
    <w:rsid w:val="005124FF"/>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9469">
      <w:bodyDiv w:val="1"/>
      <w:marLeft w:val="0"/>
      <w:marRight w:val="0"/>
      <w:marTop w:val="0"/>
      <w:marBottom w:val="0"/>
      <w:divBdr>
        <w:top w:val="none" w:sz="0" w:space="0" w:color="auto"/>
        <w:left w:val="none" w:sz="0" w:space="0" w:color="auto"/>
        <w:bottom w:val="none" w:sz="0" w:space="0" w:color="auto"/>
        <w:right w:val="none" w:sz="0" w:space="0" w:color="auto"/>
      </w:divBdr>
    </w:div>
    <w:div w:id="86775791">
      <w:bodyDiv w:val="1"/>
      <w:marLeft w:val="0"/>
      <w:marRight w:val="0"/>
      <w:marTop w:val="0"/>
      <w:marBottom w:val="0"/>
      <w:divBdr>
        <w:top w:val="none" w:sz="0" w:space="0" w:color="auto"/>
        <w:left w:val="none" w:sz="0" w:space="0" w:color="auto"/>
        <w:bottom w:val="none" w:sz="0" w:space="0" w:color="auto"/>
        <w:right w:val="none" w:sz="0" w:space="0" w:color="auto"/>
      </w:divBdr>
    </w:div>
    <w:div w:id="110782030">
      <w:bodyDiv w:val="1"/>
      <w:marLeft w:val="0"/>
      <w:marRight w:val="0"/>
      <w:marTop w:val="0"/>
      <w:marBottom w:val="0"/>
      <w:divBdr>
        <w:top w:val="none" w:sz="0" w:space="0" w:color="auto"/>
        <w:left w:val="none" w:sz="0" w:space="0" w:color="auto"/>
        <w:bottom w:val="none" w:sz="0" w:space="0" w:color="auto"/>
        <w:right w:val="none" w:sz="0" w:space="0" w:color="auto"/>
      </w:divBdr>
    </w:div>
    <w:div w:id="206113213">
      <w:bodyDiv w:val="1"/>
      <w:marLeft w:val="0"/>
      <w:marRight w:val="0"/>
      <w:marTop w:val="0"/>
      <w:marBottom w:val="0"/>
      <w:divBdr>
        <w:top w:val="none" w:sz="0" w:space="0" w:color="auto"/>
        <w:left w:val="none" w:sz="0" w:space="0" w:color="auto"/>
        <w:bottom w:val="none" w:sz="0" w:space="0" w:color="auto"/>
        <w:right w:val="none" w:sz="0" w:space="0" w:color="auto"/>
      </w:divBdr>
    </w:div>
    <w:div w:id="414859511">
      <w:bodyDiv w:val="1"/>
      <w:marLeft w:val="0"/>
      <w:marRight w:val="0"/>
      <w:marTop w:val="0"/>
      <w:marBottom w:val="0"/>
      <w:divBdr>
        <w:top w:val="none" w:sz="0" w:space="0" w:color="auto"/>
        <w:left w:val="none" w:sz="0" w:space="0" w:color="auto"/>
        <w:bottom w:val="none" w:sz="0" w:space="0" w:color="auto"/>
        <w:right w:val="none" w:sz="0" w:space="0" w:color="auto"/>
      </w:divBdr>
    </w:div>
    <w:div w:id="439643824">
      <w:bodyDiv w:val="1"/>
      <w:marLeft w:val="0"/>
      <w:marRight w:val="0"/>
      <w:marTop w:val="0"/>
      <w:marBottom w:val="0"/>
      <w:divBdr>
        <w:top w:val="none" w:sz="0" w:space="0" w:color="auto"/>
        <w:left w:val="none" w:sz="0" w:space="0" w:color="auto"/>
        <w:bottom w:val="none" w:sz="0" w:space="0" w:color="auto"/>
        <w:right w:val="none" w:sz="0" w:space="0" w:color="auto"/>
      </w:divBdr>
    </w:div>
    <w:div w:id="486937420">
      <w:bodyDiv w:val="1"/>
      <w:marLeft w:val="0"/>
      <w:marRight w:val="0"/>
      <w:marTop w:val="0"/>
      <w:marBottom w:val="0"/>
      <w:divBdr>
        <w:top w:val="none" w:sz="0" w:space="0" w:color="auto"/>
        <w:left w:val="none" w:sz="0" w:space="0" w:color="auto"/>
        <w:bottom w:val="none" w:sz="0" w:space="0" w:color="auto"/>
        <w:right w:val="none" w:sz="0" w:space="0" w:color="auto"/>
      </w:divBdr>
    </w:div>
    <w:div w:id="513303556">
      <w:bodyDiv w:val="1"/>
      <w:marLeft w:val="0"/>
      <w:marRight w:val="0"/>
      <w:marTop w:val="0"/>
      <w:marBottom w:val="0"/>
      <w:divBdr>
        <w:top w:val="none" w:sz="0" w:space="0" w:color="auto"/>
        <w:left w:val="none" w:sz="0" w:space="0" w:color="auto"/>
        <w:bottom w:val="none" w:sz="0" w:space="0" w:color="auto"/>
        <w:right w:val="none" w:sz="0" w:space="0" w:color="auto"/>
      </w:divBdr>
    </w:div>
    <w:div w:id="614555924">
      <w:bodyDiv w:val="1"/>
      <w:marLeft w:val="0"/>
      <w:marRight w:val="0"/>
      <w:marTop w:val="0"/>
      <w:marBottom w:val="0"/>
      <w:divBdr>
        <w:top w:val="none" w:sz="0" w:space="0" w:color="auto"/>
        <w:left w:val="none" w:sz="0" w:space="0" w:color="auto"/>
        <w:bottom w:val="none" w:sz="0" w:space="0" w:color="auto"/>
        <w:right w:val="none" w:sz="0" w:space="0" w:color="auto"/>
      </w:divBdr>
    </w:div>
    <w:div w:id="703866960">
      <w:bodyDiv w:val="1"/>
      <w:marLeft w:val="0"/>
      <w:marRight w:val="0"/>
      <w:marTop w:val="0"/>
      <w:marBottom w:val="0"/>
      <w:divBdr>
        <w:top w:val="none" w:sz="0" w:space="0" w:color="auto"/>
        <w:left w:val="none" w:sz="0" w:space="0" w:color="auto"/>
        <w:bottom w:val="none" w:sz="0" w:space="0" w:color="auto"/>
        <w:right w:val="none" w:sz="0" w:space="0" w:color="auto"/>
      </w:divBdr>
    </w:div>
    <w:div w:id="884101287">
      <w:bodyDiv w:val="1"/>
      <w:marLeft w:val="0"/>
      <w:marRight w:val="0"/>
      <w:marTop w:val="0"/>
      <w:marBottom w:val="0"/>
      <w:divBdr>
        <w:top w:val="none" w:sz="0" w:space="0" w:color="auto"/>
        <w:left w:val="none" w:sz="0" w:space="0" w:color="auto"/>
        <w:bottom w:val="none" w:sz="0" w:space="0" w:color="auto"/>
        <w:right w:val="none" w:sz="0" w:space="0" w:color="auto"/>
      </w:divBdr>
    </w:div>
    <w:div w:id="911743342">
      <w:bodyDiv w:val="1"/>
      <w:marLeft w:val="0"/>
      <w:marRight w:val="0"/>
      <w:marTop w:val="0"/>
      <w:marBottom w:val="0"/>
      <w:divBdr>
        <w:top w:val="none" w:sz="0" w:space="0" w:color="auto"/>
        <w:left w:val="none" w:sz="0" w:space="0" w:color="auto"/>
        <w:bottom w:val="none" w:sz="0" w:space="0" w:color="auto"/>
        <w:right w:val="none" w:sz="0" w:space="0" w:color="auto"/>
      </w:divBdr>
    </w:div>
    <w:div w:id="1080100107">
      <w:bodyDiv w:val="1"/>
      <w:marLeft w:val="0"/>
      <w:marRight w:val="0"/>
      <w:marTop w:val="0"/>
      <w:marBottom w:val="0"/>
      <w:divBdr>
        <w:top w:val="none" w:sz="0" w:space="0" w:color="auto"/>
        <w:left w:val="none" w:sz="0" w:space="0" w:color="auto"/>
        <w:bottom w:val="none" w:sz="0" w:space="0" w:color="auto"/>
        <w:right w:val="none" w:sz="0" w:space="0" w:color="auto"/>
      </w:divBdr>
    </w:div>
    <w:div w:id="1190293460">
      <w:bodyDiv w:val="1"/>
      <w:marLeft w:val="0"/>
      <w:marRight w:val="0"/>
      <w:marTop w:val="0"/>
      <w:marBottom w:val="0"/>
      <w:divBdr>
        <w:top w:val="none" w:sz="0" w:space="0" w:color="auto"/>
        <w:left w:val="none" w:sz="0" w:space="0" w:color="auto"/>
        <w:bottom w:val="none" w:sz="0" w:space="0" w:color="auto"/>
        <w:right w:val="none" w:sz="0" w:space="0" w:color="auto"/>
      </w:divBdr>
    </w:div>
    <w:div w:id="1270359059">
      <w:bodyDiv w:val="1"/>
      <w:marLeft w:val="0"/>
      <w:marRight w:val="0"/>
      <w:marTop w:val="0"/>
      <w:marBottom w:val="0"/>
      <w:divBdr>
        <w:top w:val="none" w:sz="0" w:space="0" w:color="auto"/>
        <w:left w:val="none" w:sz="0" w:space="0" w:color="auto"/>
        <w:bottom w:val="none" w:sz="0" w:space="0" w:color="auto"/>
        <w:right w:val="none" w:sz="0" w:space="0" w:color="auto"/>
      </w:divBdr>
    </w:div>
    <w:div w:id="1482848578">
      <w:bodyDiv w:val="1"/>
      <w:marLeft w:val="0"/>
      <w:marRight w:val="0"/>
      <w:marTop w:val="0"/>
      <w:marBottom w:val="0"/>
      <w:divBdr>
        <w:top w:val="none" w:sz="0" w:space="0" w:color="auto"/>
        <w:left w:val="none" w:sz="0" w:space="0" w:color="auto"/>
        <w:bottom w:val="none" w:sz="0" w:space="0" w:color="auto"/>
        <w:right w:val="none" w:sz="0" w:space="0" w:color="auto"/>
      </w:divBdr>
    </w:div>
    <w:div w:id="1564482633">
      <w:bodyDiv w:val="1"/>
      <w:marLeft w:val="0"/>
      <w:marRight w:val="0"/>
      <w:marTop w:val="0"/>
      <w:marBottom w:val="0"/>
      <w:divBdr>
        <w:top w:val="none" w:sz="0" w:space="0" w:color="auto"/>
        <w:left w:val="none" w:sz="0" w:space="0" w:color="auto"/>
        <w:bottom w:val="none" w:sz="0" w:space="0" w:color="auto"/>
        <w:right w:val="none" w:sz="0" w:space="0" w:color="auto"/>
      </w:divBdr>
    </w:div>
    <w:div w:id="1574656975">
      <w:bodyDiv w:val="1"/>
      <w:marLeft w:val="0"/>
      <w:marRight w:val="0"/>
      <w:marTop w:val="0"/>
      <w:marBottom w:val="0"/>
      <w:divBdr>
        <w:top w:val="none" w:sz="0" w:space="0" w:color="auto"/>
        <w:left w:val="none" w:sz="0" w:space="0" w:color="auto"/>
        <w:bottom w:val="none" w:sz="0" w:space="0" w:color="auto"/>
        <w:right w:val="none" w:sz="0" w:space="0" w:color="auto"/>
      </w:divBdr>
    </w:div>
    <w:div w:id="1640694880">
      <w:bodyDiv w:val="1"/>
      <w:marLeft w:val="0"/>
      <w:marRight w:val="0"/>
      <w:marTop w:val="0"/>
      <w:marBottom w:val="0"/>
      <w:divBdr>
        <w:top w:val="none" w:sz="0" w:space="0" w:color="auto"/>
        <w:left w:val="none" w:sz="0" w:space="0" w:color="auto"/>
        <w:bottom w:val="none" w:sz="0" w:space="0" w:color="auto"/>
        <w:right w:val="none" w:sz="0" w:space="0" w:color="auto"/>
      </w:divBdr>
    </w:div>
    <w:div w:id="1729913588">
      <w:bodyDiv w:val="1"/>
      <w:marLeft w:val="0"/>
      <w:marRight w:val="0"/>
      <w:marTop w:val="0"/>
      <w:marBottom w:val="0"/>
      <w:divBdr>
        <w:top w:val="none" w:sz="0" w:space="0" w:color="auto"/>
        <w:left w:val="none" w:sz="0" w:space="0" w:color="auto"/>
        <w:bottom w:val="none" w:sz="0" w:space="0" w:color="auto"/>
        <w:right w:val="none" w:sz="0" w:space="0" w:color="auto"/>
      </w:divBdr>
    </w:div>
    <w:div w:id="1798992003">
      <w:bodyDiv w:val="1"/>
      <w:marLeft w:val="0"/>
      <w:marRight w:val="0"/>
      <w:marTop w:val="0"/>
      <w:marBottom w:val="0"/>
      <w:divBdr>
        <w:top w:val="none" w:sz="0" w:space="0" w:color="auto"/>
        <w:left w:val="none" w:sz="0" w:space="0" w:color="auto"/>
        <w:bottom w:val="none" w:sz="0" w:space="0" w:color="auto"/>
        <w:right w:val="none" w:sz="0" w:space="0" w:color="auto"/>
      </w:divBdr>
    </w:div>
    <w:div w:id="1803423807">
      <w:bodyDiv w:val="1"/>
      <w:marLeft w:val="0"/>
      <w:marRight w:val="0"/>
      <w:marTop w:val="0"/>
      <w:marBottom w:val="0"/>
      <w:divBdr>
        <w:top w:val="none" w:sz="0" w:space="0" w:color="auto"/>
        <w:left w:val="none" w:sz="0" w:space="0" w:color="auto"/>
        <w:bottom w:val="none" w:sz="0" w:space="0" w:color="auto"/>
        <w:right w:val="none" w:sz="0" w:space="0" w:color="auto"/>
      </w:divBdr>
    </w:div>
    <w:div w:id="19194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B86CE-166A-493E-95D7-6D983B09E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641</Words>
  <Characters>3519</Characters>
  <Application>Microsoft Office Word</Application>
  <DocSecurity>0</DocSecurity>
  <Lines>121</Lines>
  <Paragraphs>69</Paragraphs>
  <ScaleCrop>false</ScaleCrop>
  <HeadingPairs>
    <vt:vector size="2" baseType="variant">
      <vt:variant>
        <vt:lpstr>Title</vt:lpstr>
      </vt:variant>
      <vt:variant>
        <vt:i4>1</vt:i4>
      </vt:variant>
    </vt:vector>
  </HeadingPairs>
  <TitlesOfParts>
    <vt:vector size="1" baseType="lpstr">
      <vt:lpstr> </vt:lpstr>
    </vt:vector>
  </TitlesOfParts>
  <Company>Service Birmingham</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Financial Strategy – Projected Dedicated Schools Grant (DSG) Block Reserves Forecast over the Medium Term</dc:title>
  <dc:subject/>
  <dc:creator>Diane Lewis</dc:creator>
  <cp:keywords/>
  <dc:description/>
  <cp:lastModifiedBy>John M Hunt</cp:lastModifiedBy>
  <cp:revision>5</cp:revision>
  <cp:lastPrinted>2014-04-30T13:04:00Z</cp:lastPrinted>
  <dcterms:created xsi:type="dcterms:W3CDTF">2023-03-08T23:48:00Z</dcterms:created>
  <dcterms:modified xsi:type="dcterms:W3CDTF">2023-03-13T14:22:00Z</dcterms:modified>
</cp:coreProperties>
</file>