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006F" w14:textId="77777777" w:rsidR="004753F4" w:rsidRDefault="008544CD" w:rsidP="00FE0F37">
      <w:r>
        <w:object w:dxaOrig="11970" w:dyaOrig="1815" w14:anchorId="4F62E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C Logo" style="width:414pt;height:63pt" o:ole="">
            <v:imagedata r:id="rId8" o:title=""/>
          </v:shape>
          <o:OLEObject Type="Embed" ProgID="Imaging.Document" ShapeID="_x0000_i1025" DrawAspect="Content" ObjectID="_1740222301" r:id="rId9"/>
        </w:object>
      </w:r>
    </w:p>
    <w:p w14:paraId="302954E7" w14:textId="77777777" w:rsidR="008544CD" w:rsidRDefault="008544CD" w:rsidP="008544CD">
      <w:pPr>
        <w:pStyle w:val="NoSpacing"/>
      </w:pPr>
    </w:p>
    <w:p w14:paraId="3CAAECB3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044758A6" w14:textId="23BC57A4" w:rsidR="008544CD" w:rsidRPr="00036814" w:rsidRDefault="008544CD" w:rsidP="00CD520D">
      <w:pPr>
        <w:pStyle w:val="Heading1"/>
        <w:rPr>
          <w:rFonts w:ascii="Arial" w:hAnsi="Arial" w:cs="Arial"/>
          <w:b/>
          <w:bCs/>
          <w:sz w:val="22"/>
          <w:szCs w:val="22"/>
        </w:rPr>
      </w:pPr>
      <w:r w:rsidRPr="00036814">
        <w:rPr>
          <w:rFonts w:ascii="Arial" w:hAnsi="Arial" w:cs="Arial"/>
          <w:b/>
          <w:bCs/>
          <w:color w:val="auto"/>
          <w:sz w:val="22"/>
          <w:szCs w:val="22"/>
        </w:rPr>
        <w:t>Report to:</w:t>
      </w:r>
      <w:r w:rsidRPr="0003681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D2F60" w:rsidRPr="00036814">
        <w:rPr>
          <w:rFonts w:ascii="Arial" w:hAnsi="Arial" w:cs="Arial"/>
          <w:b/>
          <w:bCs/>
          <w:color w:val="auto"/>
          <w:sz w:val="22"/>
          <w:szCs w:val="22"/>
        </w:rPr>
        <w:t xml:space="preserve">Schools Forum </w:t>
      </w:r>
    </w:p>
    <w:p w14:paraId="40208A5B" w14:textId="77777777" w:rsidR="00F32E4C" w:rsidRPr="00B33074" w:rsidRDefault="00F32E4C" w:rsidP="008544CD">
      <w:pPr>
        <w:pStyle w:val="NoSpacing"/>
        <w:rPr>
          <w:rFonts w:ascii="Arial" w:hAnsi="Arial" w:cs="Arial"/>
          <w:b/>
        </w:rPr>
      </w:pPr>
    </w:p>
    <w:p w14:paraId="3B68ABC9" w14:textId="079D5DF7" w:rsidR="008544CD" w:rsidRPr="00B33074" w:rsidRDefault="007614A4" w:rsidP="008544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="008D516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2F60">
        <w:rPr>
          <w:rFonts w:ascii="Arial" w:hAnsi="Arial" w:cs="Arial"/>
          <w:b/>
        </w:rPr>
        <w:t>16</w:t>
      </w:r>
      <w:r w:rsidR="00F55F60" w:rsidRPr="00F55F60">
        <w:rPr>
          <w:rFonts w:ascii="Arial" w:hAnsi="Arial" w:cs="Arial"/>
          <w:b/>
          <w:vertAlign w:val="superscript"/>
        </w:rPr>
        <w:t>th</w:t>
      </w:r>
      <w:r w:rsidR="00F55F60">
        <w:rPr>
          <w:rFonts w:ascii="Arial" w:hAnsi="Arial" w:cs="Arial"/>
          <w:b/>
        </w:rPr>
        <w:t xml:space="preserve"> March</w:t>
      </w:r>
      <w:r>
        <w:rPr>
          <w:rFonts w:ascii="Arial" w:hAnsi="Arial" w:cs="Arial"/>
          <w:b/>
        </w:rPr>
        <w:t xml:space="preserve"> 202</w:t>
      </w:r>
      <w:r w:rsidR="00AD2F6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EC624D" w:rsidRPr="00B33074">
        <w:rPr>
          <w:rFonts w:ascii="Arial" w:hAnsi="Arial" w:cs="Arial"/>
          <w:b/>
        </w:rPr>
        <w:tab/>
      </w:r>
    </w:p>
    <w:p w14:paraId="399318FC" w14:textId="77777777" w:rsidR="008544CD" w:rsidRPr="00B33074" w:rsidRDefault="008544CD" w:rsidP="008544CD">
      <w:pPr>
        <w:pStyle w:val="NoSpacing"/>
        <w:rPr>
          <w:rFonts w:ascii="Arial" w:hAnsi="Arial" w:cs="Arial"/>
          <w:b/>
        </w:rPr>
      </w:pPr>
    </w:p>
    <w:p w14:paraId="5B3242A7" w14:textId="3BCC8D74" w:rsidR="008544CD" w:rsidRDefault="008544CD" w:rsidP="007E696A">
      <w:pPr>
        <w:pStyle w:val="NoSpacing"/>
        <w:ind w:left="1440" w:hanging="1440"/>
        <w:rPr>
          <w:rFonts w:ascii="Arial" w:hAnsi="Arial" w:cs="Arial"/>
          <w:b/>
        </w:rPr>
      </w:pPr>
      <w:r w:rsidRPr="00B33074">
        <w:rPr>
          <w:rFonts w:ascii="Arial" w:hAnsi="Arial" w:cs="Arial"/>
          <w:b/>
        </w:rPr>
        <w:t>Report of:</w:t>
      </w:r>
      <w:r w:rsidRPr="00B33074">
        <w:rPr>
          <w:rFonts w:ascii="Arial" w:hAnsi="Arial" w:cs="Arial"/>
          <w:b/>
        </w:rPr>
        <w:tab/>
      </w:r>
      <w:r w:rsidR="009F01AD">
        <w:rPr>
          <w:rFonts w:ascii="Arial" w:hAnsi="Arial" w:cs="Arial"/>
          <w:b/>
        </w:rPr>
        <w:t>J</w:t>
      </w:r>
      <w:r w:rsidR="00F55F60">
        <w:rPr>
          <w:rFonts w:ascii="Arial" w:hAnsi="Arial" w:cs="Arial"/>
          <w:b/>
        </w:rPr>
        <w:t xml:space="preserve">ulie Beattie (Finance Manager) </w:t>
      </w:r>
      <w:r w:rsidR="00F22C7F">
        <w:rPr>
          <w:rFonts w:ascii="Arial" w:hAnsi="Arial" w:cs="Arial"/>
          <w:b/>
        </w:rPr>
        <w:t>and</w:t>
      </w:r>
      <w:r w:rsidR="00F55F60">
        <w:rPr>
          <w:rFonts w:ascii="Arial" w:hAnsi="Arial" w:cs="Arial"/>
          <w:b/>
        </w:rPr>
        <w:t xml:space="preserve"> </w:t>
      </w:r>
      <w:r w:rsidR="00AD2F60">
        <w:rPr>
          <w:rFonts w:ascii="Arial" w:hAnsi="Arial" w:cs="Arial"/>
          <w:b/>
        </w:rPr>
        <w:t>Helen Ellis</w:t>
      </w:r>
      <w:r w:rsidR="00F55F60">
        <w:rPr>
          <w:rFonts w:ascii="Arial" w:hAnsi="Arial" w:cs="Arial"/>
          <w:b/>
        </w:rPr>
        <w:t xml:space="preserve"> (D</w:t>
      </w:r>
      <w:r w:rsidR="00AD2F60">
        <w:rPr>
          <w:rFonts w:ascii="Arial" w:hAnsi="Arial" w:cs="Arial"/>
          <w:b/>
        </w:rPr>
        <w:t>irector</w:t>
      </w:r>
      <w:r w:rsidR="008D516B">
        <w:rPr>
          <w:rFonts w:ascii="Arial" w:hAnsi="Arial" w:cs="Arial"/>
          <w:b/>
        </w:rPr>
        <w:t xml:space="preserve"> SEND &amp; Inclusion</w:t>
      </w:r>
      <w:r w:rsidR="00F55F60">
        <w:rPr>
          <w:rFonts w:ascii="Arial" w:hAnsi="Arial" w:cs="Arial"/>
          <w:b/>
        </w:rPr>
        <w:t>)</w:t>
      </w:r>
    </w:p>
    <w:p w14:paraId="3233E8F8" w14:textId="77777777" w:rsidR="00EA4A73" w:rsidRPr="00B33074" w:rsidRDefault="00EA4A73" w:rsidP="007E696A">
      <w:pPr>
        <w:pStyle w:val="NoSpacing"/>
        <w:ind w:left="1440" w:hanging="1440"/>
        <w:rPr>
          <w:rFonts w:ascii="Arial" w:hAnsi="Arial" w:cs="Arial"/>
          <w:b/>
        </w:rPr>
      </w:pPr>
    </w:p>
    <w:p w14:paraId="0C7D45F1" w14:textId="6458A01D" w:rsidR="0061434E" w:rsidRDefault="00EC624D" w:rsidP="007614A4">
      <w:pPr>
        <w:pStyle w:val="NoSpacing"/>
        <w:ind w:left="1395" w:hanging="1395"/>
        <w:rPr>
          <w:rFonts w:ascii="Arial" w:hAnsi="Arial" w:cs="Arial"/>
          <w:b/>
        </w:rPr>
      </w:pPr>
      <w:r w:rsidRPr="00B33074">
        <w:rPr>
          <w:rFonts w:ascii="Arial" w:hAnsi="Arial" w:cs="Arial"/>
          <w:b/>
        </w:rPr>
        <w:t>Title:</w:t>
      </w:r>
      <w:r w:rsidRPr="00B33074">
        <w:rPr>
          <w:rFonts w:ascii="Arial" w:hAnsi="Arial" w:cs="Arial"/>
          <w:b/>
        </w:rPr>
        <w:tab/>
      </w:r>
      <w:r w:rsidR="008D516B">
        <w:rPr>
          <w:rFonts w:ascii="Arial" w:hAnsi="Arial" w:cs="Arial"/>
          <w:b/>
        </w:rPr>
        <w:tab/>
      </w:r>
      <w:r w:rsidR="007E1E48">
        <w:rPr>
          <w:rFonts w:ascii="Arial" w:hAnsi="Arial" w:cs="Arial"/>
          <w:b/>
        </w:rPr>
        <w:t>Propos</w:t>
      </w:r>
      <w:r w:rsidR="00F55F60">
        <w:rPr>
          <w:rFonts w:ascii="Arial" w:hAnsi="Arial" w:cs="Arial"/>
          <w:b/>
        </w:rPr>
        <w:t>e</w:t>
      </w:r>
      <w:r w:rsidR="007E1E48">
        <w:rPr>
          <w:rFonts w:ascii="Arial" w:hAnsi="Arial" w:cs="Arial"/>
          <w:b/>
        </w:rPr>
        <w:t xml:space="preserve">d High Needs Block </w:t>
      </w:r>
      <w:r w:rsidR="00AD2F60">
        <w:rPr>
          <w:rFonts w:ascii="Arial" w:hAnsi="Arial" w:cs="Arial"/>
          <w:b/>
        </w:rPr>
        <w:t>2023</w:t>
      </w:r>
      <w:r w:rsidR="007E1E48">
        <w:rPr>
          <w:rFonts w:ascii="Arial" w:hAnsi="Arial" w:cs="Arial"/>
          <w:b/>
        </w:rPr>
        <w:t>-2</w:t>
      </w:r>
      <w:r w:rsidR="00AD2F60">
        <w:rPr>
          <w:rFonts w:ascii="Arial" w:hAnsi="Arial" w:cs="Arial"/>
          <w:b/>
        </w:rPr>
        <w:t>4</w:t>
      </w:r>
    </w:p>
    <w:p w14:paraId="3CF0EBD8" w14:textId="77777777" w:rsidR="0061434E" w:rsidRDefault="0061434E" w:rsidP="008544CD">
      <w:pPr>
        <w:pStyle w:val="NoSpacing"/>
        <w:rPr>
          <w:rFonts w:ascii="Arial" w:hAnsi="Arial" w:cs="Arial"/>
          <w:b/>
        </w:rPr>
      </w:pPr>
    </w:p>
    <w:p w14:paraId="01948747" w14:textId="65D69576" w:rsidR="008544CD" w:rsidRPr="00B33074" w:rsidRDefault="0061434E" w:rsidP="008544C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Status</w:t>
      </w:r>
      <w:r w:rsidR="008D516B">
        <w:rPr>
          <w:rFonts w:ascii="Arial" w:hAnsi="Arial" w:cs="Arial"/>
          <w:b/>
        </w:rPr>
        <w:t>:</w:t>
      </w:r>
      <w:r w:rsidR="008D51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For </w:t>
      </w:r>
      <w:r w:rsidR="00AD2F60">
        <w:rPr>
          <w:rFonts w:ascii="Arial" w:hAnsi="Arial" w:cs="Arial"/>
          <w:b/>
        </w:rPr>
        <w:t>noting</w:t>
      </w:r>
    </w:p>
    <w:p w14:paraId="3A165F0C" w14:textId="77777777" w:rsidR="008544CD" w:rsidRPr="006C52BF" w:rsidRDefault="008544CD" w:rsidP="008544CD">
      <w:pPr>
        <w:pStyle w:val="NoSpacing"/>
        <w:rPr>
          <w:rFonts w:cs="Calibri"/>
          <w:sz w:val="24"/>
          <w:szCs w:val="24"/>
        </w:rPr>
      </w:pPr>
    </w:p>
    <w:p w14:paraId="0749284E" w14:textId="77777777" w:rsidR="00F32E4C" w:rsidRDefault="00F32E4C" w:rsidP="00F32E4C">
      <w:pPr>
        <w:pStyle w:val="NoSpacing"/>
        <w:jc w:val="both"/>
        <w:rPr>
          <w:rFonts w:cs="Calibri"/>
          <w:b/>
          <w:sz w:val="24"/>
          <w:szCs w:val="24"/>
        </w:rPr>
      </w:pPr>
    </w:p>
    <w:p w14:paraId="1C9BE838" w14:textId="77777777" w:rsidR="007614A4" w:rsidRPr="00485DA7" w:rsidRDefault="007614A4" w:rsidP="00F32E4C">
      <w:pPr>
        <w:pStyle w:val="NoSpacing"/>
        <w:jc w:val="both"/>
        <w:rPr>
          <w:rFonts w:cs="Calibri"/>
          <w:b/>
          <w:sz w:val="24"/>
          <w:szCs w:val="24"/>
        </w:rPr>
      </w:pPr>
      <w:r w:rsidRPr="00485DA7">
        <w:rPr>
          <w:rFonts w:cs="Calibri"/>
          <w:b/>
          <w:sz w:val="24"/>
          <w:szCs w:val="24"/>
        </w:rPr>
        <w:t>Purpose</w:t>
      </w:r>
    </w:p>
    <w:p w14:paraId="24286272" w14:textId="77777777" w:rsidR="007614A4" w:rsidRPr="00485DA7" w:rsidRDefault="007614A4" w:rsidP="00F32E4C">
      <w:pPr>
        <w:pStyle w:val="NoSpacing"/>
        <w:jc w:val="both"/>
        <w:rPr>
          <w:rFonts w:cs="Calibri"/>
          <w:b/>
          <w:sz w:val="24"/>
          <w:szCs w:val="24"/>
        </w:rPr>
      </w:pPr>
    </w:p>
    <w:p w14:paraId="3C55686F" w14:textId="77777777" w:rsidR="007E1E48" w:rsidRPr="00485DA7" w:rsidRDefault="00485DA7" w:rsidP="007E1E48">
      <w:pPr>
        <w:pStyle w:val="NoSpacing"/>
        <w:rPr>
          <w:sz w:val="24"/>
          <w:szCs w:val="24"/>
        </w:rPr>
      </w:pPr>
      <w:r w:rsidRPr="00485DA7">
        <w:rPr>
          <w:sz w:val="24"/>
          <w:szCs w:val="24"/>
        </w:rPr>
        <w:t>L</w:t>
      </w:r>
      <w:r w:rsidR="007E1E48" w:rsidRPr="00485DA7">
        <w:rPr>
          <w:sz w:val="24"/>
          <w:szCs w:val="24"/>
        </w:rPr>
        <w:t>ocal authorities make decisions about the</w:t>
      </w:r>
      <w:r w:rsidRPr="00485DA7">
        <w:rPr>
          <w:sz w:val="24"/>
          <w:szCs w:val="24"/>
        </w:rPr>
        <w:t xml:space="preserve"> </w:t>
      </w:r>
      <w:r w:rsidR="007E1E48" w:rsidRPr="00485DA7">
        <w:rPr>
          <w:sz w:val="24"/>
          <w:szCs w:val="24"/>
        </w:rPr>
        <w:t>delegation of funds to schools, which for primary and secondary schools is on the basis</w:t>
      </w:r>
      <w:r w:rsidRPr="00485DA7">
        <w:rPr>
          <w:sz w:val="24"/>
          <w:szCs w:val="24"/>
        </w:rPr>
        <w:t xml:space="preserve"> </w:t>
      </w:r>
      <w:r w:rsidR="007E1E48" w:rsidRPr="00485DA7">
        <w:rPr>
          <w:sz w:val="24"/>
          <w:szCs w:val="24"/>
        </w:rPr>
        <w:t>of a local formula, and on the spending of funds held centrally, most of which is used for</w:t>
      </w:r>
      <w:r w:rsidRPr="00485DA7">
        <w:rPr>
          <w:sz w:val="24"/>
          <w:szCs w:val="24"/>
        </w:rPr>
        <w:t xml:space="preserve"> </w:t>
      </w:r>
      <w:r w:rsidR="007E1E48" w:rsidRPr="00485DA7">
        <w:rPr>
          <w:sz w:val="24"/>
          <w:szCs w:val="24"/>
        </w:rPr>
        <w:t>making high needs provision</w:t>
      </w:r>
      <w:r w:rsidRPr="00485DA7">
        <w:rPr>
          <w:sz w:val="24"/>
          <w:szCs w:val="24"/>
        </w:rPr>
        <w:t xml:space="preserve">, in consultation with their Schools Forums. </w:t>
      </w:r>
    </w:p>
    <w:p w14:paraId="33944CEE" w14:textId="77777777" w:rsidR="00485DA7" w:rsidRPr="00485DA7" w:rsidRDefault="00485DA7" w:rsidP="007E1E48">
      <w:pPr>
        <w:pStyle w:val="NoSpacing"/>
        <w:rPr>
          <w:sz w:val="24"/>
          <w:szCs w:val="24"/>
        </w:rPr>
      </w:pPr>
    </w:p>
    <w:p w14:paraId="5B5821CC" w14:textId="2C3F7F55" w:rsidR="00485DA7" w:rsidRPr="00485DA7" w:rsidRDefault="00485DA7" w:rsidP="007E1E48">
      <w:pPr>
        <w:pStyle w:val="NoSpacing"/>
        <w:rPr>
          <w:sz w:val="24"/>
          <w:szCs w:val="24"/>
        </w:rPr>
      </w:pPr>
      <w:r w:rsidRPr="00485DA7">
        <w:rPr>
          <w:sz w:val="24"/>
          <w:szCs w:val="24"/>
        </w:rPr>
        <w:t>Therefore, it is important to note that this paper is for consultation. The use of the High Needs Block is ultimately a matter for the Local Authority although, of course, in practice spend is best utilised when it is collaboration with other stakeholders.</w:t>
      </w:r>
    </w:p>
    <w:p w14:paraId="5F15790E" w14:textId="77777777" w:rsidR="00485DA7" w:rsidRPr="00485DA7" w:rsidRDefault="00485DA7" w:rsidP="007E1E48">
      <w:pPr>
        <w:pStyle w:val="NoSpacing"/>
        <w:rPr>
          <w:sz w:val="24"/>
          <w:szCs w:val="24"/>
        </w:rPr>
      </w:pPr>
    </w:p>
    <w:p w14:paraId="55D20825" w14:textId="77777777" w:rsidR="007E1E48" w:rsidRPr="00485DA7" w:rsidRDefault="00485DA7" w:rsidP="007E1E48">
      <w:pPr>
        <w:pStyle w:val="NoSpacing"/>
        <w:rPr>
          <w:sz w:val="24"/>
          <w:szCs w:val="24"/>
        </w:rPr>
      </w:pPr>
      <w:r w:rsidRPr="00485DA7">
        <w:rPr>
          <w:sz w:val="24"/>
          <w:szCs w:val="24"/>
        </w:rPr>
        <w:t>It should also be acknowledged that i</w:t>
      </w:r>
      <w:r w:rsidR="007E1E48" w:rsidRPr="00485DA7">
        <w:rPr>
          <w:sz w:val="24"/>
          <w:szCs w:val="24"/>
        </w:rPr>
        <w:t>nstitutions receive high needs funding in different ways</w:t>
      </w:r>
      <w:r w:rsidRPr="00485DA7">
        <w:rPr>
          <w:sz w:val="24"/>
          <w:szCs w:val="24"/>
        </w:rPr>
        <w:t xml:space="preserve"> and the High Needs Block covers a wide variety of institutions</w:t>
      </w:r>
      <w:r w:rsidR="007E1E48" w:rsidRPr="00485DA7">
        <w:rPr>
          <w:sz w:val="24"/>
          <w:szCs w:val="24"/>
        </w:rPr>
        <w:t>:</w:t>
      </w:r>
    </w:p>
    <w:p w14:paraId="758F4928" w14:textId="77777777" w:rsidR="00485DA7" w:rsidRPr="00485DA7" w:rsidRDefault="00485DA7" w:rsidP="007E1E48">
      <w:pPr>
        <w:pStyle w:val="NoSpacing"/>
        <w:rPr>
          <w:sz w:val="24"/>
          <w:szCs w:val="24"/>
        </w:rPr>
      </w:pPr>
    </w:p>
    <w:p w14:paraId="14F67BF2" w14:textId="77777777" w:rsidR="007E1E48" w:rsidRPr="00485DA7" w:rsidRDefault="007E1E48" w:rsidP="00485DA7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485DA7">
        <w:rPr>
          <w:sz w:val="24"/>
          <w:szCs w:val="24"/>
        </w:rPr>
        <w:t>core funding: the annual allocation an institution receives either directly from the</w:t>
      </w:r>
      <w:r w:rsidR="00485DA7">
        <w:rPr>
          <w:sz w:val="24"/>
          <w:szCs w:val="24"/>
        </w:rPr>
        <w:t xml:space="preserve"> p</w:t>
      </w:r>
      <w:r w:rsidRPr="00485DA7">
        <w:rPr>
          <w:sz w:val="24"/>
          <w:szCs w:val="24"/>
        </w:rPr>
        <w:t>rovider local authority (for maintained schools and PRUs, based on the financial</w:t>
      </w:r>
      <w:r w:rsid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year), or from ESFA (for academies, free schools, colleges, independent learning</w:t>
      </w:r>
      <w:r w:rsid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providers (ILPs), non-maintained special schools and special post-16 institutions,</w:t>
      </w:r>
      <w:r w:rsid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based on the academic year)</w:t>
      </w:r>
    </w:p>
    <w:p w14:paraId="4EFDA27E" w14:textId="77777777" w:rsidR="007E1E48" w:rsidRPr="00485DA7" w:rsidRDefault="007E1E48" w:rsidP="00485DA7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485DA7">
        <w:rPr>
          <w:sz w:val="24"/>
          <w:szCs w:val="24"/>
        </w:rPr>
        <w:t>top-up funding: the funding required, over and above the core funding, to enable a</w:t>
      </w:r>
      <w:r w:rsid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pupil or student with high needs to participate in education and training</w:t>
      </w:r>
      <w:r w:rsidR="00485DA7" w:rsidRPr="00485DA7">
        <w:rPr>
          <w:sz w:val="24"/>
          <w:szCs w:val="24"/>
        </w:rPr>
        <w:t xml:space="preserve"> (in a variety of </w:t>
      </w:r>
      <w:r w:rsidR="00485DA7">
        <w:rPr>
          <w:sz w:val="24"/>
          <w:szCs w:val="24"/>
        </w:rPr>
        <w:t>i</w:t>
      </w:r>
      <w:r w:rsidR="00485DA7" w:rsidRPr="00485DA7">
        <w:rPr>
          <w:sz w:val="24"/>
          <w:szCs w:val="24"/>
        </w:rPr>
        <w:t xml:space="preserve">nstitutions) </w:t>
      </w:r>
    </w:p>
    <w:p w14:paraId="734FA2B9" w14:textId="77777777" w:rsidR="007E1E48" w:rsidRPr="00485DA7" w:rsidRDefault="007E1E48" w:rsidP="00485DA7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485DA7">
        <w:rPr>
          <w:sz w:val="24"/>
          <w:szCs w:val="24"/>
        </w:rPr>
        <w:t>funding under a service level agreement: where a service relating to SEND or AP</w:t>
      </w:r>
      <w:r w:rsidR="00485DA7" w:rsidRP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has been commissioned by a local authority and is delivered by an institution, the</w:t>
      </w:r>
      <w:r w:rsidR="00485DA7">
        <w:rPr>
          <w:sz w:val="24"/>
          <w:szCs w:val="24"/>
        </w:rPr>
        <w:t xml:space="preserve"> </w:t>
      </w:r>
      <w:r w:rsidRPr="00485DA7">
        <w:rPr>
          <w:sz w:val="24"/>
          <w:szCs w:val="24"/>
        </w:rPr>
        <w:t>local authority can pay for that service from its high needs budget</w:t>
      </w:r>
    </w:p>
    <w:p w14:paraId="51228313" w14:textId="77777777" w:rsidR="007E1E48" w:rsidRDefault="007E1E48" w:rsidP="007E1E48">
      <w:pPr>
        <w:pStyle w:val="NoSpacing"/>
        <w:rPr>
          <w:sz w:val="24"/>
          <w:szCs w:val="24"/>
        </w:rPr>
      </w:pPr>
    </w:p>
    <w:p w14:paraId="6738A379" w14:textId="5D8B1F09" w:rsidR="003D349D" w:rsidRDefault="003D349D" w:rsidP="007E1E48">
      <w:pPr>
        <w:pStyle w:val="NoSpacing"/>
        <w:rPr>
          <w:b/>
          <w:sz w:val="24"/>
          <w:szCs w:val="24"/>
        </w:rPr>
      </w:pPr>
    </w:p>
    <w:p w14:paraId="3D32730A" w14:textId="53741E26" w:rsidR="00C500EC" w:rsidRDefault="00C500EC" w:rsidP="007E1E48">
      <w:pPr>
        <w:pStyle w:val="NoSpacing"/>
        <w:rPr>
          <w:b/>
          <w:sz w:val="24"/>
          <w:szCs w:val="24"/>
        </w:rPr>
      </w:pPr>
    </w:p>
    <w:p w14:paraId="28B577A4" w14:textId="54BB8E44" w:rsidR="00C500EC" w:rsidRDefault="00C500EC" w:rsidP="007E1E48">
      <w:pPr>
        <w:pStyle w:val="NoSpacing"/>
        <w:rPr>
          <w:b/>
          <w:sz w:val="24"/>
          <w:szCs w:val="24"/>
        </w:rPr>
      </w:pPr>
    </w:p>
    <w:p w14:paraId="3A4DAFAE" w14:textId="77777777" w:rsidR="00C500EC" w:rsidRDefault="00C500EC" w:rsidP="007E1E48">
      <w:pPr>
        <w:pStyle w:val="NoSpacing"/>
        <w:rPr>
          <w:b/>
          <w:sz w:val="24"/>
          <w:szCs w:val="24"/>
        </w:rPr>
      </w:pPr>
    </w:p>
    <w:p w14:paraId="340B5116" w14:textId="0787E009" w:rsidR="00485DA7" w:rsidRDefault="00485DA7" w:rsidP="007E1E48">
      <w:pPr>
        <w:pStyle w:val="NoSpacing"/>
        <w:rPr>
          <w:b/>
          <w:sz w:val="24"/>
          <w:szCs w:val="24"/>
        </w:rPr>
      </w:pPr>
      <w:r w:rsidRPr="00485DA7">
        <w:rPr>
          <w:b/>
          <w:sz w:val="24"/>
          <w:szCs w:val="24"/>
        </w:rPr>
        <w:lastRenderedPageBreak/>
        <w:t>Proposal</w:t>
      </w:r>
    </w:p>
    <w:p w14:paraId="02AA6256" w14:textId="77777777" w:rsidR="00C500EC" w:rsidRPr="00485DA7" w:rsidRDefault="00C500EC" w:rsidP="007E1E48">
      <w:pPr>
        <w:pStyle w:val="NoSpacing"/>
        <w:rPr>
          <w:b/>
          <w:sz w:val="24"/>
          <w:szCs w:val="24"/>
        </w:rPr>
      </w:pPr>
    </w:p>
    <w:p w14:paraId="7AF93876" w14:textId="77777777" w:rsidR="00D1247F" w:rsidRDefault="003D349D" w:rsidP="00D1247F">
      <w:pPr>
        <w:pStyle w:val="NoSpacing"/>
        <w:rPr>
          <w:sz w:val="24"/>
          <w:szCs w:val="24"/>
        </w:rPr>
      </w:pPr>
      <w:r w:rsidRPr="003D349D">
        <w:rPr>
          <w:sz w:val="24"/>
          <w:szCs w:val="24"/>
        </w:rPr>
        <w:t>The 202</w:t>
      </w:r>
      <w:r w:rsidR="00AD2F60">
        <w:rPr>
          <w:sz w:val="24"/>
          <w:szCs w:val="24"/>
        </w:rPr>
        <w:t>3</w:t>
      </w:r>
      <w:r w:rsidRPr="003D349D">
        <w:rPr>
          <w:sz w:val="24"/>
          <w:szCs w:val="24"/>
        </w:rPr>
        <w:t>/2</w:t>
      </w:r>
      <w:r w:rsidR="00AD2F60">
        <w:rPr>
          <w:sz w:val="24"/>
          <w:szCs w:val="24"/>
        </w:rPr>
        <w:t>4</w:t>
      </w:r>
      <w:r w:rsidRPr="003D349D">
        <w:rPr>
          <w:sz w:val="24"/>
          <w:szCs w:val="24"/>
        </w:rPr>
        <w:t xml:space="preserve"> High Needs allocation is £</w:t>
      </w:r>
      <w:r w:rsidR="00AD2F60">
        <w:rPr>
          <w:sz w:val="24"/>
          <w:szCs w:val="24"/>
        </w:rPr>
        <w:t>270.9</w:t>
      </w:r>
      <w:r w:rsidRPr="003D349D">
        <w:rPr>
          <w:sz w:val="24"/>
          <w:szCs w:val="24"/>
        </w:rPr>
        <w:t>m before recoupment and £2</w:t>
      </w:r>
      <w:r w:rsidR="00AD2F60">
        <w:rPr>
          <w:sz w:val="24"/>
          <w:szCs w:val="24"/>
        </w:rPr>
        <w:t>37.6</w:t>
      </w:r>
      <w:r w:rsidRPr="003D349D">
        <w:rPr>
          <w:sz w:val="24"/>
          <w:szCs w:val="24"/>
        </w:rPr>
        <w:t>m after recoupment</w:t>
      </w:r>
      <w:r>
        <w:rPr>
          <w:sz w:val="24"/>
          <w:szCs w:val="24"/>
        </w:rPr>
        <w:t>.  This is an i</w:t>
      </w:r>
      <w:r w:rsidRPr="003D349D">
        <w:rPr>
          <w:sz w:val="24"/>
          <w:szCs w:val="24"/>
        </w:rPr>
        <w:t>ncrease of £2</w:t>
      </w:r>
      <w:r w:rsidR="00AD2F60">
        <w:rPr>
          <w:sz w:val="24"/>
          <w:szCs w:val="24"/>
        </w:rPr>
        <w:t>7.</w:t>
      </w:r>
      <w:r w:rsidR="00D1247F">
        <w:rPr>
          <w:sz w:val="24"/>
          <w:szCs w:val="24"/>
        </w:rPr>
        <w:t>4</w:t>
      </w:r>
      <w:r w:rsidRPr="003D349D">
        <w:rPr>
          <w:sz w:val="24"/>
          <w:szCs w:val="24"/>
        </w:rPr>
        <w:t>m gross or £</w:t>
      </w:r>
      <w:r w:rsidR="00AD2F60">
        <w:rPr>
          <w:sz w:val="24"/>
          <w:szCs w:val="24"/>
        </w:rPr>
        <w:t>2</w:t>
      </w:r>
      <w:r w:rsidR="00D1247F">
        <w:rPr>
          <w:sz w:val="24"/>
          <w:szCs w:val="24"/>
        </w:rPr>
        <w:t>6</w:t>
      </w:r>
      <w:r w:rsidRPr="003D349D">
        <w:rPr>
          <w:sz w:val="24"/>
          <w:szCs w:val="24"/>
        </w:rPr>
        <w:t>.</w:t>
      </w:r>
      <w:r w:rsidR="00D1247F">
        <w:rPr>
          <w:sz w:val="24"/>
          <w:szCs w:val="24"/>
        </w:rPr>
        <w:t>9</w:t>
      </w:r>
      <w:r w:rsidRPr="003D349D">
        <w:rPr>
          <w:sz w:val="24"/>
          <w:szCs w:val="24"/>
        </w:rPr>
        <w:t>m net</w:t>
      </w:r>
      <w:r w:rsidR="00AD2F60">
        <w:rPr>
          <w:sz w:val="24"/>
          <w:szCs w:val="24"/>
        </w:rPr>
        <w:t xml:space="preserve"> from the </w:t>
      </w:r>
      <w:r w:rsidR="00D1247F">
        <w:rPr>
          <w:sz w:val="24"/>
          <w:szCs w:val="24"/>
        </w:rPr>
        <w:t>position notified by DfE at the same period in 2022/23</w:t>
      </w:r>
      <w:r w:rsidR="00AD2F60">
        <w:rPr>
          <w:sz w:val="24"/>
          <w:szCs w:val="24"/>
        </w:rPr>
        <w:t>.</w:t>
      </w:r>
      <w:r w:rsidR="00D1247F">
        <w:rPr>
          <w:sz w:val="24"/>
          <w:szCs w:val="24"/>
        </w:rPr>
        <w:t xml:space="preserve">  </w:t>
      </w:r>
    </w:p>
    <w:p w14:paraId="560EDC7A" w14:textId="77777777" w:rsidR="00D1247F" w:rsidRDefault="00D1247F" w:rsidP="00D1247F">
      <w:pPr>
        <w:pStyle w:val="NoSpacing"/>
        <w:rPr>
          <w:sz w:val="24"/>
          <w:szCs w:val="24"/>
        </w:rPr>
      </w:pPr>
    </w:p>
    <w:p w14:paraId="23A886E0" w14:textId="77777777" w:rsidR="00D1247F" w:rsidRDefault="00D1247F" w:rsidP="00D1247F">
      <w:pPr>
        <w:pStyle w:val="NoSpacing"/>
        <w:rPr>
          <w:sz w:val="24"/>
          <w:szCs w:val="24"/>
        </w:rPr>
      </w:pPr>
      <w:r w:rsidRPr="00D1247F">
        <w:rPr>
          <w:sz w:val="24"/>
          <w:szCs w:val="24"/>
        </w:rPr>
        <w:t>The figure includes an additional allocation of £10.8m provided in 2023/24 – compared to £8.7m in 2022/23</w:t>
      </w:r>
      <w:r>
        <w:rPr>
          <w:sz w:val="24"/>
          <w:szCs w:val="24"/>
        </w:rPr>
        <w:t>.</w:t>
      </w:r>
    </w:p>
    <w:p w14:paraId="3DCC2170" w14:textId="6C2D6989" w:rsidR="00D1247F" w:rsidRDefault="00D1247F" w:rsidP="00D1247F">
      <w:pPr>
        <w:pStyle w:val="NoSpacing"/>
        <w:rPr>
          <w:sz w:val="24"/>
          <w:szCs w:val="24"/>
        </w:rPr>
      </w:pPr>
    </w:p>
    <w:tbl>
      <w:tblPr>
        <w:tblW w:w="9120" w:type="dxa"/>
        <w:tblLook w:val="0400" w:firstRow="0" w:lastRow="0" w:firstColumn="0" w:lastColumn="0" w:noHBand="0" w:noVBand="1"/>
        <w:tblCaption w:val="DSG budget"/>
        <w:tblDescription w:val="DSG budget"/>
      </w:tblPr>
      <w:tblGrid>
        <w:gridCol w:w="3088"/>
        <w:gridCol w:w="1500"/>
        <w:gridCol w:w="1500"/>
        <w:gridCol w:w="1500"/>
        <w:gridCol w:w="1496"/>
        <w:gridCol w:w="222"/>
      </w:tblGrid>
      <w:tr w:rsidR="00D1247F" w:rsidRPr="00D1247F" w14:paraId="10AFE537" w14:textId="77777777" w:rsidTr="00BD5ED6">
        <w:trPr>
          <w:gridAfter w:val="1"/>
          <w:wAfter w:w="36" w:type="dxa"/>
          <w:trHeight w:val="610"/>
        </w:trPr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3BADF431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DSG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1B7DBFD7" w14:textId="77777777" w:rsidR="00D1247F" w:rsidRPr="00D1247F" w:rsidRDefault="00D1247F" w:rsidP="009C7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2022/23 DSG Allocation at Dec 21 £m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42354BE2" w14:textId="77777777" w:rsidR="00D1247F" w:rsidRPr="00D1247F" w:rsidRDefault="00D1247F" w:rsidP="009C7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2022/23 DSG Allocation at Nov 22 £m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11AD0076" w14:textId="77777777" w:rsidR="00D1247F" w:rsidRPr="00D1247F" w:rsidRDefault="00D1247F" w:rsidP="009C7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2023/24 DSG Allocation at Dec 22 £m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34F75CCD" w14:textId="77777777" w:rsidR="00D1247F" w:rsidRPr="00D1247F" w:rsidRDefault="00D1247F" w:rsidP="009C7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Changes From Dec 21 to Dec 22 £m</w:t>
            </w:r>
          </w:p>
        </w:tc>
      </w:tr>
      <w:tr w:rsidR="00D1247F" w:rsidRPr="00D1247F" w14:paraId="465770E1" w14:textId="77777777" w:rsidTr="00BD5ED6">
        <w:trPr>
          <w:trHeight w:val="610"/>
        </w:trPr>
        <w:tc>
          <w:tcPr>
            <w:tcW w:w="3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9200F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4FB850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5EBF3D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DB4965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9B9768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A51" w14:textId="77777777" w:rsidR="00D1247F" w:rsidRPr="00D1247F" w:rsidRDefault="00D1247F" w:rsidP="009C7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1247F" w:rsidRPr="00D1247F" w14:paraId="59A1E8BF" w14:textId="77777777" w:rsidTr="00BD5ED6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3E35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Needs Block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4242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234.723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B100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234.552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0A5E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260.090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88EC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25.367 </w:t>
            </w:r>
          </w:p>
        </w:tc>
        <w:tc>
          <w:tcPr>
            <w:tcW w:w="36" w:type="dxa"/>
            <w:vAlign w:val="center"/>
            <w:hideMark/>
          </w:tcPr>
          <w:p w14:paraId="2089983C" w14:textId="77777777" w:rsidR="00D1247F" w:rsidRPr="00D1247F" w:rsidRDefault="00D1247F" w:rsidP="009C7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1247F" w:rsidRPr="00D1247F" w14:paraId="76C72FAF" w14:textId="77777777" w:rsidTr="00BD5ED6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D502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Supplementary/Additional Funding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7D9A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8.730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488D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8.730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0744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10.804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7E78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2.074 </w:t>
            </w:r>
          </w:p>
        </w:tc>
        <w:tc>
          <w:tcPr>
            <w:tcW w:w="36" w:type="dxa"/>
            <w:vAlign w:val="center"/>
            <w:hideMark/>
          </w:tcPr>
          <w:p w14:paraId="15F86F01" w14:textId="77777777" w:rsidR="00D1247F" w:rsidRPr="00D1247F" w:rsidRDefault="00D1247F" w:rsidP="009C7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1247F" w:rsidRPr="00D1247F" w14:paraId="0DF0DF20" w14:textId="77777777" w:rsidTr="00BD5ED6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7D40DD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DSG Before Recoupment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2E3487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243.453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A1FB81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243.282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3A633F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270.894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FE4A7D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27.441 </w:t>
            </w:r>
          </w:p>
        </w:tc>
        <w:tc>
          <w:tcPr>
            <w:tcW w:w="36" w:type="dxa"/>
            <w:vAlign w:val="center"/>
            <w:hideMark/>
          </w:tcPr>
          <w:p w14:paraId="7E7C9F1C" w14:textId="77777777" w:rsidR="00D1247F" w:rsidRPr="00D1247F" w:rsidRDefault="00D1247F" w:rsidP="009C7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1247F" w:rsidRPr="00D1247F" w14:paraId="58A87F2A" w14:textId="77777777" w:rsidTr="00BD5ED6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C7C1B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Needs Recoupment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FB77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(32.823)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CE30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(33.124)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C5A1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(33.339)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8230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(0.516)</w:t>
            </w:r>
          </w:p>
        </w:tc>
        <w:tc>
          <w:tcPr>
            <w:tcW w:w="36" w:type="dxa"/>
            <w:vAlign w:val="center"/>
            <w:hideMark/>
          </w:tcPr>
          <w:p w14:paraId="16EB36F8" w14:textId="77777777" w:rsidR="00D1247F" w:rsidRPr="00D1247F" w:rsidRDefault="00D1247F" w:rsidP="009C7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1247F" w:rsidRPr="00D1247F" w14:paraId="5D8F76C6" w14:textId="77777777" w:rsidTr="00BD5ED6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3235B81" w14:textId="77777777" w:rsidR="00D1247F" w:rsidRPr="00D1247F" w:rsidRDefault="00D1247F" w:rsidP="009C7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DSG After Recoupment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7A3743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210.630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6BF30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210.158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01509A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237.555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7E1EAE" w14:textId="77777777" w:rsidR="00D1247F" w:rsidRPr="00D1247F" w:rsidRDefault="00D1247F" w:rsidP="009C7B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2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26.925 </w:t>
            </w:r>
          </w:p>
        </w:tc>
        <w:tc>
          <w:tcPr>
            <w:tcW w:w="36" w:type="dxa"/>
            <w:vAlign w:val="center"/>
            <w:hideMark/>
          </w:tcPr>
          <w:p w14:paraId="576BCC75" w14:textId="77777777" w:rsidR="00D1247F" w:rsidRPr="00D1247F" w:rsidRDefault="00D1247F" w:rsidP="009C7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536A03C" w14:textId="77777777" w:rsidR="00D1247F" w:rsidRDefault="00D1247F" w:rsidP="00D1247F">
      <w:pPr>
        <w:pStyle w:val="NoSpacing"/>
        <w:rPr>
          <w:sz w:val="24"/>
          <w:szCs w:val="24"/>
        </w:rPr>
      </w:pPr>
    </w:p>
    <w:p w14:paraId="538F369B" w14:textId="384397C9" w:rsidR="00D1247F" w:rsidRDefault="00D1247F" w:rsidP="00D1247F">
      <w:pPr>
        <w:pStyle w:val="NoSpacing"/>
        <w:rPr>
          <w:sz w:val="24"/>
          <w:szCs w:val="24"/>
        </w:rPr>
      </w:pPr>
      <w:r w:rsidRPr="00D1247F">
        <w:rPr>
          <w:sz w:val="24"/>
          <w:szCs w:val="24"/>
        </w:rPr>
        <w:t>Additional grant conditions have been added for 2023/24</w:t>
      </w:r>
      <w:r>
        <w:rPr>
          <w:sz w:val="24"/>
          <w:szCs w:val="24"/>
        </w:rPr>
        <w:t xml:space="preserve"> and a </w:t>
      </w:r>
      <w:r w:rsidRPr="00D1247F">
        <w:rPr>
          <w:sz w:val="24"/>
          <w:szCs w:val="24"/>
        </w:rPr>
        <w:t>Minimum Funding Guarantee introduced</w:t>
      </w:r>
      <w:r w:rsidR="00666BE2">
        <w:rPr>
          <w:sz w:val="24"/>
          <w:szCs w:val="24"/>
        </w:rPr>
        <w:t>.</w:t>
      </w:r>
    </w:p>
    <w:p w14:paraId="2366C295" w14:textId="77777777" w:rsidR="00D1247F" w:rsidRPr="00D1247F" w:rsidRDefault="00D1247F" w:rsidP="00D1247F">
      <w:pPr>
        <w:pStyle w:val="NoSpacing"/>
        <w:rPr>
          <w:sz w:val="24"/>
          <w:szCs w:val="24"/>
        </w:rPr>
      </w:pPr>
    </w:p>
    <w:p w14:paraId="382EA81C" w14:textId="77777777" w:rsidR="00D1247F" w:rsidRPr="00D1247F" w:rsidRDefault="00D1247F" w:rsidP="00666BE2">
      <w:pPr>
        <w:pStyle w:val="NoSpacing"/>
        <w:numPr>
          <w:ilvl w:val="1"/>
          <w:numId w:val="48"/>
        </w:numPr>
        <w:rPr>
          <w:sz w:val="24"/>
          <w:szCs w:val="24"/>
        </w:rPr>
      </w:pPr>
      <w:r w:rsidRPr="00D1247F">
        <w:rPr>
          <w:sz w:val="24"/>
          <w:szCs w:val="24"/>
        </w:rPr>
        <w:t>3.0% increase in funding compared with 2021/22</w:t>
      </w:r>
    </w:p>
    <w:p w14:paraId="70F3FECE" w14:textId="77777777" w:rsidR="00D1247F" w:rsidRPr="00D1247F" w:rsidRDefault="00D1247F" w:rsidP="00666BE2">
      <w:pPr>
        <w:pStyle w:val="NoSpacing"/>
        <w:numPr>
          <w:ilvl w:val="0"/>
          <w:numId w:val="48"/>
        </w:numPr>
        <w:rPr>
          <w:sz w:val="24"/>
          <w:szCs w:val="24"/>
        </w:rPr>
      </w:pPr>
      <w:r w:rsidRPr="00D1247F">
        <w:rPr>
          <w:sz w:val="24"/>
          <w:szCs w:val="24"/>
        </w:rPr>
        <w:t>3.4% increase in funding compared with 2022/23</w:t>
      </w:r>
    </w:p>
    <w:p w14:paraId="2BE5E61F" w14:textId="77777777" w:rsidR="00D1247F" w:rsidRPr="003D349D" w:rsidRDefault="00D1247F" w:rsidP="00D1247F">
      <w:pPr>
        <w:pStyle w:val="NoSpacing"/>
        <w:rPr>
          <w:sz w:val="24"/>
          <w:szCs w:val="24"/>
        </w:rPr>
      </w:pPr>
    </w:p>
    <w:p w14:paraId="79D94256" w14:textId="14ADDED8" w:rsidR="00485DA7" w:rsidRDefault="00485DA7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summary of the way the Local Authority proposes to utilise the funding it has received in 202</w:t>
      </w:r>
      <w:r w:rsidR="00E431B1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E431B1">
        <w:rPr>
          <w:sz w:val="24"/>
          <w:szCs w:val="24"/>
        </w:rPr>
        <w:t>4</w:t>
      </w:r>
      <w:r>
        <w:rPr>
          <w:sz w:val="24"/>
          <w:szCs w:val="24"/>
        </w:rPr>
        <w:t xml:space="preserve"> is </w:t>
      </w:r>
      <w:r w:rsidR="00666BE2">
        <w:rPr>
          <w:sz w:val="24"/>
          <w:szCs w:val="24"/>
        </w:rPr>
        <w:t xml:space="preserve">shown below with further detail provided within the commentary </w:t>
      </w:r>
      <w:r w:rsidR="00C63A48">
        <w:rPr>
          <w:sz w:val="24"/>
          <w:szCs w:val="24"/>
        </w:rPr>
        <w:t>and</w:t>
      </w:r>
      <w:r w:rsidR="00666BE2">
        <w:rPr>
          <w:sz w:val="24"/>
          <w:szCs w:val="24"/>
        </w:rPr>
        <w:t xml:space="preserve"> </w:t>
      </w:r>
      <w:r w:rsidR="00D114D8">
        <w:rPr>
          <w:sz w:val="24"/>
          <w:szCs w:val="24"/>
        </w:rPr>
        <w:t xml:space="preserve">included as a table </w:t>
      </w:r>
      <w:r>
        <w:rPr>
          <w:sz w:val="24"/>
          <w:szCs w:val="24"/>
        </w:rPr>
        <w:t xml:space="preserve">in Annex 1 to this report. </w:t>
      </w:r>
    </w:p>
    <w:p w14:paraId="70A6774A" w14:textId="77777777" w:rsidR="00666BE2" w:rsidRDefault="00666BE2" w:rsidP="007E1E48">
      <w:pPr>
        <w:pStyle w:val="NoSpacing"/>
        <w:rPr>
          <w:sz w:val="24"/>
          <w:szCs w:val="24"/>
        </w:rPr>
      </w:pPr>
    </w:p>
    <w:p w14:paraId="2712346F" w14:textId="5CC94B49" w:rsidR="00666BE2" w:rsidRDefault="00D114D8" w:rsidP="00D11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total of </w:t>
      </w:r>
      <w:r w:rsidR="00666BE2" w:rsidRPr="00666BE2">
        <w:rPr>
          <w:sz w:val="24"/>
          <w:szCs w:val="24"/>
        </w:rPr>
        <w:t>£227.</w:t>
      </w:r>
      <w:r w:rsidR="00AE2668">
        <w:rPr>
          <w:sz w:val="24"/>
          <w:szCs w:val="24"/>
        </w:rPr>
        <w:t>7</w:t>
      </w:r>
      <w:r w:rsidR="00666BE2" w:rsidRPr="00666BE2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or </w:t>
      </w:r>
      <w:r w:rsidR="00666BE2" w:rsidRPr="00666BE2">
        <w:rPr>
          <w:sz w:val="24"/>
          <w:szCs w:val="24"/>
        </w:rPr>
        <w:t>8</w:t>
      </w:r>
      <w:r w:rsidR="00E8556E">
        <w:rPr>
          <w:sz w:val="24"/>
          <w:szCs w:val="24"/>
        </w:rPr>
        <w:t>4.</w:t>
      </w:r>
      <w:r w:rsidR="00AE2668">
        <w:rPr>
          <w:sz w:val="24"/>
          <w:szCs w:val="24"/>
        </w:rPr>
        <w:t>1</w:t>
      </w:r>
      <w:r w:rsidR="00666BE2" w:rsidRPr="00666BE2">
        <w:rPr>
          <w:sz w:val="24"/>
          <w:szCs w:val="24"/>
        </w:rPr>
        <w:t>%</w:t>
      </w:r>
      <w:r>
        <w:rPr>
          <w:sz w:val="24"/>
          <w:szCs w:val="24"/>
        </w:rPr>
        <w:t xml:space="preserve"> of the total allocation is proposed to be allocated for </w:t>
      </w:r>
      <w:r w:rsidR="00666BE2" w:rsidRPr="00666BE2">
        <w:rPr>
          <w:sz w:val="24"/>
          <w:szCs w:val="24"/>
        </w:rPr>
        <w:t>Direct Provision</w:t>
      </w:r>
      <w:r>
        <w:rPr>
          <w:sz w:val="24"/>
          <w:szCs w:val="24"/>
        </w:rPr>
        <w:t xml:space="preserve">.  This is </w:t>
      </w:r>
      <w:r w:rsidR="00666BE2" w:rsidRPr="00666BE2">
        <w:rPr>
          <w:sz w:val="24"/>
          <w:szCs w:val="24"/>
        </w:rPr>
        <w:t>an increase of £25.</w:t>
      </w:r>
      <w:r w:rsidR="00AE2668">
        <w:rPr>
          <w:sz w:val="24"/>
          <w:szCs w:val="24"/>
        </w:rPr>
        <w:t>7</w:t>
      </w:r>
      <w:r w:rsidR="00666BE2" w:rsidRPr="00666BE2">
        <w:rPr>
          <w:sz w:val="24"/>
          <w:szCs w:val="24"/>
        </w:rPr>
        <w:t>m from</w:t>
      </w:r>
      <w:r>
        <w:rPr>
          <w:sz w:val="24"/>
          <w:szCs w:val="24"/>
        </w:rPr>
        <w:t xml:space="preserve"> that provided at this time in </w:t>
      </w:r>
      <w:r w:rsidR="00666BE2" w:rsidRPr="00666BE2">
        <w:rPr>
          <w:sz w:val="24"/>
          <w:szCs w:val="24"/>
        </w:rPr>
        <w:t>2022/23</w:t>
      </w:r>
      <w:r>
        <w:rPr>
          <w:sz w:val="24"/>
          <w:szCs w:val="24"/>
        </w:rPr>
        <w:t>.</w:t>
      </w:r>
    </w:p>
    <w:p w14:paraId="1ADA6A64" w14:textId="48303759" w:rsidR="00D114D8" w:rsidRDefault="00D114D8" w:rsidP="00D114D8">
      <w:pPr>
        <w:pStyle w:val="NoSpacing"/>
        <w:rPr>
          <w:sz w:val="24"/>
          <w:szCs w:val="24"/>
        </w:rPr>
      </w:pPr>
    </w:p>
    <w:p w14:paraId="0AEE2C64" w14:textId="67EAEAF1" w:rsidR="00D114D8" w:rsidRDefault="00D114D8" w:rsidP="00D11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further </w:t>
      </w:r>
      <w:r w:rsidR="00666BE2" w:rsidRPr="00666BE2">
        <w:rPr>
          <w:sz w:val="24"/>
          <w:szCs w:val="24"/>
        </w:rPr>
        <w:t xml:space="preserve">£24.2m </w:t>
      </w:r>
      <w:r>
        <w:rPr>
          <w:sz w:val="24"/>
          <w:szCs w:val="24"/>
        </w:rPr>
        <w:t xml:space="preserve">or </w:t>
      </w:r>
      <w:r w:rsidR="00666BE2" w:rsidRPr="00666BE2">
        <w:rPr>
          <w:sz w:val="24"/>
          <w:szCs w:val="24"/>
        </w:rPr>
        <w:t>8.9%</w:t>
      </w:r>
      <w:r>
        <w:rPr>
          <w:sz w:val="24"/>
          <w:szCs w:val="24"/>
        </w:rPr>
        <w:t xml:space="preserve"> of the total allocation is proposed to be allocated</w:t>
      </w:r>
      <w:r w:rsidR="00666BE2" w:rsidRPr="00666BE2">
        <w:rPr>
          <w:sz w:val="24"/>
          <w:szCs w:val="24"/>
        </w:rPr>
        <w:t xml:space="preserve"> for other provision and support service</w:t>
      </w:r>
      <w:r>
        <w:rPr>
          <w:sz w:val="24"/>
          <w:szCs w:val="24"/>
        </w:rPr>
        <w:t>s.  This is</w:t>
      </w:r>
      <w:r w:rsidR="00666BE2" w:rsidRPr="00666BE2">
        <w:rPr>
          <w:sz w:val="24"/>
          <w:szCs w:val="24"/>
        </w:rPr>
        <w:t xml:space="preserve"> a decrease of £5.7m from</w:t>
      </w:r>
      <w:r>
        <w:rPr>
          <w:sz w:val="24"/>
          <w:szCs w:val="24"/>
        </w:rPr>
        <w:t xml:space="preserve"> that provided at this time in</w:t>
      </w:r>
      <w:r w:rsidR="00666BE2" w:rsidRPr="00666BE2">
        <w:rPr>
          <w:sz w:val="24"/>
          <w:szCs w:val="24"/>
        </w:rPr>
        <w:t xml:space="preserve"> 2022/2</w:t>
      </w:r>
      <w:r w:rsidR="00150E37">
        <w:rPr>
          <w:sz w:val="24"/>
          <w:szCs w:val="24"/>
        </w:rPr>
        <w:t xml:space="preserve">3.  Although 5% increases to some SEN support services are proposed </w:t>
      </w:r>
      <w:r w:rsidR="00C81E5D">
        <w:rPr>
          <w:sz w:val="24"/>
          <w:szCs w:val="24"/>
        </w:rPr>
        <w:t xml:space="preserve">(£0.6m) </w:t>
      </w:r>
      <w:r w:rsidR="00150E37">
        <w:rPr>
          <w:sz w:val="24"/>
          <w:szCs w:val="24"/>
        </w:rPr>
        <w:t xml:space="preserve">these are offset by the falling out of funding needed for High Needs deficit repayment plan (£4.1m) and some of the projects identified by the former Assistant Director not getting off the ground </w:t>
      </w:r>
      <w:r w:rsidR="00C81E5D">
        <w:rPr>
          <w:sz w:val="24"/>
          <w:szCs w:val="24"/>
        </w:rPr>
        <w:t>(£2.2m)</w:t>
      </w:r>
      <w:r w:rsidR="00150E37">
        <w:rPr>
          <w:sz w:val="24"/>
          <w:szCs w:val="24"/>
        </w:rPr>
        <w:t xml:space="preserve"> </w:t>
      </w:r>
    </w:p>
    <w:p w14:paraId="525A10DB" w14:textId="77777777" w:rsidR="00D114D8" w:rsidRDefault="00D114D8" w:rsidP="00D114D8">
      <w:pPr>
        <w:pStyle w:val="NoSpacing"/>
        <w:rPr>
          <w:sz w:val="24"/>
          <w:szCs w:val="24"/>
        </w:rPr>
      </w:pPr>
    </w:p>
    <w:p w14:paraId="3D870C73" w14:textId="4781AC68" w:rsidR="00666BE2" w:rsidRPr="00666BE2" w:rsidRDefault="00D114D8" w:rsidP="00D11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proposed that the remaining </w:t>
      </w:r>
      <w:r w:rsidR="00666BE2" w:rsidRPr="00666BE2">
        <w:rPr>
          <w:sz w:val="24"/>
          <w:szCs w:val="24"/>
        </w:rPr>
        <w:t>£19.</w:t>
      </w:r>
      <w:r w:rsidR="00AE2668">
        <w:rPr>
          <w:sz w:val="24"/>
          <w:szCs w:val="24"/>
        </w:rPr>
        <w:t>0</w:t>
      </w:r>
      <w:r w:rsidR="00666BE2" w:rsidRPr="00666BE2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or </w:t>
      </w:r>
      <w:r w:rsidR="00666BE2" w:rsidRPr="00666BE2">
        <w:rPr>
          <w:sz w:val="24"/>
          <w:szCs w:val="24"/>
        </w:rPr>
        <w:t>7.</w:t>
      </w:r>
      <w:r w:rsidR="00AE2668">
        <w:rPr>
          <w:sz w:val="24"/>
          <w:szCs w:val="24"/>
        </w:rPr>
        <w:t>0</w:t>
      </w:r>
      <w:r w:rsidR="00666BE2" w:rsidRPr="00666BE2">
        <w:rPr>
          <w:sz w:val="24"/>
          <w:szCs w:val="24"/>
        </w:rPr>
        <w:t>%</w:t>
      </w:r>
      <w:r>
        <w:rPr>
          <w:sz w:val="24"/>
          <w:szCs w:val="24"/>
        </w:rPr>
        <w:t xml:space="preserve"> of the total allocation be held back at this stage in the financial year to support the recently appointed Director of SEND &amp; Inclusion in the following areas:</w:t>
      </w:r>
    </w:p>
    <w:p w14:paraId="00F56CFA" w14:textId="6B818F7B" w:rsidR="00666BE2" w:rsidRPr="00666BE2" w:rsidRDefault="00666BE2" w:rsidP="00666BE2">
      <w:pPr>
        <w:pStyle w:val="NoSpacing"/>
        <w:numPr>
          <w:ilvl w:val="0"/>
          <w:numId w:val="45"/>
        </w:numPr>
        <w:ind w:left="1080"/>
        <w:rPr>
          <w:sz w:val="24"/>
          <w:szCs w:val="24"/>
        </w:rPr>
      </w:pPr>
      <w:r w:rsidRPr="00666BE2">
        <w:rPr>
          <w:sz w:val="24"/>
          <w:szCs w:val="24"/>
        </w:rPr>
        <w:t>to fully understand any service commitments and identify areas requiring additional support</w:t>
      </w:r>
      <w:r w:rsidR="008807B2">
        <w:rPr>
          <w:sz w:val="24"/>
          <w:szCs w:val="24"/>
        </w:rPr>
        <w:t xml:space="preserve">.  The service </w:t>
      </w:r>
      <w:r w:rsidR="00D114D8">
        <w:rPr>
          <w:sz w:val="24"/>
          <w:szCs w:val="24"/>
        </w:rPr>
        <w:t>is in the process of</w:t>
      </w:r>
      <w:r w:rsidR="008807B2">
        <w:rPr>
          <w:sz w:val="24"/>
          <w:szCs w:val="24"/>
        </w:rPr>
        <w:t xml:space="preserve"> developing a robust sufficiency strategy which the Director will share </w:t>
      </w:r>
      <w:r w:rsidR="00D114D8">
        <w:rPr>
          <w:sz w:val="24"/>
          <w:szCs w:val="24"/>
        </w:rPr>
        <w:t xml:space="preserve">with Schools Forum </w:t>
      </w:r>
      <w:r w:rsidR="008807B2">
        <w:rPr>
          <w:sz w:val="24"/>
          <w:szCs w:val="24"/>
        </w:rPr>
        <w:t>in the coming months</w:t>
      </w:r>
    </w:p>
    <w:p w14:paraId="62625F8D" w14:textId="18ABB817" w:rsidR="00666BE2" w:rsidRDefault="00D114D8" w:rsidP="00666BE2">
      <w:pPr>
        <w:pStyle w:val="NoSpacing"/>
        <w:numPr>
          <w:ilvl w:val="0"/>
          <w:numId w:val="45"/>
        </w:num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time for </w:t>
      </w:r>
      <w:r w:rsidR="00666BE2" w:rsidRPr="00666BE2">
        <w:rPr>
          <w:sz w:val="24"/>
          <w:szCs w:val="24"/>
        </w:rPr>
        <w:t>the LA and finance to understand the financial implications of the two new free special schools</w:t>
      </w:r>
      <w:r w:rsidR="008807B2">
        <w:rPr>
          <w:sz w:val="24"/>
          <w:szCs w:val="24"/>
        </w:rPr>
        <w:t>,</w:t>
      </w:r>
      <w:r w:rsidR="00666BE2" w:rsidRPr="00666BE2">
        <w:rPr>
          <w:sz w:val="24"/>
          <w:szCs w:val="24"/>
        </w:rPr>
        <w:t xml:space="preserve"> creating 500 places</w:t>
      </w:r>
      <w:r>
        <w:rPr>
          <w:sz w:val="24"/>
          <w:szCs w:val="24"/>
        </w:rPr>
        <w:t xml:space="preserve">.  Notification of Birmingham’s success in its applications for these free schools was only received the day before papers were due to Technical Group.  </w:t>
      </w:r>
    </w:p>
    <w:p w14:paraId="5935720B" w14:textId="615C560D" w:rsidR="008807B2" w:rsidRPr="00666BE2" w:rsidRDefault="008807B2" w:rsidP="00666BE2">
      <w:pPr>
        <w:pStyle w:val="NoSpacing"/>
        <w:numPr>
          <w:ilvl w:val="0"/>
          <w:numId w:val="4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Birmingham </w:t>
      </w:r>
      <w:r w:rsidR="00D114D8">
        <w:rPr>
          <w:sz w:val="24"/>
          <w:szCs w:val="24"/>
        </w:rPr>
        <w:t>is</w:t>
      </w:r>
      <w:r>
        <w:rPr>
          <w:sz w:val="24"/>
          <w:szCs w:val="24"/>
        </w:rPr>
        <w:t xml:space="preserve"> taking part in the Delivering Best Value Programme in the coming months.  </w:t>
      </w:r>
      <w:r w:rsidR="00D114D8">
        <w:rPr>
          <w:sz w:val="24"/>
          <w:szCs w:val="24"/>
        </w:rPr>
        <w:t xml:space="preserve">It is anticipated that both </w:t>
      </w:r>
      <w:r>
        <w:rPr>
          <w:sz w:val="24"/>
          <w:szCs w:val="24"/>
        </w:rPr>
        <w:t xml:space="preserve">CiPFA and Newton will be dissecting the High Needs Block and some </w:t>
      </w:r>
      <w:r w:rsidR="007A31C6">
        <w:rPr>
          <w:sz w:val="24"/>
          <w:szCs w:val="24"/>
        </w:rPr>
        <w:t>funding</w:t>
      </w:r>
      <w:r>
        <w:rPr>
          <w:sz w:val="24"/>
          <w:szCs w:val="24"/>
        </w:rPr>
        <w:t xml:space="preserve"> needs to be </w:t>
      </w:r>
      <w:r w:rsidR="007A31C6">
        <w:rPr>
          <w:sz w:val="24"/>
          <w:szCs w:val="24"/>
        </w:rPr>
        <w:t>set aside</w:t>
      </w:r>
      <w:r>
        <w:rPr>
          <w:sz w:val="24"/>
          <w:szCs w:val="24"/>
        </w:rPr>
        <w:t xml:space="preserve"> in case of issues picked up under this scrutiny</w:t>
      </w:r>
    </w:p>
    <w:p w14:paraId="74BE332E" w14:textId="72F88EEB" w:rsidR="00666BE2" w:rsidRPr="00485DA7" w:rsidRDefault="00666BE2" w:rsidP="00666BE2">
      <w:pPr>
        <w:pStyle w:val="NoSpacing"/>
        <w:ind w:left="360"/>
        <w:rPr>
          <w:sz w:val="24"/>
          <w:szCs w:val="24"/>
        </w:rPr>
      </w:pPr>
    </w:p>
    <w:p w14:paraId="18896721" w14:textId="77777777" w:rsidR="00485DA7" w:rsidRPr="000D3E96" w:rsidRDefault="000D3E96" w:rsidP="007E1E48">
      <w:pPr>
        <w:pStyle w:val="NoSpacing"/>
        <w:rPr>
          <w:b/>
          <w:sz w:val="24"/>
          <w:szCs w:val="24"/>
        </w:rPr>
      </w:pPr>
      <w:r w:rsidRPr="000D3E96">
        <w:rPr>
          <w:b/>
          <w:sz w:val="24"/>
          <w:szCs w:val="24"/>
        </w:rPr>
        <w:t>Commentary</w:t>
      </w:r>
    </w:p>
    <w:p w14:paraId="6A461E79" w14:textId="77777777" w:rsidR="000D3E96" w:rsidRDefault="000D3E96" w:rsidP="007E1E48">
      <w:pPr>
        <w:pStyle w:val="NoSpacing"/>
        <w:rPr>
          <w:sz w:val="24"/>
          <w:szCs w:val="24"/>
        </w:rPr>
      </w:pPr>
    </w:p>
    <w:p w14:paraId="1F0BFEB9" w14:textId="2E85F17B" w:rsidR="000D3E96" w:rsidRDefault="007A31C6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93362A">
        <w:rPr>
          <w:sz w:val="24"/>
          <w:szCs w:val="24"/>
        </w:rPr>
        <w:t xml:space="preserve">xplanations </w:t>
      </w:r>
      <w:r>
        <w:rPr>
          <w:sz w:val="24"/>
          <w:szCs w:val="24"/>
        </w:rPr>
        <w:t>of some of the increases in spending for Direct and Indirect provision are provided below</w:t>
      </w:r>
      <w:r w:rsidR="00C500EC">
        <w:rPr>
          <w:sz w:val="24"/>
          <w:szCs w:val="24"/>
        </w:rPr>
        <w:t>:</w:t>
      </w:r>
    </w:p>
    <w:p w14:paraId="2A37AEDD" w14:textId="77777777" w:rsidR="000D3E96" w:rsidRDefault="000D3E96" w:rsidP="007E1E48">
      <w:pPr>
        <w:pStyle w:val="NoSpacing"/>
        <w:rPr>
          <w:sz w:val="24"/>
          <w:szCs w:val="24"/>
        </w:rPr>
      </w:pPr>
    </w:p>
    <w:p w14:paraId="716B11E2" w14:textId="6B3FC199" w:rsidR="008B420B" w:rsidRPr="008B420B" w:rsidRDefault="007A31C6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proposed to increase Place Funding by </w:t>
      </w:r>
      <w:r w:rsidR="008B420B" w:rsidRPr="008B420B">
        <w:rPr>
          <w:sz w:val="24"/>
          <w:szCs w:val="24"/>
        </w:rPr>
        <w:t>3.4%</w:t>
      </w:r>
      <w:r>
        <w:rPr>
          <w:sz w:val="24"/>
          <w:szCs w:val="24"/>
        </w:rPr>
        <w:t xml:space="preserve">.  This equates to an additional </w:t>
      </w:r>
      <w:r w:rsidR="008B420B" w:rsidRPr="008B420B">
        <w:rPr>
          <w:sz w:val="24"/>
          <w:szCs w:val="24"/>
        </w:rPr>
        <w:t xml:space="preserve">£340 </w:t>
      </w:r>
      <w:r>
        <w:rPr>
          <w:sz w:val="24"/>
          <w:szCs w:val="24"/>
        </w:rPr>
        <w:t xml:space="preserve">per place </w:t>
      </w:r>
      <w:r w:rsidR="008B420B" w:rsidRPr="008B420B">
        <w:rPr>
          <w:sz w:val="24"/>
          <w:szCs w:val="24"/>
        </w:rPr>
        <w:t>for</w:t>
      </w:r>
      <w:r>
        <w:rPr>
          <w:sz w:val="24"/>
          <w:szCs w:val="24"/>
        </w:rPr>
        <w:t xml:space="preserve"> those funded at</w:t>
      </w:r>
      <w:r w:rsidR="008B420B" w:rsidRPr="008B420B">
        <w:rPr>
          <w:sz w:val="24"/>
          <w:szCs w:val="24"/>
        </w:rPr>
        <w:t xml:space="preserve"> £10k or £204 for </w:t>
      </w:r>
      <w:r>
        <w:rPr>
          <w:sz w:val="24"/>
          <w:szCs w:val="24"/>
        </w:rPr>
        <w:t xml:space="preserve">those funded at </w:t>
      </w:r>
      <w:r w:rsidR="008B420B" w:rsidRPr="008B420B">
        <w:rPr>
          <w:sz w:val="24"/>
          <w:szCs w:val="24"/>
        </w:rPr>
        <w:t>£6k</w:t>
      </w:r>
      <w:r>
        <w:rPr>
          <w:sz w:val="24"/>
          <w:szCs w:val="24"/>
        </w:rPr>
        <w:t xml:space="preserve">.  This amount will be </w:t>
      </w:r>
      <w:r w:rsidR="008B420B" w:rsidRPr="008B420B">
        <w:rPr>
          <w:sz w:val="24"/>
          <w:szCs w:val="24"/>
        </w:rPr>
        <w:t>paid as a Place supplement to cover MFG for place funding</w:t>
      </w:r>
      <w:r>
        <w:rPr>
          <w:sz w:val="24"/>
          <w:szCs w:val="24"/>
        </w:rPr>
        <w:t>.</w:t>
      </w:r>
    </w:p>
    <w:p w14:paraId="3399FAAC" w14:textId="77777777" w:rsidR="008B420B" w:rsidRPr="008B420B" w:rsidRDefault="008B420B" w:rsidP="008B420B">
      <w:pPr>
        <w:pStyle w:val="NoSpacing"/>
        <w:rPr>
          <w:sz w:val="24"/>
          <w:szCs w:val="24"/>
        </w:rPr>
      </w:pPr>
    </w:p>
    <w:p w14:paraId="35325DCB" w14:textId="07F2FFEC" w:rsidR="008B420B" w:rsidRDefault="007A31C6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current arrangements for an additional </w:t>
      </w:r>
      <w:r w:rsidR="008B420B" w:rsidRPr="008B420B">
        <w:rPr>
          <w:sz w:val="24"/>
          <w:szCs w:val="24"/>
        </w:rPr>
        <w:t>£660 per place fo</w:t>
      </w:r>
      <w:r>
        <w:rPr>
          <w:sz w:val="24"/>
          <w:szCs w:val="24"/>
        </w:rPr>
        <w:t>llowing the roll into the High Needs Block of</w:t>
      </w:r>
      <w:r w:rsidR="008B420B" w:rsidRPr="008B420B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eachers </w:t>
      </w:r>
      <w:r w:rsidR="008B420B" w:rsidRPr="008B420B">
        <w:rPr>
          <w:sz w:val="24"/>
          <w:szCs w:val="24"/>
        </w:rPr>
        <w:t>P</w:t>
      </w:r>
      <w:r>
        <w:rPr>
          <w:sz w:val="24"/>
          <w:szCs w:val="24"/>
        </w:rPr>
        <w:t xml:space="preserve">ay and Teachers Pensions Grants </w:t>
      </w:r>
      <w:r w:rsidR="008B420B" w:rsidRPr="008B420B">
        <w:rPr>
          <w:sz w:val="24"/>
          <w:szCs w:val="24"/>
        </w:rPr>
        <w:t>remains as is</w:t>
      </w:r>
      <w:r>
        <w:rPr>
          <w:sz w:val="24"/>
          <w:szCs w:val="24"/>
        </w:rPr>
        <w:t xml:space="preserve">.  This will also be </w:t>
      </w:r>
      <w:r w:rsidR="008B420B" w:rsidRPr="008B420B">
        <w:rPr>
          <w:sz w:val="24"/>
          <w:szCs w:val="24"/>
        </w:rPr>
        <w:t>paid alongside the Place supplement referred to above</w:t>
      </w:r>
      <w:r>
        <w:rPr>
          <w:sz w:val="24"/>
          <w:szCs w:val="24"/>
        </w:rPr>
        <w:t>.</w:t>
      </w:r>
    </w:p>
    <w:p w14:paraId="1050C599" w14:textId="05B92F4A" w:rsidR="005631FB" w:rsidRDefault="005631FB" w:rsidP="008B420B">
      <w:pPr>
        <w:pStyle w:val="NoSpacing"/>
        <w:rPr>
          <w:sz w:val="24"/>
          <w:szCs w:val="24"/>
        </w:rPr>
      </w:pPr>
    </w:p>
    <w:p w14:paraId="42359FB2" w14:textId="4F86C10C" w:rsidR="005631FB" w:rsidRPr="008B420B" w:rsidRDefault="005631FB" w:rsidP="005631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widely known that we have insufficient provision within our Special Schools and whilst Birmingham develops its sufficiency strategy, we have built in some estimates of p</w:t>
      </w:r>
      <w:r w:rsidRPr="008B420B">
        <w:rPr>
          <w:sz w:val="24"/>
          <w:szCs w:val="24"/>
        </w:rPr>
        <w:t xml:space="preserve">roposed growth </w:t>
      </w:r>
      <w:r w:rsidR="00150E37" w:rsidRPr="008B420B">
        <w:rPr>
          <w:sz w:val="24"/>
          <w:szCs w:val="24"/>
        </w:rPr>
        <w:t>to</w:t>
      </w:r>
      <w:r>
        <w:rPr>
          <w:sz w:val="24"/>
          <w:szCs w:val="24"/>
        </w:rPr>
        <w:t xml:space="preserve"> meet demand.  Currently we have estimated 50 additional S</w:t>
      </w:r>
      <w:r w:rsidRPr="008B420B">
        <w:rPr>
          <w:sz w:val="24"/>
          <w:szCs w:val="24"/>
        </w:rPr>
        <w:t xml:space="preserve">pecial </w:t>
      </w:r>
      <w:r>
        <w:rPr>
          <w:sz w:val="24"/>
          <w:szCs w:val="24"/>
        </w:rPr>
        <w:t>S</w:t>
      </w:r>
      <w:r w:rsidRPr="008B420B">
        <w:rPr>
          <w:sz w:val="24"/>
          <w:szCs w:val="24"/>
        </w:rPr>
        <w:t>chool places and</w:t>
      </w:r>
      <w:r>
        <w:rPr>
          <w:sz w:val="24"/>
          <w:szCs w:val="24"/>
        </w:rPr>
        <w:t xml:space="preserve"> 100 additional Re</w:t>
      </w:r>
      <w:r w:rsidRPr="008B420B">
        <w:rPr>
          <w:sz w:val="24"/>
          <w:szCs w:val="24"/>
        </w:rPr>
        <w:t xml:space="preserve">source </w:t>
      </w:r>
      <w:r>
        <w:rPr>
          <w:sz w:val="24"/>
          <w:szCs w:val="24"/>
        </w:rPr>
        <w:t>B</w:t>
      </w:r>
      <w:r w:rsidRPr="008B420B">
        <w:rPr>
          <w:sz w:val="24"/>
          <w:szCs w:val="24"/>
        </w:rPr>
        <w:t>as</w:t>
      </w:r>
      <w:r>
        <w:rPr>
          <w:sz w:val="24"/>
          <w:szCs w:val="24"/>
        </w:rPr>
        <w:t>e places from September 2023.</w:t>
      </w:r>
    </w:p>
    <w:p w14:paraId="68450F42" w14:textId="77777777" w:rsidR="008B420B" w:rsidRPr="008B420B" w:rsidRDefault="008B420B" w:rsidP="008B420B">
      <w:pPr>
        <w:pStyle w:val="NoSpacing"/>
        <w:rPr>
          <w:sz w:val="24"/>
          <w:szCs w:val="24"/>
        </w:rPr>
      </w:pPr>
    </w:p>
    <w:p w14:paraId="603577A9" w14:textId="79F155F6" w:rsidR="008B420B" w:rsidRDefault="007A31C6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proposed to increase </w:t>
      </w:r>
      <w:r w:rsidR="008B420B" w:rsidRPr="008B420B">
        <w:rPr>
          <w:sz w:val="24"/>
          <w:szCs w:val="24"/>
        </w:rPr>
        <w:t xml:space="preserve">Top Up banding rates and ESN for Special Schools, Resource Bases, PRU &amp; Support Units </w:t>
      </w:r>
      <w:r>
        <w:rPr>
          <w:sz w:val="24"/>
          <w:szCs w:val="24"/>
        </w:rPr>
        <w:t xml:space="preserve">by 5%.  This </w:t>
      </w:r>
      <w:r w:rsidR="008B420B" w:rsidRPr="008B420B">
        <w:rPr>
          <w:sz w:val="24"/>
          <w:szCs w:val="24"/>
        </w:rPr>
        <w:t>exceeds the 3.4% MFG for Top Up and reflects the increased costs being experienced by Schools</w:t>
      </w:r>
      <w:r>
        <w:rPr>
          <w:sz w:val="24"/>
          <w:szCs w:val="24"/>
        </w:rPr>
        <w:t xml:space="preserve">.  It is important to note here that </w:t>
      </w:r>
      <w:r w:rsidR="008B420B" w:rsidRPr="008B420B">
        <w:rPr>
          <w:sz w:val="24"/>
          <w:szCs w:val="24"/>
        </w:rPr>
        <w:t>the 3% MFG increase from 2021/22</w:t>
      </w:r>
      <w:r>
        <w:rPr>
          <w:sz w:val="24"/>
          <w:szCs w:val="24"/>
        </w:rPr>
        <w:t xml:space="preserve"> referred to in the guidance</w:t>
      </w:r>
      <w:r w:rsidR="008B420B" w:rsidRPr="008B420B">
        <w:rPr>
          <w:sz w:val="24"/>
          <w:szCs w:val="24"/>
        </w:rPr>
        <w:t xml:space="preserve"> should be covered by the 6% increase in Top Up banding rates</w:t>
      </w:r>
      <w:r>
        <w:rPr>
          <w:sz w:val="24"/>
          <w:szCs w:val="24"/>
        </w:rPr>
        <w:t xml:space="preserve"> that was actioned as part of the </w:t>
      </w:r>
      <w:r w:rsidR="008B420B" w:rsidRPr="008B420B">
        <w:rPr>
          <w:sz w:val="24"/>
          <w:szCs w:val="24"/>
        </w:rPr>
        <w:t xml:space="preserve">2022/23 </w:t>
      </w:r>
      <w:r>
        <w:rPr>
          <w:sz w:val="24"/>
          <w:szCs w:val="24"/>
        </w:rPr>
        <w:t xml:space="preserve">High Needs </w:t>
      </w:r>
      <w:r w:rsidR="008B420B" w:rsidRPr="008B420B">
        <w:rPr>
          <w:sz w:val="24"/>
          <w:szCs w:val="24"/>
        </w:rPr>
        <w:t>budget</w:t>
      </w:r>
      <w:r>
        <w:rPr>
          <w:sz w:val="24"/>
          <w:szCs w:val="24"/>
        </w:rPr>
        <w:t xml:space="preserve"> </w:t>
      </w:r>
      <w:r w:rsidR="008B420B" w:rsidRPr="008B420B">
        <w:rPr>
          <w:sz w:val="24"/>
          <w:szCs w:val="24"/>
        </w:rPr>
        <w:t>s</w:t>
      </w:r>
      <w:r>
        <w:rPr>
          <w:sz w:val="24"/>
          <w:szCs w:val="24"/>
        </w:rPr>
        <w:t>etting process.</w:t>
      </w:r>
    </w:p>
    <w:p w14:paraId="3A7BA94A" w14:textId="351A5D84" w:rsidR="00E8556E" w:rsidRDefault="00E8556E" w:rsidP="008B420B">
      <w:pPr>
        <w:pStyle w:val="NoSpacing"/>
        <w:rPr>
          <w:sz w:val="24"/>
          <w:szCs w:val="24"/>
        </w:rPr>
      </w:pPr>
    </w:p>
    <w:p w14:paraId="4F825E6E" w14:textId="22463E1B" w:rsidR="00E8556E" w:rsidRDefault="00E8556E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also increasing the number of places at the PRU by a further 25 places at a cost of £0.5m.  This recognises that the current provision is full. </w:t>
      </w:r>
    </w:p>
    <w:p w14:paraId="3F8619AE" w14:textId="1693FB89" w:rsidR="007A31C6" w:rsidRDefault="007A31C6" w:rsidP="008B420B">
      <w:pPr>
        <w:pStyle w:val="NoSpacing"/>
        <w:rPr>
          <w:sz w:val="24"/>
          <w:szCs w:val="24"/>
        </w:rPr>
      </w:pPr>
    </w:p>
    <w:p w14:paraId="72FB237A" w14:textId="62E252FF" w:rsidR="008B420B" w:rsidRPr="008B420B" w:rsidRDefault="007A31C6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addition, there are i</w:t>
      </w:r>
      <w:r w:rsidR="008B420B" w:rsidRPr="008B420B">
        <w:rPr>
          <w:sz w:val="24"/>
          <w:szCs w:val="24"/>
        </w:rPr>
        <w:t>ncrease</w:t>
      </w:r>
      <w:r>
        <w:rPr>
          <w:sz w:val="24"/>
          <w:szCs w:val="24"/>
        </w:rPr>
        <w:t>s proposed relating to additional demand being experienced in 2022/23 within Mainstream/Inde</w:t>
      </w:r>
      <w:r w:rsidR="008B420B" w:rsidRPr="008B420B">
        <w:rPr>
          <w:sz w:val="24"/>
          <w:szCs w:val="24"/>
        </w:rPr>
        <w:t>pendents/Post 16/OLA/Nursery provision</w:t>
      </w:r>
      <w:r>
        <w:rPr>
          <w:sz w:val="24"/>
          <w:szCs w:val="24"/>
        </w:rPr>
        <w:t>.  A further 5%</w:t>
      </w:r>
      <w:r w:rsidR="008B420B" w:rsidRPr="008B420B">
        <w:rPr>
          <w:sz w:val="24"/>
          <w:szCs w:val="24"/>
        </w:rPr>
        <w:t xml:space="preserve"> increase </w:t>
      </w:r>
      <w:r>
        <w:rPr>
          <w:sz w:val="24"/>
          <w:szCs w:val="24"/>
        </w:rPr>
        <w:t xml:space="preserve">on top of these forecasts is proposed </w:t>
      </w:r>
      <w:r w:rsidR="008B420B" w:rsidRPr="008B420B">
        <w:rPr>
          <w:sz w:val="24"/>
          <w:szCs w:val="24"/>
        </w:rPr>
        <w:t>for 2023/24</w:t>
      </w:r>
      <w:r>
        <w:rPr>
          <w:sz w:val="24"/>
          <w:szCs w:val="24"/>
        </w:rPr>
        <w:t>.</w:t>
      </w:r>
    </w:p>
    <w:p w14:paraId="37CA6A7A" w14:textId="77777777" w:rsidR="007A31C6" w:rsidRDefault="007A31C6" w:rsidP="008B420B">
      <w:pPr>
        <w:pStyle w:val="NoSpacing"/>
        <w:rPr>
          <w:sz w:val="24"/>
          <w:szCs w:val="24"/>
        </w:rPr>
      </w:pPr>
    </w:p>
    <w:p w14:paraId="6614165B" w14:textId="356F3A7A" w:rsidR="008B420B" w:rsidRPr="008B420B" w:rsidRDefault="007A31C6" w:rsidP="005631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Within the Medical &amp; Hospital Provision, we are seeing i</w:t>
      </w:r>
      <w:r w:rsidR="008B420B" w:rsidRPr="008B420B">
        <w:rPr>
          <w:sz w:val="24"/>
          <w:szCs w:val="24"/>
        </w:rPr>
        <w:t xml:space="preserve">ncreased costs </w:t>
      </w:r>
      <w:r>
        <w:rPr>
          <w:sz w:val="24"/>
          <w:szCs w:val="24"/>
        </w:rPr>
        <w:t>in 2022/23</w:t>
      </w:r>
      <w:r w:rsidR="008B420B" w:rsidRPr="008B420B">
        <w:rPr>
          <w:sz w:val="24"/>
          <w:szCs w:val="24"/>
        </w:rPr>
        <w:t xml:space="preserve"> against short term home education</w:t>
      </w:r>
      <w:r w:rsidR="00C63A48">
        <w:rPr>
          <w:sz w:val="24"/>
          <w:szCs w:val="24"/>
        </w:rPr>
        <w:t>.  O</w:t>
      </w:r>
      <w:r>
        <w:rPr>
          <w:sz w:val="24"/>
          <w:szCs w:val="24"/>
        </w:rPr>
        <w:t xml:space="preserve">ur proposal ensures these are budgeted for at this increased value in 2023/24.  </w:t>
      </w:r>
      <w:r w:rsidR="005631FB">
        <w:rPr>
          <w:sz w:val="24"/>
          <w:szCs w:val="24"/>
        </w:rPr>
        <w:t>There will be a 3.4% MFG increase for the hospital school.</w:t>
      </w:r>
    </w:p>
    <w:p w14:paraId="2BAA9DE4" w14:textId="77777777" w:rsidR="008B420B" w:rsidRPr="008B420B" w:rsidRDefault="008B420B" w:rsidP="008B420B">
      <w:pPr>
        <w:pStyle w:val="NoSpacing"/>
        <w:rPr>
          <w:sz w:val="24"/>
          <w:szCs w:val="24"/>
        </w:rPr>
      </w:pPr>
    </w:p>
    <w:p w14:paraId="4B77FED5" w14:textId="5CBC9647" w:rsidR="008B420B" w:rsidRPr="008B420B" w:rsidRDefault="005631FB" w:rsidP="008B42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line with what we are proposing for schools, we propose a </w:t>
      </w:r>
      <w:r w:rsidR="008B420B" w:rsidRPr="008B420B">
        <w:rPr>
          <w:sz w:val="24"/>
          <w:szCs w:val="24"/>
        </w:rPr>
        <w:t>5% increase to</w:t>
      </w:r>
      <w:r>
        <w:rPr>
          <w:sz w:val="24"/>
          <w:szCs w:val="24"/>
        </w:rPr>
        <w:t xml:space="preserve"> most</w:t>
      </w:r>
      <w:r w:rsidR="008B420B" w:rsidRPr="008B420B">
        <w:rPr>
          <w:sz w:val="24"/>
          <w:szCs w:val="24"/>
        </w:rPr>
        <w:t xml:space="preserve"> SEN support services budgets for 2023/24 to reflect the increased costs being experienced across the sector</w:t>
      </w:r>
      <w:r>
        <w:rPr>
          <w:sz w:val="24"/>
          <w:szCs w:val="24"/>
        </w:rPr>
        <w:t>.</w:t>
      </w:r>
    </w:p>
    <w:p w14:paraId="551E0FCB" w14:textId="77777777" w:rsidR="008B420B" w:rsidRPr="008B420B" w:rsidRDefault="008B420B" w:rsidP="008B420B">
      <w:pPr>
        <w:pStyle w:val="NoSpacing"/>
        <w:rPr>
          <w:sz w:val="24"/>
          <w:szCs w:val="24"/>
        </w:rPr>
      </w:pPr>
    </w:p>
    <w:p w14:paraId="52C59854" w14:textId="3A1A25BD" w:rsidR="005631FB" w:rsidRDefault="005631FB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proposed that Birmingham continues </w:t>
      </w:r>
      <w:r w:rsidR="008B420B" w:rsidRPr="008B420B">
        <w:rPr>
          <w:sz w:val="24"/>
          <w:szCs w:val="24"/>
        </w:rPr>
        <w:t>the Developing the Local Provision (DLP) model into 2023/24</w:t>
      </w:r>
      <w:r>
        <w:rPr>
          <w:sz w:val="24"/>
          <w:szCs w:val="24"/>
        </w:rPr>
        <w:t xml:space="preserve"> at a cost of £7m.  This is </w:t>
      </w:r>
      <w:r w:rsidR="008B420B" w:rsidRPr="008B420B">
        <w:rPr>
          <w:sz w:val="24"/>
          <w:szCs w:val="24"/>
        </w:rPr>
        <w:t xml:space="preserve">an extension of the </w:t>
      </w:r>
      <w:r w:rsidRPr="008B420B">
        <w:rPr>
          <w:sz w:val="24"/>
          <w:szCs w:val="24"/>
        </w:rPr>
        <w:t>two-year</w:t>
      </w:r>
      <w:r w:rsidR="008B420B" w:rsidRPr="008B420B">
        <w:rPr>
          <w:sz w:val="24"/>
          <w:szCs w:val="24"/>
        </w:rPr>
        <w:t xml:space="preserve"> commitment</w:t>
      </w:r>
      <w:r>
        <w:rPr>
          <w:sz w:val="24"/>
          <w:szCs w:val="24"/>
        </w:rPr>
        <w:t xml:space="preserve"> originally in place for this programme of work.</w:t>
      </w:r>
      <w:r w:rsidR="008B420B" w:rsidRPr="008B420B">
        <w:rPr>
          <w:sz w:val="24"/>
          <w:szCs w:val="24"/>
        </w:rPr>
        <w:t xml:space="preserve"> </w:t>
      </w:r>
      <w:r>
        <w:rPr>
          <w:sz w:val="24"/>
          <w:szCs w:val="24"/>
        </w:rPr>
        <w:t>The Director</w:t>
      </w:r>
      <w:r w:rsidR="00C63A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6398">
        <w:rPr>
          <w:sz w:val="24"/>
          <w:szCs w:val="24"/>
        </w:rPr>
        <w:t>with the support of Tim Boyes and Debbie Holmes</w:t>
      </w:r>
      <w:r w:rsidR="00C63A48">
        <w:rPr>
          <w:sz w:val="24"/>
          <w:szCs w:val="24"/>
        </w:rPr>
        <w:t>,</w:t>
      </w:r>
      <w:r w:rsidR="003E63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sharing a </w:t>
      </w:r>
      <w:r w:rsidR="003E6398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outlining the evaluation of Phase </w:t>
      </w:r>
      <w:r w:rsidR="003E6398">
        <w:rPr>
          <w:sz w:val="24"/>
          <w:szCs w:val="24"/>
        </w:rPr>
        <w:t>1 and what Phase 2 will be</w:t>
      </w:r>
      <w:r>
        <w:rPr>
          <w:sz w:val="24"/>
          <w:szCs w:val="24"/>
        </w:rPr>
        <w:t xml:space="preserve"> with Schools Forum.</w:t>
      </w:r>
    </w:p>
    <w:p w14:paraId="57E6CD00" w14:textId="77777777" w:rsidR="003E6398" w:rsidRDefault="003E6398" w:rsidP="007E1E48">
      <w:pPr>
        <w:pStyle w:val="NoSpacing"/>
        <w:rPr>
          <w:b/>
          <w:sz w:val="24"/>
          <w:szCs w:val="24"/>
        </w:rPr>
      </w:pPr>
    </w:p>
    <w:p w14:paraId="7B8A1C96" w14:textId="152C19CF" w:rsidR="0093362A" w:rsidRPr="005631FB" w:rsidRDefault="000C1DB3" w:rsidP="007E1E48">
      <w:pPr>
        <w:pStyle w:val="NoSpacing"/>
        <w:rPr>
          <w:sz w:val="24"/>
          <w:szCs w:val="24"/>
        </w:rPr>
      </w:pPr>
      <w:r w:rsidRPr="000C1DB3">
        <w:rPr>
          <w:b/>
          <w:sz w:val="24"/>
          <w:szCs w:val="24"/>
        </w:rPr>
        <w:t>Scrutiny</w:t>
      </w:r>
    </w:p>
    <w:p w14:paraId="551AEADC" w14:textId="09082923" w:rsidR="00AD39E0" w:rsidRDefault="00AD39E0" w:rsidP="007E1E48">
      <w:pPr>
        <w:pStyle w:val="NoSpacing"/>
        <w:rPr>
          <w:b/>
          <w:sz w:val="24"/>
          <w:szCs w:val="24"/>
        </w:rPr>
      </w:pPr>
    </w:p>
    <w:p w14:paraId="1D3DDE6A" w14:textId="61AC883F" w:rsidR="00256C64" w:rsidRDefault="00256C64" w:rsidP="007E1E4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High Needs Block </w:t>
      </w:r>
      <w:r w:rsidRPr="00256C64">
        <w:rPr>
          <w:bCs/>
          <w:sz w:val="24"/>
          <w:szCs w:val="24"/>
        </w:rPr>
        <w:t xml:space="preserve">Technical </w:t>
      </w:r>
      <w:r>
        <w:rPr>
          <w:bCs/>
          <w:sz w:val="24"/>
          <w:szCs w:val="24"/>
        </w:rPr>
        <w:t>Group met on</w:t>
      </w:r>
      <w:r w:rsidR="00D1247F">
        <w:rPr>
          <w:bCs/>
          <w:sz w:val="24"/>
          <w:szCs w:val="24"/>
        </w:rPr>
        <w:t xml:space="preserve"> 7 March</w:t>
      </w:r>
      <w:r>
        <w:rPr>
          <w:bCs/>
          <w:sz w:val="24"/>
          <w:szCs w:val="24"/>
        </w:rPr>
        <w:t xml:space="preserve"> where proposals were discussed.  A</w:t>
      </w:r>
      <w:r w:rsidR="000C36CC">
        <w:rPr>
          <w:bCs/>
          <w:sz w:val="24"/>
          <w:szCs w:val="24"/>
        </w:rPr>
        <w:t>ll</w:t>
      </w:r>
      <w:r>
        <w:rPr>
          <w:bCs/>
          <w:sz w:val="24"/>
          <w:szCs w:val="24"/>
        </w:rPr>
        <w:t xml:space="preserve"> comments raised have been considered</w:t>
      </w:r>
      <w:r w:rsidR="005631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</w:t>
      </w:r>
      <w:r w:rsidR="00E8556E">
        <w:rPr>
          <w:bCs/>
          <w:sz w:val="24"/>
          <w:szCs w:val="24"/>
        </w:rPr>
        <w:t xml:space="preserve"> the budget proposals </w:t>
      </w:r>
      <w:r w:rsidR="00AE2668">
        <w:rPr>
          <w:bCs/>
          <w:sz w:val="24"/>
          <w:szCs w:val="24"/>
        </w:rPr>
        <w:t xml:space="preserve">have been </w:t>
      </w:r>
      <w:r w:rsidR="00E8556E">
        <w:rPr>
          <w:bCs/>
          <w:sz w:val="24"/>
          <w:szCs w:val="24"/>
        </w:rPr>
        <w:t xml:space="preserve">amended to </w:t>
      </w:r>
      <w:r w:rsidR="00AE2668">
        <w:rPr>
          <w:bCs/>
          <w:sz w:val="24"/>
          <w:szCs w:val="24"/>
        </w:rPr>
        <w:t xml:space="preserve">build in an additional </w:t>
      </w:r>
      <w:r w:rsidR="00E8556E">
        <w:rPr>
          <w:bCs/>
          <w:sz w:val="24"/>
          <w:szCs w:val="24"/>
        </w:rPr>
        <w:t>25 places at the PRU.  E</w:t>
      </w:r>
      <w:r w:rsidR="005631FB">
        <w:rPr>
          <w:bCs/>
          <w:sz w:val="24"/>
          <w:szCs w:val="24"/>
        </w:rPr>
        <w:t>xplanations to the question</w:t>
      </w:r>
      <w:r w:rsidR="00B4575D">
        <w:rPr>
          <w:bCs/>
          <w:sz w:val="24"/>
          <w:szCs w:val="24"/>
        </w:rPr>
        <w:t xml:space="preserve"> raised</w:t>
      </w:r>
      <w:r w:rsidR="005631FB">
        <w:rPr>
          <w:bCs/>
          <w:sz w:val="24"/>
          <w:szCs w:val="24"/>
        </w:rPr>
        <w:t xml:space="preserve"> </w:t>
      </w:r>
      <w:r w:rsidR="00B4575D">
        <w:rPr>
          <w:bCs/>
          <w:sz w:val="24"/>
          <w:szCs w:val="24"/>
        </w:rPr>
        <w:t xml:space="preserve">relating to reductions in </w:t>
      </w:r>
      <w:r w:rsidR="00150E37">
        <w:rPr>
          <w:bCs/>
          <w:sz w:val="24"/>
          <w:szCs w:val="24"/>
        </w:rPr>
        <w:t xml:space="preserve">percentage of </w:t>
      </w:r>
      <w:r w:rsidR="00B4575D">
        <w:rPr>
          <w:bCs/>
          <w:sz w:val="24"/>
          <w:szCs w:val="24"/>
        </w:rPr>
        <w:t>overall budget allocation for Special Schools and Resource Bases is explained below</w:t>
      </w:r>
      <w:r w:rsidR="005631FB">
        <w:rPr>
          <w:bCs/>
          <w:sz w:val="24"/>
          <w:szCs w:val="24"/>
        </w:rPr>
        <w:t>.</w:t>
      </w:r>
    </w:p>
    <w:p w14:paraId="4D00BC36" w14:textId="30413DE8" w:rsidR="00B4575D" w:rsidRDefault="00B4575D" w:rsidP="007E1E48">
      <w:pPr>
        <w:pStyle w:val="NoSpacing"/>
        <w:rPr>
          <w:bCs/>
          <w:sz w:val="24"/>
          <w:szCs w:val="24"/>
        </w:rPr>
      </w:pPr>
    </w:p>
    <w:p w14:paraId="51F0C266" w14:textId="5F725A48" w:rsidR="00B4575D" w:rsidRDefault="00B4575D" w:rsidP="007E1E4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2022/23 budgets being compared to here were set at a point in time (March 2022) based upon the information available to us at that time.  During that process a significant amount of growth was built into both Special Schools and Resource Bases that has not materialised.  If we were to restate the 2022/23 budgets to reflect what is known about now both Special Schools and Resource Bases would show </w:t>
      </w:r>
      <w:r w:rsidR="00150E37">
        <w:rPr>
          <w:bCs/>
          <w:sz w:val="24"/>
          <w:szCs w:val="24"/>
        </w:rPr>
        <w:t>an increase in the overall percentage of budget calculations.</w:t>
      </w:r>
      <w:r>
        <w:rPr>
          <w:bCs/>
          <w:sz w:val="24"/>
          <w:szCs w:val="24"/>
        </w:rPr>
        <w:t xml:space="preserve"> </w:t>
      </w:r>
    </w:p>
    <w:p w14:paraId="4DB1D720" w14:textId="3A96B706" w:rsidR="00B4575D" w:rsidRDefault="00B4575D" w:rsidP="007E1E48">
      <w:pPr>
        <w:pStyle w:val="NoSpacing"/>
        <w:rPr>
          <w:bCs/>
          <w:sz w:val="24"/>
          <w:szCs w:val="24"/>
        </w:rPr>
      </w:pPr>
    </w:p>
    <w:p w14:paraId="18CFC7DC" w14:textId="77777777" w:rsidR="00641352" w:rsidRDefault="00641352" w:rsidP="007E1E48">
      <w:pPr>
        <w:pStyle w:val="NoSpacing"/>
        <w:rPr>
          <w:b/>
          <w:sz w:val="24"/>
          <w:szCs w:val="24"/>
        </w:rPr>
      </w:pPr>
    </w:p>
    <w:p w14:paraId="7633017C" w14:textId="38115685" w:rsidR="00641352" w:rsidRDefault="00641352" w:rsidP="007E1E48">
      <w:pPr>
        <w:pStyle w:val="NoSpacing"/>
        <w:rPr>
          <w:b/>
          <w:sz w:val="24"/>
          <w:szCs w:val="24"/>
        </w:rPr>
      </w:pPr>
      <w:r w:rsidRPr="00641352">
        <w:rPr>
          <w:b/>
          <w:sz w:val="24"/>
          <w:szCs w:val="24"/>
        </w:rPr>
        <w:t>Conclusion</w:t>
      </w:r>
      <w:r w:rsidR="00150E37">
        <w:rPr>
          <w:b/>
          <w:sz w:val="24"/>
          <w:szCs w:val="24"/>
        </w:rPr>
        <w:t>s</w:t>
      </w:r>
    </w:p>
    <w:p w14:paraId="1DCCE597" w14:textId="7B223C7E" w:rsidR="00641352" w:rsidRDefault="00641352" w:rsidP="007E1E48">
      <w:pPr>
        <w:pStyle w:val="NoSpacing"/>
        <w:rPr>
          <w:b/>
          <w:sz w:val="24"/>
          <w:szCs w:val="24"/>
        </w:rPr>
      </w:pPr>
    </w:p>
    <w:p w14:paraId="6B77B624" w14:textId="18269303" w:rsidR="005631FB" w:rsidRDefault="005631FB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layout in Annex 1 demonstrates that </w:t>
      </w:r>
      <w:proofErr w:type="gramStart"/>
      <w:r>
        <w:rPr>
          <w:sz w:val="24"/>
          <w:szCs w:val="24"/>
        </w:rPr>
        <w:t>the vast majority of</w:t>
      </w:r>
      <w:proofErr w:type="gramEnd"/>
      <w:r>
        <w:rPr>
          <w:sz w:val="24"/>
          <w:szCs w:val="24"/>
        </w:rPr>
        <w:t xml:space="preserve"> the increased resources received by the Local Authority for High Needs for 20</w:t>
      </w:r>
      <w:r w:rsidR="00C63A48">
        <w:rPr>
          <w:sz w:val="24"/>
          <w:szCs w:val="24"/>
        </w:rPr>
        <w:t>2</w:t>
      </w:r>
      <w:r w:rsidR="00B4575D">
        <w:rPr>
          <w:sz w:val="24"/>
          <w:szCs w:val="24"/>
        </w:rPr>
        <w:t>3/24</w:t>
      </w:r>
      <w:r>
        <w:rPr>
          <w:sz w:val="24"/>
          <w:szCs w:val="24"/>
        </w:rPr>
        <w:t xml:space="preserve"> is directed to delegated budgets</w:t>
      </w:r>
      <w:r w:rsidR="00B4575D">
        <w:rPr>
          <w:sz w:val="24"/>
          <w:szCs w:val="24"/>
        </w:rPr>
        <w:t>.</w:t>
      </w:r>
    </w:p>
    <w:p w14:paraId="2B8EE90B" w14:textId="248F04EB" w:rsidR="00B4575D" w:rsidRDefault="00B4575D" w:rsidP="007E1E48">
      <w:pPr>
        <w:pStyle w:val="NoSpacing"/>
        <w:rPr>
          <w:sz w:val="24"/>
          <w:szCs w:val="24"/>
        </w:rPr>
      </w:pPr>
    </w:p>
    <w:p w14:paraId="625BD85D" w14:textId="3194041B" w:rsidR="00485DA7" w:rsidRDefault="00641352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Forum members are asked to </w:t>
      </w:r>
      <w:r w:rsidR="00D1247F">
        <w:rPr>
          <w:sz w:val="24"/>
          <w:szCs w:val="24"/>
        </w:rPr>
        <w:t xml:space="preserve">note </w:t>
      </w:r>
      <w:r>
        <w:rPr>
          <w:sz w:val="24"/>
          <w:szCs w:val="24"/>
        </w:rPr>
        <w:t>the 202</w:t>
      </w:r>
      <w:r w:rsidR="00E431B1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E431B1">
        <w:rPr>
          <w:sz w:val="24"/>
          <w:szCs w:val="24"/>
        </w:rPr>
        <w:t>4</w:t>
      </w:r>
      <w:r>
        <w:rPr>
          <w:sz w:val="24"/>
          <w:szCs w:val="24"/>
        </w:rPr>
        <w:t xml:space="preserve"> budget proposals for the use</w:t>
      </w:r>
      <w:r w:rsidR="00C63A48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resources received for the </w:t>
      </w:r>
      <w:r w:rsidR="00C63A48">
        <w:rPr>
          <w:sz w:val="24"/>
          <w:szCs w:val="24"/>
        </w:rPr>
        <w:t>H</w:t>
      </w:r>
      <w:r>
        <w:rPr>
          <w:sz w:val="24"/>
          <w:szCs w:val="24"/>
        </w:rPr>
        <w:t xml:space="preserve">igh </w:t>
      </w:r>
      <w:r w:rsidR="00C63A48">
        <w:rPr>
          <w:sz w:val="24"/>
          <w:szCs w:val="24"/>
        </w:rPr>
        <w:t>N</w:t>
      </w:r>
      <w:r>
        <w:rPr>
          <w:sz w:val="24"/>
          <w:szCs w:val="24"/>
        </w:rPr>
        <w:t>eeds block</w:t>
      </w:r>
      <w:r w:rsidR="0093362A">
        <w:rPr>
          <w:sz w:val="24"/>
          <w:szCs w:val="24"/>
        </w:rPr>
        <w:t>.</w:t>
      </w:r>
    </w:p>
    <w:p w14:paraId="1A577F4E" w14:textId="29BB99D8" w:rsidR="00D1247F" w:rsidRDefault="00D1247F" w:rsidP="007E1E48">
      <w:pPr>
        <w:pStyle w:val="NoSpacing"/>
        <w:rPr>
          <w:sz w:val="24"/>
          <w:szCs w:val="24"/>
        </w:rPr>
      </w:pPr>
    </w:p>
    <w:p w14:paraId="4BB2BD61" w14:textId="7B5E6CF4" w:rsidR="00485DA7" w:rsidRDefault="00D1247F" w:rsidP="007E1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changes to the budget proposals will be brought to Schools Forum as and when they are proposed.</w:t>
      </w:r>
    </w:p>
    <w:p w14:paraId="2318155F" w14:textId="77777777" w:rsidR="00485DA7" w:rsidRDefault="00485DA7" w:rsidP="007E1E48">
      <w:pPr>
        <w:pStyle w:val="NoSpacing"/>
        <w:rPr>
          <w:sz w:val="24"/>
          <w:szCs w:val="24"/>
        </w:rPr>
      </w:pPr>
    </w:p>
    <w:p w14:paraId="6EF675F3" w14:textId="77777777" w:rsidR="00D1247F" w:rsidRDefault="00D124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17DD19" w14:textId="77777777" w:rsidR="00D1247F" w:rsidRDefault="00D1247F" w:rsidP="00D1247F">
      <w:pPr>
        <w:pStyle w:val="NoSpacing"/>
        <w:jc w:val="center"/>
        <w:rPr>
          <w:b/>
          <w:sz w:val="24"/>
          <w:szCs w:val="24"/>
        </w:rPr>
        <w:sectPr w:rsidR="00D1247F" w:rsidSect="00485DA7">
          <w:pgSz w:w="11906" w:h="16838"/>
          <w:pgMar w:top="1079" w:right="1700" w:bottom="1440" w:left="1440" w:header="708" w:footer="708" w:gutter="0"/>
          <w:cols w:space="708"/>
          <w:docGrid w:linePitch="360"/>
        </w:sectPr>
      </w:pPr>
    </w:p>
    <w:p w14:paraId="65D519DC" w14:textId="08D4EE91" w:rsidR="00485DA7" w:rsidRDefault="00D1247F" w:rsidP="00D1247F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485DA7" w:rsidRPr="00485DA7">
        <w:rPr>
          <w:b/>
          <w:sz w:val="24"/>
          <w:szCs w:val="24"/>
        </w:rPr>
        <w:t>nnex 1</w:t>
      </w:r>
    </w:p>
    <w:p w14:paraId="6BD0DEE7" w14:textId="470446E4" w:rsidR="00666BE2" w:rsidRDefault="00666BE2" w:rsidP="00D1247F">
      <w:pPr>
        <w:pStyle w:val="NoSpacing"/>
        <w:jc w:val="right"/>
        <w:rPr>
          <w:b/>
          <w:sz w:val="24"/>
          <w:szCs w:val="24"/>
        </w:rPr>
      </w:pPr>
    </w:p>
    <w:p w14:paraId="0A208627" w14:textId="5EE92DF3" w:rsidR="00666BE2" w:rsidRDefault="00666BE2" w:rsidP="00D1247F">
      <w:pPr>
        <w:pStyle w:val="NoSpacing"/>
        <w:jc w:val="right"/>
        <w:rPr>
          <w:b/>
          <w:sz w:val="24"/>
          <w:szCs w:val="24"/>
        </w:rPr>
      </w:pPr>
    </w:p>
    <w:p w14:paraId="535CB05B" w14:textId="25E665A2" w:rsidR="00666BE2" w:rsidRDefault="00666BE2" w:rsidP="00D1247F">
      <w:pPr>
        <w:pStyle w:val="NoSpacing"/>
        <w:jc w:val="right"/>
        <w:rPr>
          <w:b/>
          <w:sz w:val="24"/>
          <w:szCs w:val="24"/>
        </w:rPr>
      </w:pPr>
    </w:p>
    <w:p w14:paraId="12D5B1C6" w14:textId="77777777" w:rsidR="00666BE2" w:rsidRPr="00485DA7" w:rsidRDefault="00666BE2" w:rsidP="00666BE2">
      <w:pPr>
        <w:pStyle w:val="NoSpacing"/>
        <w:rPr>
          <w:b/>
          <w:sz w:val="24"/>
          <w:szCs w:val="24"/>
        </w:rPr>
      </w:pPr>
    </w:p>
    <w:p w14:paraId="3B4DE770" w14:textId="550888B3" w:rsidR="00485DA7" w:rsidRDefault="00485DA7" w:rsidP="007E1E48">
      <w:pPr>
        <w:pStyle w:val="NoSpacing"/>
        <w:rPr>
          <w:sz w:val="24"/>
          <w:szCs w:val="24"/>
        </w:rPr>
      </w:pPr>
    </w:p>
    <w:tbl>
      <w:tblPr>
        <w:tblW w:w="16201" w:type="dxa"/>
        <w:tblLook w:val="0420" w:firstRow="1" w:lastRow="0" w:firstColumn="0" w:lastColumn="0" w:noHBand="0" w:noVBand="1"/>
        <w:tblCaption w:val="Birmingham High Needs Block budgets 2022-23 &amp; 2023-24"/>
        <w:tblDescription w:val="Birmingham High Needs Block budgets 2022-23 &amp; 2023-24"/>
      </w:tblPr>
      <w:tblGrid>
        <w:gridCol w:w="3246"/>
        <w:gridCol w:w="941"/>
        <w:gridCol w:w="941"/>
        <w:gridCol w:w="764"/>
        <w:gridCol w:w="764"/>
        <w:gridCol w:w="941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AE2668" w:rsidRPr="00AE2668" w14:paraId="4C32FC04" w14:textId="77777777" w:rsidTr="006D5029">
        <w:trPr>
          <w:cantSplit/>
          <w:trHeight w:val="310"/>
          <w:tblHeader/>
        </w:trPr>
        <w:tc>
          <w:tcPr>
            <w:tcW w:w="6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332F" w14:textId="77777777" w:rsidR="00AE2668" w:rsidRPr="00AE2668" w:rsidRDefault="00AE2668" w:rsidP="00AE26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Birmingham High Needs Block budgets 2022-23 &amp; 2023-24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7654" w14:textId="77777777" w:rsidR="00AE2668" w:rsidRPr="00AE2668" w:rsidRDefault="00AE2668" w:rsidP="00AE26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4FB4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8867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35B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7F07" w14:textId="77777777" w:rsidR="00AE2668" w:rsidRPr="00AE2668" w:rsidRDefault="00AE2668" w:rsidP="00AE26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08A2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0791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21EB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D87D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6FF46A19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FFAA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114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F37" w14:textId="77777777" w:rsidR="00AE2668" w:rsidRPr="00AE2668" w:rsidRDefault="00AE2668" w:rsidP="00AE26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6114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1CC7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AFF8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A757" w14:textId="77777777" w:rsidR="00AE2668" w:rsidRPr="00AE2668" w:rsidRDefault="00AE2668" w:rsidP="00AE26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A42C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795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2AC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EEA1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B3970E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75AE1726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2BB11F4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DAC8EF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7B38DED8" w14:textId="77777777" w:rsidTr="006D5029">
        <w:trPr>
          <w:cantSplit/>
          <w:trHeight w:val="8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23EA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74991F6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2022-23 budget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6EEC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2022-23 budget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6B9246E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2023-24 budget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81DA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2023-24 budget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5FD65A2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annual increase / </w:t>
            </w:r>
            <w:r w:rsidRPr="00AE2668">
              <w:rPr>
                <w:rFonts w:eastAsia="Times New Roman" w:cs="Calibri"/>
                <w:b/>
                <w:bCs/>
                <w:color w:val="FF0000"/>
                <w:lang w:eastAsia="en-GB"/>
              </w:rPr>
              <w:t>(decrease)</w:t>
            </w:r>
          </w:p>
        </w:tc>
        <w:tc>
          <w:tcPr>
            <w:tcW w:w="1076" w:type="dxa"/>
            <w:vAlign w:val="center"/>
            <w:hideMark/>
          </w:tcPr>
          <w:p w14:paraId="6530BEBB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A1205B2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0713782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26B58C2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24CE55D6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F28A" w14:textId="77777777" w:rsidR="00AE2668" w:rsidRPr="00AE2668" w:rsidRDefault="00AE2668" w:rsidP="00AE26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6A6B88" w14:textId="77777777" w:rsidR="00AE2668" w:rsidRPr="00AE2668" w:rsidRDefault="00AE2668" w:rsidP="00AE26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ABFA40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4BC7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0C06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AE3067" w14:textId="77777777" w:rsidR="00AE2668" w:rsidRPr="00AE2668" w:rsidRDefault="00AE2668" w:rsidP="00AE26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839A51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C010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E6DA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C40626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2CBF30" w14:textId="77777777" w:rsidR="00AE2668" w:rsidRPr="00AE2668" w:rsidRDefault="00AE2668" w:rsidP="00AE26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£m</w:t>
            </w:r>
          </w:p>
        </w:tc>
        <w:tc>
          <w:tcPr>
            <w:tcW w:w="1076" w:type="dxa"/>
            <w:vAlign w:val="center"/>
            <w:hideMark/>
          </w:tcPr>
          <w:p w14:paraId="04AF770C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A76BC5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823F2D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62782B6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60EA76E3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C4CB" w14:textId="77777777" w:rsidR="00AE2668" w:rsidRPr="00AE2668" w:rsidRDefault="00AE2668" w:rsidP="00AE2668">
            <w:pPr>
              <w:spacing w:after="0" w:line="240" w:lineRule="auto"/>
              <w:outlineLvl w:val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Direct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ED4F40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062A3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0D6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C8F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498C0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C4E29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1AA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DB1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474B23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1A5DA0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088689C9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2C60A283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24741C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2B41084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20E4DD32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C1A0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Special Schools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13E4D4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111.816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3E5A5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78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45.9%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793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71FB9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121.614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8D69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7B2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44.9%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5D9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FDB20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9.798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62FF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2D2B12A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6877C804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6412D8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D7B5E7F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5FBECE96" w14:textId="77777777" w:rsidTr="006D5029">
        <w:trPr>
          <w:cantSplit/>
          <w:trHeight w:val="58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7D57" w14:textId="5C95B18B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Main</w:t>
            </w:r>
            <w:r w:rsidR="009F15C5">
              <w:rPr>
                <w:rFonts w:eastAsia="Times New Roman" w:cs="Calibri"/>
                <w:color w:val="000000"/>
                <w:lang w:eastAsia="en-GB"/>
              </w:rPr>
              <w:t>s</w:t>
            </w:r>
            <w:r w:rsidRPr="00AE2668">
              <w:rPr>
                <w:rFonts w:eastAsia="Times New Roman" w:cs="Calibri"/>
                <w:color w:val="000000"/>
                <w:lang w:eastAsia="en-GB"/>
              </w:rPr>
              <w:t>tream Provision - Top Up/CRISP/Support Units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033299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19.600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8CFB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81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8.1%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B3D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455777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25.701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3947F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9D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9.5%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6A1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6F84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6.101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F771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54D76E4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67AEDFAE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AC7FC0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251CDFB4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2A8A83A9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344C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Independent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B1F59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7E8E1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2260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6.6%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B4E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752809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18.782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8DAF7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66E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6.9%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04C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F33B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2.782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FEE5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24183B6E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0ACB60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CD077A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489EE5F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387B0573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B95F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Post 16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9363A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15.687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1F1D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835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6.4%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AB2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BECB1E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18.075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831BC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B85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6.7%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0F5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28453E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2.389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F528E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3D2FD7E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6F7B720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6DD2ECC1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FD1A38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1CA9FEA0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E857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Resource Bases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BA2A18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12.683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DC86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615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5.2%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812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D8020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13.236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E9313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639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4.9%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32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21EC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0.553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C2DAC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0A50107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C953931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3BFE5F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3E6146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12C3347C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0AFB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Medical &amp; Hospital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A40444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10.500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4490A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0CF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4.3%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806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B8747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12.838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6172A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66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4.7%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3C1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01AB5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2.338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789D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270FD76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25C712D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61297639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EA95F8C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10E17AE2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3C7B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Pupil Referral Unit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A26CE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7.945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F8AC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856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3.3%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C3C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112013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8.718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086BFE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C91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3.2%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2F3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ADDC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0.772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EB90F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3825DE0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FC37B2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29583B0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38DCFCF8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12FDE668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D9D6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Other Local Authority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38C741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3.680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40BA4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932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1.5%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488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05B2F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4.373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26ED9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B48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1.6%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12C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527E2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0.693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BDEBB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5809A87F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591ED4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A4867C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6C3075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62E06C68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EE09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Nursery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4A956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2.137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A10875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3D8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0.9%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59C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F28AA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2.973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D7DCA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8C7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1.1%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B77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3B706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0.836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4ECC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5C0C466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DF62C38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80B46C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73A6D904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1A5DE8E6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B8A8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6th Day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D7EDEF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0.927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CFA8B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50FD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0.4%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C6B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614EC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0.927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BD95A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B1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0C3E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51840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431B20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56744389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54FBF5A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F6CBEB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29DCE58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7054D64C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8145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Alternative Provision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7F302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0.893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F25D6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414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0.4%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4856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A1FBA3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0.330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3F615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6C7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0.1%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6A0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901E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FF0000"/>
                <w:lang w:eastAsia="en-GB"/>
              </w:rPr>
              <w:t>(0.563)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FB204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631265C9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3D7C4FB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17ACBFC8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5946130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7EA4C75A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0AE3" w14:textId="77777777" w:rsidR="00AE2668" w:rsidRPr="00AE2668" w:rsidRDefault="00AE2668" w:rsidP="00AE2668">
            <w:pPr>
              <w:spacing w:after="0" w:line="240" w:lineRule="auto"/>
              <w:ind w:firstLineChars="100" w:firstLine="220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Travelling Children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E461E3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8BF685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078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0.1%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971F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D36BBF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0.158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D95AB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567A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0.1%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4AE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07B4B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0.008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86D91E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vAlign w:val="center"/>
            <w:hideMark/>
          </w:tcPr>
          <w:p w14:paraId="06442AE5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02E424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9B0476D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AB0E096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E2668" w:rsidRPr="00AE2668" w14:paraId="57764246" w14:textId="77777777" w:rsidTr="006D5029">
        <w:trPr>
          <w:cantSplit/>
          <w:trHeight w:val="29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B5B1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713A6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9CB07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202.019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B1F9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C8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83.0%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313E73" w14:textId="77777777" w:rsidR="00AE2668" w:rsidRPr="00AE2668" w:rsidRDefault="00AE2668" w:rsidP="00AE2668">
            <w:pPr>
              <w:spacing w:after="0" w:line="240" w:lineRule="auto"/>
              <w:jc w:val="right"/>
              <w:outlineLvl w:val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5A894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227.725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17B3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F118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84.1%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9BC8A2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CE16C" w14:textId="77777777" w:rsidR="00AE2668" w:rsidRPr="00AE2668" w:rsidRDefault="00AE2668" w:rsidP="00AE2668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000000"/>
                <w:lang w:eastAsia="en-GB"/>
              </w:rPr>
            </w:pPr>
            <w:r w:rsidRPr="00AE2668">
              <w:rPr>
                <w:rFonts w:eastAsia="Times New Roman" w:cs="Calibri"/>
                <w:color w:val="000000"/>
                <w:lang w:eastAsia="en-GB"/>
              </w:rPr>
              <w:t>25.706</w:t>
            </w:r>
          </w:p>
        </w:tc>
        <w:tc>
          <w:tcPr>
            <w:tcW w:w="1076" w:type="dxa"/>
            <w:vAlign w:val="center"/>
            <w:hideMark/>
          </w:tcPr>
          <w:p w14:paraId="5E10AC4C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40AEC510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0BCACE68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vAlign w:val="center"/>
            <w:hideMark/>
          </w:tcPr>
          <w:p w14:paraId="7E5D2C37" w14:textId="77777777" w:rsidR="00AE2668" w:rsidRPr="00AE2668" w:rsidRDefault="00AE2668" w:rsidP="00AE26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43710F9F" w14:textId="78260F5B" w:rsidR="00666BE2" w:rsidRDefault="00666BE2" w:rsidP="007E1E48">
      <w:pPr>
        <w:pStyle w:val="NoSpacing"/>
        <w:rPr>
          <w:sz w:val="24"/>
          <w:szCs w:val="24"/>
        </w:rPr>
      </w:pPr>
    </w:p>
    <w:p w14:paraId="3A7BE71D" w14:textId="7D72D754" w:rsidR="00666BE2" w:rsidRDefault="00666BE2" w:rsidP="007E1E48">
      <w:pPr>
        <w:pStyle w:val="NoSpacing"/>
        <w:rPr>
          <w:sz w:val="24"/>
          <w:szCs w:val="24"/>
        </w:rPr>
      </w:pPr>
    </w:p>
    <w:p w14:paraId="25533838" w14:textId="08D6ECFE" w:rsidR="00666BE2" w:rsidRDefault="00AE2668" w:rsidP="007E1E48">
      <w:pPr>
        <w:pStyle w:val="NoSpacing"/>
        <w:rPr>
          <w:sz w:val="24"/>
          <w:szCs w:val="24"/>
        </w:rPr>
      </w:pPr>
      <w:r w:rsidRPr="00AE2668">
        <w:rPr>
          <w:noProof/>
        </w:rPr>
        <w:lastRenderedPageBreak/>
        <w:drawing>
          <wp:inline distT="0" distB="0" distL="0" distR="0" wp14:anchorId="3E866690" wp14:editId="2E846C1B">
            <wp:extent cx="8959850" cy="5566410"/>
            <wp:effectExtent l="0" t="0" r="0" b="0"/>
            <wp:docPr id="5" name="Picture 5" descr="Budget by business are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dget by business are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0" cy="55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E2" w:rsidSect="00D1247F">
      <w:pgSz w:w="16838" w:h="11906" w:orient="landscape"/>
      <w:pgMar w:top="1440" w:right="1079" w:bottom="17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6725" w14:textId="77777777" w:rsidR="00911EC3" w:rsidRDefault="00911EC3" w:rsidP="00714D13">
      <w:r>
        <w:separator/>
      </w:r>
    </w:p>
  </w:endnote>
  <w:endnote w:type="continuationSeparator" w:id="0">
    <w:p w14:paraId="5B65EFB5" w14:textId="77777777" w:rsidR="00911EC3" w:rsidRDefault="00911EC3" w:rsidP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BF3D" w14:textId="77777777" w:rsidR="00911EC3" w:rsidRDefault="00911EC3" w:rsidP="00714D13">
      <w:r>
        <w:separator/>
      </w:r>
    </w:p>
  </w:footnote>
  <w:footnote w:type="continuationSeparator" w:id="0">
    <w:p w14:paraId="5E084BE2" w14:textId="77777777" w:rsidR="00911EC3" w:rsidRDefault="00911EC3" w:rsidP="0071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E9"/>
    <w:multiLevelType w:val="hybridMultilevel"/>
    <w:tmpl w:val="EAFC6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91335"/>
    <w:multiLevelType w:val="hybridMultilevel"/>
    <w:tmpl w:val="C6006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BC"/>
    <w:multiLevelType w:val="multilevel"/>
    <w:tmpl w:val="07DE2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E4F07"/>
    <w:multiLevelType w:val="multilevel"/>
    <w:tmpl w:val="0E60D1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318C9"/>
    <w:multiLevelType w:val="multilevel"/>
    <w:tmpl w:val="02BC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40D6B"/>
    <w:multiLevelType w:val="hybridMultilevel"/>
    <w:tmpl w:val="206C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D15"/>
    <w:multiLevelType w:val="hybridMultilevel"/>
    <w:tmpl w:val="264480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90127B"/>
    <w:multiLevelType w:val="hybridMultilevel"/>
    <w:tmpl w:val="3F783D36"/>
    <w:lvl w:ilvl="0" w:tplc="1268981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93F2F4A"/>
    <w:multiLevelType w:val="hybridMultilevel"/>
    <w:tmpl w:val="AF468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84274"/>
    <w:multiLevelType w:val="hybridMultilevel"/>
    <w:tmpl w:val="3294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ACF"/>
    <w:multiLevelType w:val="hybridMultilevel"/>
    <w:tmpl w:val="C60E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7934"/>
    <w:multiLevelType w:val="hybridMultilevel"/>
    <w:tmpl w:val="0D9207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D1B22"/>
    <w:multiLevelType w:val="hybridMultilevel"/>
    <w:tmpl w:val="5334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7CF"/>
    <w:multiLevelType w:val="hybridMultilevel"/>
    <w:tmpl w:val="67B02966"/>
    <w:lvl w:ilvl="0" w:tplc="E02224A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36211"/>
    <w:multiLevelType w:val="hybridMultilevel"/>
    <w:tmpl w:val="9AAEA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7497"/>
    <w:multiLevelType w:val="hybridMultilevel"/>
    <w:tmpl w:val="09488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7583B"/>
    <w:multiLevelType w:val="hybridMultilevel"/>
    <w:tmpl w:val="38EE724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CA28A8"/>
    <w:multiLevelType w:val="hybridMultilevel"/>
    <w:tmpl w:val="E1F2B674"/>
    <w:lvl w:ilvl="0" w:tplc="FD8C7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6F1E"/>
    <w:multiLevelType w:val="hybridMultilevel"/>
    <w:tmpl w:val="62527B8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4642C6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B1C1C"/>
    <w:multiLevelType w:val="hybridMultilevel"/>
    <w:tmpl w:val="4BB2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34B65"/>
    <w:multiLevelType w:val="hybridMultilevel"/>
    <w:tmpl w:val="716CA0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65A39"/>
    <w:multiLevelType w:val="hybridMultilevel"/>
    <w:tmpl w:val="E934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5015D"/>
    <w:multiLevelType w:val="hybridMultilevel"/>
    <w:tmpl w:val="27124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223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1E0516"/>
    <w:multiLevelType w:val="hybridMultilevel"/>
    <w:tmpl w:val="A30EE0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F1608"/>
    <w:multiLevelType w:val="hybridMultilevel"/>
    <w:tmpl w:val="203E3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2B4091"/>
    <w:multiLevelType w:val="hybridMultilevel"/>
    <w:tmpl w:val="82B0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00485"/>
    <w:multiLevelType w:val="hybridMultilevel"/>
    <w:tmpl w:val="8A0C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41FAD"/>
    <w:multiLevelType w:val="hybridMultilevel"/>
    <w:tmpl w:val="D0C8285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ECD0A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494D6554"/>
    <w:multiLevelType w:val="hybridMultilevel"/>
    <w:tmpl w:val="1262AE28"/>
    <w:lvl w:ilvl="0" w:tplc="C602F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AC0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8EC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ova Light" w:hAnsi="Arial Nova Light" w:hint="default"/>
      </w:rPr>
    </w:lvl>
    <w:lvl w:ilvl="3" w:tplc="69DA6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5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E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E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CD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D3C12"/>
    <w:multiLevelType w:val="hybridMultilevel"/>
    <w:tmpl w:val="E912E062"/>
    <w:lvl w:ilvl="0" w:tplc="4B6A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440A9"/>
    <w:multiLevelType w:val="hybridMultilevel"/>
    <w:tmpl w:val="75C4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00C6"/>
    <w:multiLevelType w:val="hybridMultilevel"/>
    <w:tmpl w:val="BB68F9EA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56AA73CD"/>
    <w:multiLevelType w:val="hybridMultilevel"/>
    <w:tmpl w:val="22D6C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6631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91B55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37E12"/>
    <w:multiLevelType w:val="hybridMultilevel"/>
    <w:tmpl w:val="B69E3D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A08F8"/>
    <w:multiLevelType w:val="hybridMultilevel"/>
    <w:tmpl w:val="A55E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975AC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40D5E"/>
    <w:multiLevelType w:val="hybridMultilevel"/>
    <w:tmpl w:val="258255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435671"/>
    <w:multiLevelType w:val="hybridMultilevel"/>
    <w:tmpl w:val="DB3641F2"/>
    <w:lvl w:ilvl="0" w:tplc="4B4AA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1D577D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25D23"/>
    <w:multiLevelType w:val="hybridMultilevel"/>
    <w:tmpl w:val="BC92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30C96"/>
    <w:multiLevelType w:val="hybridMultilevel"/>
    <w:tmpl w:val="450C2A0E"/>
    <w:lvl w:ilvl="0" w:tplc="9E04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7D3C56"/>
    <w:multiLevelType w:val="hybridMultilevel"/>
    <w:tmpl w:val="022E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23BD8"/>
    <w:multiLevelType w:val="hybridMultilevel"/>
    <w:tmpl w:val="647670B4"/>
    <w:lvl w:ilvl="0" w:tplc="4ACE2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E24DD"/>
    <w:multiLevelType w:val="hybridMultilevel"/>
    <w:tmpl w:val="CB0A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7084">
    <w:abstractNumId w:val="4"/>
  </w:num>
  <w:num w:numId="2" w16cid:durableId="1989363091">
    <w:abstractNumId w:val="44"/>
  </w:num>
  <w:num w:numId="3" w16cid:durableId="1602687217">
    <w:abstractNumId w:val="31"/>
  </w:num>
  <w:num w:numId="4" w16cid:durableId="532773178">
    <w:abstractNumId w:val="1"/>
  </w:num>
  <w:num w:numId="5" w16cid:durableId="1261840651">
    <w:abstractNumId w:val="3"/>
  </w:num>
  <w:num w:numId="6" w16cid:durableId="639191613">
    <w:abstractNumId w:val="41"/>
  </w:num>
  <w:num w:numId="7" w16cid:durableId="1761826890">
    <w:abstractNumId w:val="13"/>
  </w:num>
  <w:num w:numId="8" w16cid:durableId="124933461">
    <w:abstractNumId w:val="2"/>
  </w:num>
  <w:num w:numId="9" w16cid:durableId="603418302">
    <w:abstractNumId w:val="35"/>
  </w:num>
  <w:num w:numId="10" w16cid:durableId="1141919662">
    <w:abstractNumId w:val="17"/>
  </w:num>
  <w:num w:numId="11" w16cid:durableId="1411655721">
    <w:abstractNumId w:val="34"/>
  </w:num>
  <w:num w:numId="12" w16cid:durableId="538081470">
    <w:abstractNumId w:val="5"/>
  </w:num>
  <w:num w:numId="13" w16cid:durableId="1956401417">
    <w:abstractNumId w:val="39"/>
  </w:num>
  <w:num w:numId="14" w16cid:durableId="1149518685">
    <w:abstractNumId w:val="19"/>
  </w:num>
  <w:num w:numId="15" w16cid:durableId="1280524965">
    <w:abstractNumId w:val="6"/>
  </w:num>
  <w:num w:numId="16" w16cid:durableId="542064499">
    <w:abstractNumId w:val="36"/>
  </w:num>
  <w:num w:numId="17" w16cid:durableId="1467233339">
    <w:abstractNumId w:val="42"/>
  </w:num>
  <w:num w:numId="18" w16cid:durableId="867840082">
    <w:abstractNumId w:val="12"/>
  </w:num>
  <w:num w:numId="19" w16cid:durableId="476531224">
    <w:abstractNumId w:val="25"/>
  </w:num>
  <w:num w:numId="20" w16cid:durableId="179248880">
    <w:abstractNumId w:val="45"/>
  </w:num>
  <w:num w:numId="21" w16cid:durableId="1849832216">
    <w:abstractNumId w:val="14"/>
  </w:num>
  <w:num w:numId="22" w16cid:durableId="754940251">
    <w:abstractNumId w:val="8"/>
  </w:num>
  <w:num w:numId="23" w16cid:durableId="718750957">
    <w:abstractNumId w:val="15"/>
  </w:num>
  <w:num w:numId="24" w16cid:durableId="2098403255">
    <w:abstractNumId w:val="29"/>
  </w:num>
  <w:num w:numId="25" w16cid:durableId="1274243278">
    <w:abstractNumId w:val="33"/>
  </w:num>
  <w:num w:numId="26" w16cid:durableId="960385518">
    <w:abstractNumId w:val="0"/>
  </w:num>
  <w:num w:numId="27" w16cid:durableId="200022752">
    <w:abstractNumId w:val="21"/>
  </w:num>
  <w:num w:numId="28" w16cid:durableId="2016565638">
    <w:abstractNumId w:val="24"/>
  </w:num>
  <w:num w:numId="29" w16cid:durableId="2047410721">
    <w:abstractNumId w:val="40"/>
  </w:num>
  <w:num w:numId="30" w16cid:durableId="1392118508">
    <w:abstractNumId w:val="18"/>
  </w:num>
  <w:num w:numId="31" w16cid:durableId="1952122349">
    <w:abstractNumId w:val="10"/>
  </w:num>
  <w:num w:numId="32" w16cid:durableId="413941792">
    <w:abstractNumId w:val="47"/>
  </w:num>
  <w:num w:numId="33" w16cid:durableId="440883284">
    <w:abstractNumId w:val="46"/>
  </w:num>
  <w:num w:numId="34" w16cid:durableId="1157384822">
    <w:abstractNumId w:val="16"/>
  </w:num>
  <w:num w:numId="35" w16cid:durableId="874930651">
    <w:abstractNumId w:val="11"/>
  </w:num>
  <w:num w:numId="36" w16cid:durableId="1636138941">
    <w:abstractNumId w:val="28"/>
  </w:num>
  <w:num w:numId="37" w16cid:durableId="1060716293">
    <w:abstractNumId w:val="38"/>
  </w:num>
  <w:num w:numId="38" w16cid:durableId="1306617438">
    <w:abstractNumId w:val="23"/>
  </w:num>
  <w:num w:numId="39" w16cid:durableId="836648580">
    <w:abstractNumId w:val="27"/>
  </w:num>
  <w:num w:numId="40" w16cid:durableId="462164747">
    <w:abstractNumId w:val="7"/>
  </w:num>
  <w:num w:numId="41" w16cid:durableId="339816833">
    <w:abstractNumId w:val="37"/>
  </w:num>
  <w:num w:numId="42" w16cid:durableId="982659715">
    <w:abstractNumId w:val="20"/>
  </w:num>
  <w:num w:numId="43" w16cid:durableId="701784947">
    <w:abstractNumId w:val="43"/>
  </w:num>
  <w:num w:numId="44" w16cid:durableId="2122725184">
    <w:abstractNumId w:val="26"/>
  </w:num>
  <w:num w:numId="45" w16cid:durableId="1914006047">
    <w:abstractNumId w:val="32"/>
  </w:num>
  <w:num w:numId="46" w16cid:durableId="1073040626">
    <w:abstractNumId w:val="9"/>
  </w:num>
  <w:num w:numId="47" w16cid:durableId="319815975">
    <w:abstractNumId w:val="30"/>
  </w:num>
  <w:num w:numId="48" w16cid:durableId="13306687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0ylGXEnaMCom/HqWJji4kQ+waos213KDe8/JGnu6TgvKD6kWu21Qv26my1xNIjd"/>
  </w:docVars>
  <w:rsids>
    <w:rsidRoot w:val="008544CD"/>
    <w:rsid w:val="0001473C"/>
    <w:rsid w:val="00025C02"/>
    <w:rsid w:val="00025D18"/>
    <w:rsid w:val="00036814"/>
    <w:rsid w:val="00041ADC"/>
    <w:rsid w:val="00051619"/>
    <w:rsid w:val="00057C6A"/>
    <w:rsid w:val="00064120"/>
    <w:rsid w:val="000C1DB3"/>
    <w:rsid w:val="000C36CC"/>
    <w:rsid w:val="000C5B69"/>
    <w:rsid w:val="000D17D0"/>
    <w:rsid w:val="000D392E"/>
    <w:rsid w:val="000D39E2"/>
    <w:rsid w:val="000D3E96"/>
    <w:rsid w:val="000F301E"/>
    <w:rsid w:val="001003B8"/>
    <w:rsid w:val="00112C51"/>
    <w:rsid w:val="00125521"/>
    <w:rsid w:val="00150E37"/>
    <w:rsid w:val="0016718B"/>
    <w:rsid w:val="001725DE"/>
    <w:rsid w:val="001729E3"/>
    <w:rsid w:val="001768C6"/>
    <w:rsid w:val="00193FEA"/>
    <w:rsid w:val="001A131F"/>
    <w:rsid w:val="001B1322"/>
    <w:rsid w:val="001C0694"/>
    <w:rsid w:val="001C170B"/>
    <w:rsid w:val="001C3A3F"/>
    <w:rsid w:val="001C4B5D"/>
    <w:rsid w:val="001D2414"/>
    <w:rsid w:val="001D27C2"/>
    <w:rsid w:val="001E623B"/>
    <w:rsid w:val="0021662C"/>
    <w:rsid w:val="002174F2"/>
    <w:rsid w:val="0022109D"/>
    <w:rsid w:val="00223B04"/>
    <w:rsid w:val="00224247"/>
    <w:rsid w:val="00243C70"/>
    <w:rsid w:val="00251C1A"/>
    <w:rsid w:val="00256C64"/>
    <w:rsid w:val="00272BE1"/>
    <w:rsid w:val="0027388F"/>
    <w:rsid w:val="002C5061"/>
    <w:rsid w:val="002E5915"/>
    <w:rsid w:val="002F6B16"/>
    <w:rsid w:val="00305E8C"/>
    <w:rsid w:val="00311D16"/>
    <w:rsid w:val="003124D9"/>
    <w:rsid w:val="00314720"/>
    <w:rsid w:val="003266DB"/>
    <w:rsid w:val="003343B9"/>
    <w:rsid w:val="003503FC"/>
    <w:rsid w:val="0037336F"/>
    <w:rsid w:val="003737E7"/>
    <w:rsid w:val="00384FD8"/>
    <w:rsid w:val="00394B37"/>
    <w:rsid w:val="003974FB"/>
    <w:rsid w:val="003A44EA"/>
    <w:rsid w:val="003C1A9E"/>
    <w:rsid w:val="003C5C4E"/>
    <w:rsid w:val="003D349D"/>
    <w:rsid w:val="003E148A"/>
    <w:rsid w:val="003E6398"/>
    <w:rsid w:val="003F12CF"/>
    <w:rsid w:val="003F2824"/>
    <w:rsid w:val="003F4AF3"/>
    <w:rsid w:val="003F71AE"/>
    <w:rsid w:val="004032B8"/>
    <w:rsid w:val="00412958"/>
    <w:rsid w:val="00412CB1"/>
    <w:rsid w:val="0042387B"/>
    <w:rsid w:val="00431EE3"/>
    <w:rsid w:val="004323CD"/>
    <w:rsid w:val="0044212B"/>
    <w:rsid w:val="004517A7"/>
    <w:rsid w:val="00472ADA"/>
    <w:rsid w:val="004733DB"/>
    <w:rsid w:val="004753F4"/>
    <w:rsid w:val="0048439B"/>
    <w:rsid w:val="00485DA7"/>
    <w:rsid w:val="00491CFA"/>
    <w:rsid w:val="00494A9D"/>
    <w:rsid w:val="004D10C6"/>
    <w:rsid w:val="004D1E36"/>
    <w:rsid w:val="004E443D"/>
    <w:rsid w:val="004F40BD"/>
    <w:rsid w:val="005052AA"/>
    <w:rsid w:val="00507881"/>
    <w:rsid w:val="00507E94"/>
    <w:rsid w:val="0051297A"/>
    <w:rsid w:val="00525D4A"/>
    <w:rsid w:val="005631FB"/>
    <w:rsid w:val="00583E05"/>
    <w:rsid w:val="00585512"/>
    <w:rsid w:val="005A5FAC"/>
    <w:rsid w:val="005C07B5"/>
    <w:rsid w:val="005D4A36"/>
    <w:rsid w:val="005E1B5E"/>
    <w:rsid w:val="005E625F"/>
    <w:rsid w:val="005F26ED"/>
    <w:rsid w:val="005F4807"/>
    <w:rsid w:val="0061434E"/>
    <w:rsid w:val="00627C70"/>
    <w:rsid w:val="00641352"/>
    <w:rsid w:val="00652353"/>
    <w:rsid w:val="00652D91"/>
    <w:rsid w:val="0065341E"/>
    <w:rsid w:val="00661D52"/>
    <w:rsid w:val="00666653"/>
    <w:rsid w:val="00666BE2"/>
    <w:rsid w:val="006A068E"/>
    <w:rsid w:val="006A74AC"/>
    <w:rsid w:val="006B1E5E"/>
    <w:rsid w:val="006C52BF"/>
    <w:rsid w:val="006C7497"/>
    <w:rsid w:val="006C7DBC"/>
    <w:rsid w:val="006D5029"/>
    <w:rsid w:val="006E04C9"/>
    <w:rsid w:val="00711ACE"/>
    <w:rsid w:val="00714D13"/>
    <w:rsid w:val="0071678D"/>
    <w:rsid w:val="00725156"/>
    <w:rsid w:val="00727846"/>
    <w:rsid w:val="0073164E"/>
    <w:rsid w:val="00734461"/>
    <w:rsid w:val="007418BD"/>
    <w:rsid w:val="007614A4"/>
    <w:rsid w:val="0076461C"/>
    <w:rsid w:val="00767E4B"/>
    <w:rsid w:val="007741C3"/>
    <w:rsid w:val="007744B7"/>
    <w:rsid w:val="00786D9D"/>
    <w:rsid w:val="007870EE"/>
    <w:rsid w:val="00797BC3"/>
    <w:rsid w:val="007A31C6"/>
    <w:rsid w:val="007A4BD4"/>
    <w:rsid w:val="007A526A"/>
    <w:rsid w:val="007E0684"/>
    <w:rsid w:val="007E1E48"/>
    <w:rsid w:val="007E4CAB"/>
    <w:rsid w:val="007E696A"/>
    <w:rsid w:val="007F448F"/>
    <w:rsid w:val="007F50D5"/>
    <w:rsid w:val="00805C18"/>
    <w:rsid w:val="008130A8"/>
    <w:rsid w:val="00830FBD"/>
    <w:rsid w:val="0083146A"/>
    <w:rsid w:val="008367C4"/>
    <w:rsid w:val="008402F7"/>
    <w:rsid w:val="00843AA9"/>
    <w:rsid w:val="00844750"/>
    <w:rsid w:val="00847AAA"/>
    <w:rsid w:val="008544CD"/>
    <w:rsid w:val="00855290"/>
    <w:rsid w:val="00862BC2"/>
    <w:rsid w:val="008807B2"/>
    <w:rsid w:val="008B420B"/>
    <w:rsid w:val="008C07B8"/>
    <w:rsid w:val="008D1032"/>
    <w:rsid w:val="008D516B"/>
    <w:rsid w:val="008D558C"/>
    <w:rsid w:val="008F2903"/>
    <w:rsid w:val="008F325E"/>
    <w:rsid w:val="008F4028"/>
    <w:rsid w:val="008F6346"/>
    <w:rsid w:val="009033AF"/>
    <w:rsid w:val="0090396E"/>
    <w:rsid w:val="00905D39"/>
    <w:rsid w:val="00911EC3"/>
    <w:rsid w:val="0092499B"/>
    <w:rsid w:val="00925CDA"/>
    <w:rsid w:val="00931EFE"/>
    <w:rsid w:val="009321D2"/>
    <w:rsid w:val="0093362A"/>
    <w:rsid w:val="00935D50"/>
    <w:rsid w:val="009424B4"/>
    <w:rsid w:val="00961380"/>
    <w:rsid w:val="00962BBE"/>
    <w:rsid w:val="00977A33"/>
    <w:rsid w:val="00984A78"/>
    <w:rsid w:val="009B370A"/>
    <w:rsid w:val="009C7F5F"/>
    <w:rsid w:val="009E595A"/>
    <w:rsid w:val="009F01AD"/>
    <w:rsid w:val="009F15C5"/>
    <w:rsid w:val="00A03B11"/>
    <w:rsid w:val="00A05285"/>
    <w:rsid w:val="00A05F12"/>
    <w:rsid w:val="00A2008B"/>
    <w:rsid w:val="00A3522F"/>
    <w:rsid w:val="00A472DD"/>
    <w:rsid w:val="00A477E5"/>
    <w:rsid w:val="00A555ED"/>
    <w:rsid w:val="00A71094"/>
    <w:rsid w:val="00A7543E"/>
    <w:rsid w:val="00A91BEC"/>
    <w:rsid w:val="00AA5198"/>
    <w:rsid w:val="00AB7D36"/>
    <w:rsid w:val="00AC65A1"/>
    <w:rsid w:val="00AD2F60"/>
    <w:rsid w:val="00AD39E0"/>
    <w:rsid w:val="00AE2668"/>
    <w:rsid w:val="00AE7F12"/>
    <w:rsid w:val="00AF0AF3"/>
    <w:rsid w:val="00AF66C8"/>
    <w:rsid w:val="00B12EB0"/>
    <w:rsid w:val="00B14E8F"/>
    <w:rsid w:val="00B2542D"/>
    <w:rsid w:val="00B33074"/>
    <w:rsid w:val="00B4575D"/>
    <w:rsid w:val="00B553CA"/>
    <w:rsid w:val="00B65B7C"/>
    <w:rsid w:val="00B71C72"/>
    <w:rsid w:val="00B83102"/>
    <w:rsid w:val="00B93682"/>
    <w:rsid w:val="00BA37A6"/>
    <w:rsid w:val="00BB1EC4"/>
    <w:rsid w:val="00BB2604"/>
    <w:rsid w:val="00BC3206"/>
    <w:rsid w:val="00BD5ED6"/>
    <w:rsid w:val="00BF0116"/>
    <w:rsid w:val="00BF2AF0"/>
    <w:rsid w:val="00BF59FF"/>
    <w:rsid w:val="00C27E20"/>
    <w:rsid w:val="00C360EF"/>
    <w:rsid w:val="00C377CF"/>
    <w:rsid w:val="00C4076B"/>
    <w:rsid w:val="00C500EC"/>
    <w:rsid w:val="00C5761A"/>
    <w:rsid w:val="00C57798"/>
    <w:rsid w:val="00C6338F"/>
    <w:rsid w:val="00C63A48"/>
    <w:rsid w:val="00C748A0"/>
    <w:rsid w:val="00C766D7"/>
    <w:rsid w:val="00C81E5D"/>
    <w:rsid w:val="00C91997"/>
    <w:rsid w:val="00CA391F"/>
    <w:rsid w:val="00CC12C1"/>
    <w:rsid w:val="00CC4D9A"/>
    <w:rsid w:val="00CD2E68"/>
    <w:rsid w:val="00CD520D"/>
    <w:rsid w:val="00CE71E2"/>
    <w:rsid w:val="00CE7F5C"/>
    <w:rsid w:val="00D005DE"/>
    <w:rsid w:val="00D114D8"/>
    <w:rsid w:val="00D11610"/>
    <w:rsid w:val="00D1247F"/>
    <w:rsid w:val="00D12A52"/>
    <w:rsid w:val="00D163C6"/>
    <w:rsid w:val="00D23898"/>
    <w:rsid w:val="00D3315C"/>
    <w:rsid w:val="00D7002F"/>
    <w:rsid w:val="00D72503"/>
    <w:rsid w:val="00D774CF"/>
    <w:rsid w:val="00D81540"/>
    <w:rsid w:val="00D94AE3"/>
    <w:rsid w:val="00D9707A"/>
    <w:rsid w:val="00DA1D87"/>
    <w:rsid w:val="00DC1408"/>
    <w:rsid w:val="00DE1147"/>
    <w:rsid w:val="00E0129D"/>
    <w:rsid w:val="00E05DCD"/>
    <w:rsid w:val="00E078E9"/>
    <w:rsid w:val="00E431B1"/>
    <w:rsid w:val="00E77F31"/>
    <w:rsid w:val="00E8556E"/>
    <w:rsid w:val="00E954DF"/>
    <w:rsid w:val="00EA0FD6"/>
    <w:rsid w:val="00EA4A73"/>
    <w:rsid w:val="00EC624D"/>
    <w:rsid w:val="00EC7531"/>
    <w:rsid w:val="00ED6506"/>
    <w:rsid w:val="00ED6FD5"/>
    <w:rsid w:val="00EE270C"/>
    <w:rsid w:val="00F078C1"/>
    <w:rsid w:val="00F15C63"/>
    <w:rsid w:val="00F22C7F"/>
    <w:rsid w:val="00F32E4C"/>
    <w:rsid w:val="00F365C7"/>
    <w:rsid w:val="00F41E98"/>
    <w:rsid w:val="00F47F26"/>
    <w:rsid w:val="00F55F60"/>
    <w:rsid w:val="00F72F50"/>
    <w:rsid w:val="00F76FCE"/>
    <w:rsid w:val="00F80531"/>
    <w:rsid w:val="00F9065B"/>
    <w:rsid w:val="00FB130E"/>
    <w:rsid w:val="00FC2ACC"/>
    <w:rsid w:val="00FC4A73"/>
    <w:rsid w:val="00FD0C00"/>
    <w:rsid w:val="00FD1261"/>
    <w:rsid w:val="00FD4CF2"/>
    <w:rsid w:val="00FD7D10"/>
    <w:rsid w:val="00FE0F37"/>
    <w:rsid w:val="00FE2697"/>
    <w:rsid w:val="00FE56A4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41E5"/>
  <w15:docId w15:val="{F8AC066E-BFB5-4A27-A3C9-CBA01F8E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C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061"/>
    <w:pPr>
      <w:ind w:left="720"/>
    </w:pPr>
  </w:style>
  <w:style w:type="paragraph" w:styleId="BalloonText">
    <w:name w:val="Balloon Text"/>
    <w:basedOn w:val="Normal"/>
    <w:semiHidden/>
    <w:rsid w:val="0084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62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62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625F"/>
  </w:style>
  <w:style w:type="paragraph" w:customStyle="1" w:styleId="DeptBullets">
    <w:name w:val="DeptBullets"/>
    <w:basedOn w:val="Normal"/>
    <w:rsid w:val="00057C6A"/>
    <w:pPr>
      <w:numPr>
        <w:numId w:val="24"/>
      </w:numPr>
      <w:tabs>
        <w:tab w:val="clear" w:pos="720"/>
      </w:tabs>
      <w:overflowPunct w:val="0"/>
      <w:autoSpaceDE w:val="0"/>
      <w:autoSpaceDN w:val="0"/>
      <w:spacing w:after="240" w:line="240" w:lineRule="auto"/>
      <w:ind w:left="36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E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E443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E443D"/>
    <w:rPr>
      <w:lang w:eastAsia="en-US"/>
    </w:rPr>
  </w:style>
  <w:style w:type="character" w:styleId="EndnoteReference">
    <w:name w:val="endnote reference"/>
    <w:uiPriority w:val="99"/>
    <w:semiHidden/>
    <w:unhideWhenUsed/>
    <w:rsid w:val="004E44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43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E443D"/>
    <w:rPr>
      <w:lang w:eastAsia="en-US"/>
    </w:rPr>
  </w:style>
  <w:style w:type="character" w:styleId="FootnoteReference">
    <w:name w:val="footnote reference"/>
    <w:uiPriority w:val="99"/>
    <w:semiHidden/>
    <w:unhideWhenUsed/>
    <w:rsid w:val="004E443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D3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E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E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E96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135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177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398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166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38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11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5">
          <w:marLeft w:val="46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729">
          <w:marLeft w:val="46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269">
          <w:marLeft w:val="46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13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39">
          <w:marLeft w:val="15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630">
          <w:marLeft w:val="15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4937-6700-4F65-A631-D2EBB311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1566</Words>
  <Characters>8007</Characters>
  <Application>Microsoft Office Word</Application>
  <DocSecurity>0</DocSecurity>
  <Lines>533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Service Birmingham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High Needs Block 2023-24</dc:title>
  <dc:subject/>
  <dc:creator>Diane Lewis</dc:creator>
  <cp:keywords/>
  <dc:description/>
  <cp:lastModifiedBy>John M Hunt</cp:lastModifiedBy>
  <cp:revision>11</cp:revision>
  <cp:lastPrinted>2014-04-30T13:04:00Z</cp:lastPrinted>
  <dcterms:created xsi:type="dcterms:W3CDTF">2023-03-09T10:34:00Z</dcterms:created>
  <dcterms:modified xsi:type="dcterms:W3CDTF">2023-03-13T14:18:00Z</dcterms:modified>
</cp:coreProperties>
</file>