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3A40F" w14:textId="2C44D73C" w:rsidR="002D6C29" w:rsidRPr="00112E4F" w:rsidRDefault="00D11494" w:rsidP="00112E4F">
      <w:pPr>
        <w:spacing w:after="0"/>
        <w:contextualSpacing/>
        <w:jc w:val="center"/>
        <w:rPr>
          <w:b/>
          <w:bCs/>
          <w:sz w:val="28"/>
          <w:szCs w:val="28"/>
          <w:u w:val="single"/>
        </w:rPr>
      </w:pPr>
      <w:r w:rsidRPr="00112E4F">
        <w:rPr>
          <w:b/>
          <w:bCs/>
          <w:sz w:val="28"/>
          <w:szCs w:val="28"/>
          <w:u w:val="single"/>
        </w:rPr>
        <w:t xml:space="preserve">Purpose Built </w:t>
      </w:r>
      <w:r w:rsidR="00423964" w:rsidRPr="00112E4F">
        <w:rPr>
          <w:b/>
          <w:bCs/>
          <w:sz w:val="28"/>
          <w:szCs w:val="28"/>
          <w:u w:val="single"/>
        </w:rPr>
        <w:t xml:space="preserve">Student </w:t>
      </w:r>
      <w:r w:rsidR="00090D0B" w:rsidRPr="00112E4F">
        <w:rPr>
          <w:b/>
          <w:bCs/>
          <w:sz w:val="28"/>
          <w:szCs w:val="28"/>
          <w:u w:val="single"/>
        </w:rPr>
        <w:t>A</w:t>
      </w:r>
      <w:r w:rsidR="00423964" w:rsidRPr="00112E4F">
        <w:rPr>
          <w:b/>
          <w:bCs/>
          <w:sz w:val="28"/>
          <w:szCs w:val="28"/>
          <w:u w:val="single"/>
        </w:rPr>
        <w:t>ccommodation</w:t>
      </w:r>
      <w:r w:rsidRPr="00112E4F">
        <w:rPr>
          <w:b/>
          <w:bCs/>
          <w:sz w:val="28"/>
          <w:szCs w:val="28"/>
          <w:u w:val="single"/>
        </w:rPr>
        <w:t>:</w:t>
      </w:r>
      <w:r w:rsidR="00423964" w:rsidRPr="00112E4F">
        <w:rPr>
          <w:b/>
          <w:bCs/>
          <w:sz w:val="28"/>
          <w:szCs w:val="28"/>
          <w:u w:val="single"/>
        </w:rPr>
        <w:t xml:space="preserve"> </w:t>
      </w:r>
      <w:r w:rsidR="00090D0B" w:rsidRPr="00112E4F">
        <w:rPr>
          <w:b/>
          <w:bCs/>
          <w:sz w:val="28"/>
          <w:szCs w:val="28"/>
          <w:u w:val="single"/>
        </w:rPr>
        <w:t>S</w:t>
      </w:r>
      <w:r w:rsidR="00423964" w:rsidRPr="00112E4F">
        <w:rPr>
          <w:b/>
          <w:bCs/>
          <w:sz w:val="28"/>
          <w:szCs w:val="28"/>
          <w:u w:val="single"/>
        </w:rPr>
        <w:t xml:space="preserve">upply and </w:t>
      </w:r>
      <w:r w:rsidR="00090D0B" w:rsidRPr="00112E4F">
        <w:rPr>
          <w:b/>
          <w:bCs/>
          <w:sz w:val="28"/>
          <w:szCs w:val="28"/>
          <w:u w:val="single"/>
        </w:rPr>
        <w:t>D</w:t>
      </w:r>
      <w:r w:rsidR="00423964" w:rsidRPr="00112E4F">
        <w:rPr>
          <w:b/>
          <w:bCs/>
          <w:sz w:val="28"/>
          <w:szCs w:val="28"/>
          <w:u w:val="single"/>
        </w:rPr>
        <w:t>emand</w:t>
      </w:r>
      <w:r w:rsidR="00090D0B" w:rsidRPr="00112E4F">
        <w:rPr>
          <w:b/>
          <w:bCs/>
          <w:sz w:val="28"/>
          <w:szCs w:val="28"/>
          <w:u w:val="single"/>
        </w:rPr>
        <w:t xml:space="preserve"> </w:t>
      </w:r>
      <w:r w:rsidR="00EB4ADF" w:rsidRPr="00112E4F">
        <w:rPr>
          <w:b/>
          <w:bCs/>
          <w:sz w:val="28"/>
          <w:szCs w:val="28"/>
          <w:u w:val="single"/>
        </w:rPr>
        <w:t>Update</w:t>
      </w:r>
    </w:p>
    <w:p w14:paraId="6C799276" w14:textId="77777777" w:rsidR="00184564" w:rsidRPr="00112E4F" w:rsidRDefault="00F75ED9" w:rsidP="00112E4F">
      <w:pPr>
        <w:spacing w:after="0"/>
        <w:contextualSpacing/>
        <w:jc w:val="center"/>
        <w:rPr>
          <w:b/>
          <w:bCs/>
          <w:sz w:val="28"/>
          <w:szCs w:val="28"/>
          <w:u w:val="single"/>
        </w:rPr>
      </w:pPr>
      <w:r w:rsidRPr="00112E4F">
        <w:rPr>
          <w:b/>
          <w:bCs/>
          <w:sz w:val="28"/>
          <w:szCs w:val="28"/>
          <w:u w:val="single"/>
        </w:rPr>
        <w:t>28 November</w:t>
      </w:r>
      <w:r w:rsidR="002D6C29" w:rsidRPr="00112E4F">
        <w:rPr>
          <w:b/>
          <w:bCs/>
          <w:sz w:val="28"/>
          <w:szCs w:val="28"/>
          <w:u w:val="single"/>
        </w:rPr>
        <w:t xml:space="preserve"> 2024</w:t>
      </w:r>
    </w:p>
    <w:p w14:paraId="0EF4AFDC" w14:textId="77777777" w:rsidR="00E22943" w:rsidRPr="002D6C29" w:rsidRDefault="00E22943" w:rsidP="00112E4F">
      <w:pPr>
        <w:spacing w:after="0"/>
      </w:pPr>
    </w:p>
    <w:p w14:paraId="5C0B34A8" w14:textId="77777777" w:rsidR="003A6A36" w:rsidRPr="00112E4F" w:rsidRDefault="00703D84" w:rsidP="00112E4F">
      <w:pPr>
        <w:pStyle w:val="Heading1"/>
      </w:pPr>
      <w:r w:rsidRPr="00112E4F">
        <w:t>Introduction</w:t>
      </w:r>
    </w:p>
    <w:p w14:paraId="34EFF18A" w14:textId="77777777" w:rsidR="00B53CC1" w:rsidRPr="002D6C29" w:rsidRDefault="00B53CC1" w:rsidP="002D6C29">
      <w:pPr>
        <w:spacing w:after="0" w:line="240" w:lineRule="auto"/>
        <w:jc w:val="both"/>
        <w:rPr>
          <w:rFonts w:ascii="Arial" w:hAnsi="Arial" w:cs="Arial"/>
        </w:rPr>
      </w:pPr>
    </w:p>
    <w:p w14:paraId="7412132C" w14:textId="77777777" w:rsidR="00BC73E8" w:rsidRPr="002D6C29" w:rsidRDefault="00F27CD8" w:rsidP="002D6C29">
      <w:pPr>
        <w:numPr>
          <w:ilvl w:val="0"/>
          <w:numId w:val="14"/>
        </w:numPr>
        <w:spacing w:after="0" w:line="240" w:lineRule="auto"/>
        <w:ind w:left="284"/>
        <w:jc w:val="both"/>
        <w:rPr>
          <w:rFonts w:ascii="Arial" w:hAnsi="Arial" w:cs="Arial"/>
        </w:rPr>
      </w:pPr>
      <w:r w:rsidRPr="002D6C29">
        <w:rPr>
          <w:rFonts w:ascii="Arial" w:hAnsi="Arial" w:cs="Arial"/>
        </w:rPr>
        <w:t xml:space="preserve">This </w:t>
      </w:r>
      <w:r w:rsidR="008D11D0" w:rsidRPr="002D6C29">
        <w:rPr>
          <w:rFonts w:ascii="Arial" w:hAnsi="Arial" w:cs="Arial"/>
        </w:rPr>
        <w:t>report</w:t>
      </w:r>
      <w:r w:rsidR="0095337B" w:rsidRPr="002D6C29">
        <w:rPr>
          <w:rFonts w:ascii="Arial" w:hAnsi="Arial" w:cs="Arial"/>
        </w:rPr>
        <w:t xml:space="preserve"> updates the Purpose-Built</w:t>
      </w:r>
      <w:r w:rsidR="00D11494" w:rsidRPr="002D6C29">
        <w:rPr>
          <w:rFonts w:ascii="Arial" w:hAnsi="Arial" w:cs="Arial"/>
        </w:rPr>
        <w:t xml:space="preserve"> </w:t>
      </w:r>
      <w:r w:rsidR="00A10258" w:rsidRPr="002D6C29">
        <w:rPr>
          <w:rFonts w:ascii="Arial" w:hAnsi="Arial" w:cs="Arial"/>
        </w:rPr>
        <w:t>S</w:t>
      </w:r>
      <w:r w:rsidRPr="002D6C29">
        <w:rPr>
          <w:rFonts w:ascii="Arial" w:hAnsi="Arial" w:cs="Arial"/>
        </w:rPr>
        <w:t xml:space="preserve">tudent </w:t>
      </w:r>
      <w:r w:rsidR="00A10258" w:rsidRPr="002D6C29">
        <w:rPr>
          <w:rFonts w:ascii="Arial" w:hAnsi="Arial" w:cs="Arial"/>
        </w:rPr>
        <w:t>A</w:t>
      </w:r>
      <w:r w:rsidRPr="002D6C29">
        <w:rPr>
          <w:rFonts w:ascii="Arial" w:hAnsi="Arial" w:cs="Arial"/>
        </w:rPr>
        <w:t>ccommodation</w:t>
      </w:r>
      <w:r w:rsidR="00A11D82" w:rsidRPr="002D6C29">
        <w:rPr>
          <w:rFonts w:ascii="Arial" w:hAnsi="Arial" w:cs="Arial"/>
        </w:rPr>
        <w:t xml:space="preserve"> (PBSA)</w:t>
      </w:r>
      <w:r w:rsidR="00D11494" w:rsidRPr="002D6C29">
        <w:rPr>
          <w:rFonts w:ascii="Arial" w:hAnsi="Arial" w:cs="Arial"/>
        </w:rPr>
        <w:t>:</w:t>
      </w:r>
      <w:r w:rsidR="004F507C" w:rsidRPr="002D6C29">
        <w:rPr>
          <w:rFonts w:ascii="Arial" w:hAnsi="Arial" w:cs="Arial"/>
        </w:rPr>
        <w:t xml:space="preserve"> </w:t>
      </w:r>
      <w:r w:rsidR="00A10258" w:rsidRPr="002D6C29">
        <w:rPr>
          <w:rFonts w:ascii="Arial" w:hAnsi="Arial" w:cs="Arial"/>
        </w:rPr>
        <w:t>S</w:t>
      </w:r>
      <w:r w:rsidRPr="002D6C29">
        <w:rPr>
          <w:rFonts w:ascii="Arial" w:hAnsi="Arial" w:cs="Arial"/>
        </w:rPr>
        <w:t xml:space="preserve">upply and </w:t>
      </w:r>
      <w:r w:rsidR="00A10258" w:rsidRPr="002D6C29">
        <w:rPr>
          <w:rFonts w:ascii="Arial" w:hAnsi="Arial" w:cs="Arial"/>
        </w:rPr>
        <w:t>D</w:t>
      </w:r>
      <w:r w:rsidRPr="002D6C29">
        <w:rPr>
          <w:rFonts w:ascii="Arial" w:hAnsi="Arial" w:cs="Arial"/>
        </w:rPr>
        <w:t>emand</w:t>
      </w:r>
      <w:r w:rsidR="00D11494" w:rsidRPr="002D6C29">
        <w:rPr>
          <w:rFonts w:ascii="Arial" w:hAnsi="Arial" w:cs="Arial"/>
        </w:rPr>
        <w:t xml:space="preserve"> </w:t>
      </w:r>
      <w:r w:rsidR="00910263" w:rsidRPr="002D6C29">
        <w:rPr>
          <w:rFonts w:ascii="Arial" w:hAnsi="Arial" w:cs="Arial"/>
        </w:rPr>
        <w:t>report</w:t>
      </w:r>
      <w:r w:rsidR="00F7507E" w:rsidRPr="002D6C29">
        <w:rPr>
          <w:rFonts w:ascii="Arial" w:hAnsi="Arial" w:cs="Arial"/>
        </w:rPr>
        <w:t xml:space="preserve"> </w:t>
      </w:r>
      <w:r w:rsidR="009337C3" w:rsidRPr="002D6C29">
        <w:rPr>
          <w:rFonts w:ascii="Arial" w:hAnsi="Arial" w:cs="Arial"/>
        </w:rPr>
        <w:t xml:space="preserve">dated </w:t>
      </w:r>
      <w:r w:rsidR="00EB0CA3" w:rsidRPr="002D6C29">
        <w:rPr>
          <w:rFonts w:ascii="Arial" w:hAnsi="Arial" w:cs="Arial"/>
        </w:rPr>
        <w:t>16 March 2023.</w:t>
      </w:r>
      <w:r w:rsidR="002D6C29" w:rsidRPr="002D6C29">
        <w:rPr>
          <w:rFonts w:ascii="Arial" w:hAnsi="Arial" w:cs="Arial"/>
        </w:rPr>
        <w:t xml:space="preserve"> </w:t>
      </w:r>
      <w:r w:rsidR="00D11494" w:rsidRPr="002D6C29">
        <w:rPr>
          <w:rFonts w:ascii="Arial" w:hAnsi="Arial" w:cs="Arial"/>
        </w:rPr>
        <w:t xml:space="preserve">It should be noted </w:t>
      </w:r>
      <w:r w:rsidR="0095337B" w:rsidRPr="002D6C29">
        <w:rPr>
          <w:rFonts w:ascii="Arial" w:hAnsi="Arial" w:cs="Arial"/>
        </w:rPr>
        <w:t>this</w:t>
      </w:r>
      <w:r w:rsidR="00D11494" w:rsidRPr="002D6C29">
        <w:rPr>
          <w:rFonts w:ascii="Arial" w:hAnsi="Arial" w:cs="Arial"/>
        </w:rPr>
        <w:t xml:space="preserve"> </w:t>
      </w:r>
      <w:r w:rsidR="00BA1550" w:rsidRPr="002D6C29">
        <w:rPr>
          <w:rFonts w:ascii="Arial" w:hAnsi="Arial" w:cs="Arial"/>
        </w:rPr>
        <w:t>is not a policy document</w:t>
      </w:r>
      <w:r w:rsidR="00A10258" w:rsidRPr="002D6C29">
        <w:rPr>
          <w:rFonts w:ascii="Arial" w:hAnsi="Arial" w:cs="Arial"/>
        </w:rPr>
        <w:t>; i</w:t>
      </w:r>
      <w:r w:rsidR="00BA1550" w:rsidRPr="002D6C29">
        <w:rPr>
          <w:rFonts w:ascii="Arial" w:hAnsi="Arial" w:cs="Arial"/>
        </w:rPr>
        <w:t>ts purpose is to provide</w:t>
      </w:r>
      <w:r w:rsidR="007D1945">
        <w:rPr>
          <w:rFonts w:ascii="Arial" w:hAnsi="Arial" w:cs="Arial"/>
        </w:rPr>
        <w:t xml:space="preserve"> evidence and</w:t>
      </w:r>
      <w:r w:rsidR="00BA1550" w:rsidRPr="002D6C29">
        <w:rPr>
          <w:rFonts w:ascii="Arial" w:hAnsi="Arial" w:cs="Arial"/>
        </w:rPr>
        <w:t xml:space="preserve"> information on the demand for and supply of student accommodation in Birmingham based on the available data at the time of writing.</w:t>
      </w:r>
    </w:p>
    <w:p w14:paraId="7476693B" w14:textId="77777777" w:rsidR="00BC73E8" w:rsidRPr="002D6C29" w:rsidRDefault="00BC73E8" w:rsidP="002D6C29">
      <w:pPr>
        <w:spacing w:after="0" w:line="240" w:lineRule="auto"/>
        <w:ind w:left="720"/>
        <w:jc w:val="both"/>
        <w:rPr>
          <w:rFonts w:ascii="Arial" w:hAnsi="Arial" w:cs="Arial"/>
        </w:rPr>
      </w:pPr>
    </w:p>
    <w:p w14:paraId="7DAFEC26" w14:textId="77777777" w:rsidR="00E5272C" w:rsidRPr="002D6C29" w:rsidRDefault="00703D84" w:rsidP="00112E4F">
      <w:pPr>
        <w:pStyle w:val="Heading1"/>
      </w:pPr>
      <w:r w:rsidRPr="002D6C29">
        <w:t>Demand</w:t>
      </w:r>
    </w:p>
    <w:p w14:paraId="61036769" w14:textId="77777777" w:rsidR="00703D84" w:rsidRPr="002D6C29" w:rsidRDefault="00703D84" w:rsidP="002D6C29">
      <w:pPr>
        <w:pStyle w:val="ListParagraph"/>
        <w:spacing w:before="120" w:line="240" w:lineRule="auto"/>
        <w:ind w:left="1440" w:hanging="720"/>
        <w:jc w:val="both"/>
        <w:rPr>
          <w:rFonts w:cs="Arial"/>
          <w:sz w:val="22"/>
          <w:u w:val="single"/>
        </w:rPr>
      </w:pPr>
    </w:p>
    <w:p w14:paraId="5AA31FDA" w14:textId="77777777" w:rsidR="002D6C29" w:rsidRPr="002F123D" w:rsidRDefault="00FB34FB" w:rsidP="002D6C29">
      <w:pPr>
        <w:pStyle w:val="ListParagraph"/>
        <w:numPr>
          <w:ilvl w:val="0"/>
          <w:numId w:val="14"/>
        </w:numPr>
        <w:spacing w:before="120" w:line="240" w:lineRule="auto"/>
        <w:ind w:left="284" w:hanging="284"/>
        <w:jc w:val="both"/>
        <w:rPr>
          <w:rFonts w:cs="Arial"/>
          <w:sz w:val="22"/>
        </w:rPr>
      </w:pPr>
      <w:r w:rsidRPr="002D6C29">
        <w:rPr>
          <w:rFonts w:cs="Arial"/>
          <w:sz w:val="22"/>
        </w:rPr>
        <w:t xml:space="preserve">The </w:t>
      </w:r>
      <w:r w:rsidR="009825B8">
        <w:rPr>
          <w:rFonts w:cs="Arial"/>
          <w:sz w:val="22"/>
        </w:rPr>
        <w:t>most recent</w:t>
      </w:r>
      <w:r w:rsidR="009825B8" w:rsidRPr="002D6C29">
        <w:rPr>
          <w:rFonts w:cs="Arial"/>
          <w:sz w:val="22"/>
        </w:rPr>
        <w:t xml:space="preserve"> </w:t>
      </w:r>
      <w:r w:rsidRPr="002D6C29">
        <w:rPr>
          <w:rFonts w:cs="Arial"/>
          <w:sz w:val="22"/>
        </w:rPr>
        <w:t xml:space="preserve">demand </w:t>
      </w:r>
      <w:r w:rsidR="00C00415" w:rsidRPr="002D6C29">
        <w:rPr>
          <w:rFonts w:cs="Arial"/>
          <w:sz w:val="22"/>
        </w:rPr>
        <w:t xml:space="preserve">for student accommodation </w:t>
      </w:r>
      <w:r w:rsidRPr="002D6C29">
        <w:rPr>
          <w:rFonts w:cs="Arial"/>
          <w:sz w:val="22"/>
        </w:rPr>
        <w:t xml:space="preserve">figure </w:t>
      </w:r>
      <w:r w:rsidR="00C00415" w:rsidRPr="002D6C29">
        <w:rPr>
          <w:rFonts w:cs="Arial"/>
          <w:sz w:val="22"/>
        </w:rPr>
        <w:t>is</w:t>
      </w:r>
      <w:r w:rsidRPr="002D6C29">
        <w:rPr>
          <w:rFonts w:cs="Arial"/>
          <w:sz w:val="22"/>
        </w:rPr>
        <w:t xml:space="preserve"> based on </w:t>
      </w:r>
      <w:r w:rsidR="009441C9" w:rsidRPr="002D6C29">
        <w:rPr>
          <w:rFonts w:cs="Arial"/>
          <w:sz w:val="22"/>
        </w:rPr>
        <w:t xml:space="preserve">Higher Education Standards Agency (HESA) </w:t>
      </w:r>
      <w:r w:rsidR="009825B8">
        <w:rPr>
          <w:rFonts w:cs="Arial"/>
          <w:sz w:val="22"/>
        </w:rPr>
        <w:t>2022/23</w:t>
      </w:r>
      <w:r w:rsidR="009441C9" w:rsidRPr="002D6C29">
        <w:rPr>
          <w:rFonts w:cs="Arial"/>
          <w:sz w:val="22"/>
        </w:rPr>
        <w:t xml:space="preserve"> data</w:t>
      </w:r>
      <w:r w:rsidR="00BC73E8" w:rsidRPr="002D6C29">
        <w:rPr>
          <w:rFonts w:cs="Arial"/>
          <w:sz w:val="22"/>
        </w:rPr>
        <w:t>,</w:t>
      </w:r>
      <w:r w:rsidR="009441C9" w:rsidRPr="002D6C29">
        <w:rPr>
          <w:rFonts w:cs="Arial"/>
          <w:sz w:val="22"/>
        </w:rPr>
        <w:t xml:space="preserve"> </w:t>
      </w:r>
      <w:r w:rsidRPr="002D6C29">
        <w:rPr>
          <w:rFonts w:cs="Arial"/>
          <w:sz w:val="22"/>
        </w:rPr>
        <w:t xml:space="preserve">which shows </w:t>
      </w:r>
      <w:r w:rsidR="00C00415" w:rsidRPr="002D6C29">
        <w:rPr>
          <w:rFonts w:cs="Arial"/>
          <w:sz w:val="22"/>
        </w:rPr>
        <w:t xml:space="preserve">that </w:t>
      </w:r>
      <w:r w:rsidR="009441C9" w:rsidRPr="002D6C29">
        <w:rPr>
          <w:rFonts w:cs="Arial"/>
          <w:sz w:val="22"/>
        </w:rPr>
        <w:t>t</w:t>
      </w:r>
      <w:r w:rsidR="00090D0B" w:rsidRPr="002D6C29">
        <w:rPr>
          <w:rFonts w:cs="Arial"/>
          <w:sz w:val="22"/>
        </w:rPr>
        <w:t>here were</w:t>
      </w:r>
      <w:r w:rsidR="00C00415" w:rsidRPr="002D6C29">
        <w:rPr>
          <w:rFonts w:cs="Arial"/>
          <w:sz w:val="22"/>
        </w:rPr>
        <w:t xml:space="preserve"> </w:t>
      </w:r>
      <w:r w:rsidR="002F123D">
        <w:rPr>
          <w:rFonts w:cs="Arial"/>
          <w:sz w:val="22"/>
        </w:rPr>
        <w:t>102,089</w:t>
      </w:r>
      <w:r w:rsidR="00090D0B" w:rsidRPr="002F123D">
        <w:rPr>
          <w:rFonts w:cs="Arial"/>
          <w:sz w:val="22"/>
        </w:rPr>
        <w:t xml:space="preserve"> full-time students studying at universities</w:t>
      </w:r>
      <w:r w:rsidR="00A10258" w:rsidRPr="002F123D">
        <w:rPr>
          <w:rStyle w:val="FootnoteReference"/>
          <w:rFonts w:cs="Arial"/>
          <w:sz w:val="22"/>
        </w:rPr>
        <w:footnoteReference w:id="2"/>
      </w:r>
      <w:r w:rsidR="00090D0B" w:rsidRPr="002F123D">
        <w:rPr>
          <w:rFonts w:cs="Arial"/>
          <w:sz w:val="22"/>
        </w:rPr>
        <w:t xml:space="preserve"> in Birmingham</w:t>
      </w:r>
      <w:r w:rsidR="00A10258" w:rsidRPr="002F123D">
        <w:rPr>
          <w:rFonts w:cs="Arial"/>
          <w:sz w:val="22"/>
        </w:rPr>
        <w:t xml:space="preserve"> in the </w:t>
      </w:r>
      <w:r w:rsidR="001E16A0">
        <w:rPr>
          <w:rFonts w:cs="Arial"/>
          <w:sz w:val="22"/>
        </w:rPr>
        <w:t>2022/23</w:t>
      </w:r>
      <w:r w:rsidR="00A10258" w:rsidRPr="002F123D">
        <w:rPr>
          <w:rFonts w:cs="Arial"/>
          <w:sz w:val="22"/>
        </w:rPr>
        <w:t xml:space="preserve"> academic year</w:t>
      </w:r>
      <w:r w:rsidR="00090D0B" w:rsidRPr="002F123D">
        <w:rPr>
          <w:rFonts w:cs="Arial"/>
          <w:sz w:val="22"/>
        </w:rPr>
        <w:t>.</w:t>
      </w:r>
      <w:r w:rsidR="005C30D6" w:rsidRPr="002F123D">
        <w:rPr>
          <w:rFonts w:cs="Arial"/>
          <w:sz w:val="22"/>
        </w:rPr>
        <w:t xml:space="preserve"> </w:t>
      </w:r>
    </w:p>
    <w:p w14:paraId="3F09DFF0" w14:textId="77777777" w:rsidR="002D6C29" w:rsidRDefault="002D6C29" w:rsidP="002D6C29">
      <w:pPr>
        <w:pStyle w:val="ListParagraph"/>
        <w:spacing w:before="120" w:line="240" w:lineRule="auto"/>
        <w:ind w:left="284"/>
        <w:jc w:val="both"/>
        <w:rPr>
          <w:rFonts w:cs="Arial"/>
          <w:sz w:val="22"/>
        </w:rPr>
      </w:pPr>
    </w:p>
    <w:p w14:paraId="78E0C9AF" w14:textId="77777777" w:rsidR="002D6C29" w:rsidRPr="001E16A0" w:rsidRDefault="002071AF" w:rsidP="002D6C29">
      <w:pPr>
        <w:pStyle w:val="ListParagraph"/>
        <w:numPr>
          <w:ilvl w:val="0"/>
          <w:numId w:val="14"/>
        </w:numPr>
        <w:spacing w:before="120" w:line="240" w:lineRule="auto"/>
        <w:ind w:left="284" w:hanging="284"/>
        <w:jc w:val="both"/>
        <w:rPr>
          <w:rFonts w:cs="Arial"/>
          <w:sz w:val="22"/>
        </w:rPr>
      </w:pPr>
      <w:r w:rsidRPr="001E16A0">
        <w:rPr>
          <w:rFonts w:cs="Arial"/>
          <w:sz w:val="22"/>
        </w:rPr>
        <w:t>Of</w:t>
      </w:r>
      <w:r w:rsidR="001F5644" w:rsidRPr="001E16A0">
        <w:rPr>
          <w:rFonts w:cs="Arial"/>
          <w:sz w:val="22"/>
        </w:rPr>
        <w:t xml:space="preserve"> the total number of full-time students</w:t>
      </w:r>
      <w:r w:rsidR="00556A28" w:rsidRPr="001E16A0">
        <w:rPr>
          <w:rFonts w:cs="Arial"/>
          <w:sz w:val="22"/>
        </w:rPr>
        <w:t xml:space="preserve">: </w:t>
      </w:r>
      <w:r w:rsidR="00146929">
        <w:rPr>
          <w:rFonts w:cs="Arial"/>
          <w:sz w:val="22"/>
        </w:rPr>
        <w:t>16</w:t>
      </w:r>
      <w:r w:rsidR="00B91AE7" w:rsidRPr="001E16A0">
        <w:rPr>
          <w:rFonts w:cs="Arial"/>
          <w:sz w:val="22"/>
        </w:rPr>
        <w:t xml:space="preserve">% </w:t>
      </w:r>
      <w:r w:rsidR="00BD3A14" w:rsidRPr="001E16A0">
        <w:rPr>
          <w:rFonts w:cs="Arial"/>
          <w:sz w:val="22"/>
        </w:rPr>
        <w:t>lived-in Purpose-Built</w:t>
      </w:r>
      <w:r w:rsidR="001B03DE" w:rsidRPr="001E16A0">
        <w:rPr>
          <w:rFonts w:cs="Arial"/>
          <w:sz w:val="22"/>
        </w:rPr>
        <w:t xml:space="preserve"> </w:t>
      </w:r>
      <w:r w:rsidR="00B91AE7" w:rsidRPr="001E16A0">
        <w:rPr>
          <w:rFonts w:cs="Arial"/>
          <w:sz w:val="22"/>
        </w:rPr>
        <w:t>S</w:t>
      </w:r>
      <w:r w:rsidR="001B03DE" w:rsidRPr="001E16A0">
        <w:rPr>
          <w:rFonts w:cs="Arial"/>
          <w:sz w:val="22"/>
        </w:rPr>
        <w:t>tudent Accommodation (PBSA)</w:t>
      </w:r>
      <w:r w:rsidR="00B91AE7" w:rsidRPr="001E16A0">
        <w:rPr>
          <w:rFonts w:cs="Arial"/>
          <w:sz w:val="22"/>
        </w:rPr>
        <w:t xml:space="preserve">; </w:t>
      </w:r>
      <w:r w:rsidR="00146929">
        <w:rPr>
          <w:rFonts w:cs="Arial"/>
          <w:sz w:val="22"/>
        </w:rPr>
        <w:t>25</w:t>
      </w:r>
      <w:r w:rsidR="001F5644" w:rsidRPr="001E16A0">
        <w:rPr>
          <w:rFonts w:cs="Arial"/>
          <w:sz w:val="22"/>
        </w:rPr>
        <w:t xml:space="preserve">% in </w:t>
      </w:r>
      <w:r w:rsidR="001E6B7D" w:rsidRPr="001E16A0">
        <w:rPr>
          <w:rFonts w:cs="Arial"/>
          <w:sz w:val="22"/>
        </w:rPr>
        <w:t>HMO</w:t>
      </w:r>
      <w:r w:rsidR="001E6B7D">
        <w:rPr>
          <w:rFonts w:cs="Arial"/>
          <w:sz w:val="22"/>
        </w:rPr>
        <w:t>s</w:t>
      </w:r>
      <w:r w:rsidR="00455B15" w:rsidRPr="001E16A0">
        <w:rPr>
          <w:rFonts w:cs="Arial"/>
          <w:sz w:val="22"/>
        </w:rPr>
        <w:t>/</w:t>
      </w:r>
      <w:r w:rsidR="00C36F5F" w:rsidRPr="001E16A0">
        <w:rPr>
          <w:rFonts w:cs="Arial"/>
          <w:sz w:val="22"/>
        </w:rPr>
        <w:t>other rented accommodation;</w:t>
      </w:r>
      <w:r w:rsidR="00062A82" w:rsidRPr="001E16A0">
        <w:rPr>
          <w:rFonts w:cs="Arial"/>
          <w:sz w:val="22"/>
        </w:rPr>
        <w:t xml:space="preserve"> </w:t>
      </w:r>
      <w:r w:rsidR="00146929">
        <w:rPr>
          <w:rFonts w:cs="Arial"/>
          <w:sz w:val="22"/>
        </w:rPr>
        <w:t>25</w:t>
      </w:r>
      <w:r w:rsidR="001F5644" w:rsidRPr="001E16A0">
        <w:rPr>
          <w:rFonts w:cs="Arial"/>
          <w:sz w:val="22"/>
        </w:rPr>
        <w:t>% lived with parents/ guardian</w:t>
      </w:r>
      <w:r w:rsidR="003F4DB6" w:rsidRPr="001E16A0">
        <w:rPr>
          <w:rFonts w:cs="Arial"/>
          <w:sz w:val="22"/>
        </w:rPr>
        <w:t>s</w:t>
      </w:r>
      <w:r w:rsidR="005E01E2" w:rsidRPr="001E16A0">
        <w:rPr>
          <w:rFonts w:cs="Arial"/>
          <w:sz w:val="22"/>
        </w:rPr>
        <w:t xml:space="preserve">; </w:t>
      </w:r>
      <w:r w:rsidR="00146929">
        <w:rPr>
          <w:rFonts w:cs="Arial"/>
          <w:sz w:val="22"/>
        </w:rPr>
        <w:t>18</w:t>
      </w:r>
      <w:r w:rsidR="001F5644" w:rsidRPr="001E16A0">
        <w:rPr>
          <w:rFonts w:cs="Arial"/>
          <w:sz w:val="22"/>
        </w:rPr>
        <w:t>% lived in their own home</w:t>
      </w:r>
      <w:r w:rsidR="005E01E2" w:rsidRPr="001E16A0">
        <w:rPr>
          <w:rFonts w:cs="Arial"/>
          <w:sz w:val="22"/>
        </w:rPr>
        <w:t xml:space="preserve"> </w:t>
      </w:r>
      <w:r w:rsidR="00146929">
        <w:rPr>
          <w:rFonts w:cs="Arial"/>
          <w:sz w:val="22"/>
        </w:rPr>
        <w:t>and 16</w:t>
      </w:r>
      <w:r w:rsidR="00F8217D" w:rsidRPr="001E16A0">
        <w:rPr>
          <w:rFonts w:cs="Arial"/>
          <w:sz w:val="22"/>
        </w:rPr>
        <w:t>%</w:t>
      </w:r>
      <w:r w:rsidR="00146929">
        <w:rPr>
          <w:rFonts w:cs="Arial"/>
          <w:sz w:val="22"/>
        </w:rPr>
        <w:t xml:space="preserve"> were in other types of accommodation or</w:t>
      </w:r>
      <w:r w:rsidR="00F8217D" w:rsidRPr="001E16A0">
        <w:rPr>
          <w:rFonts w:cs="Arial"/>
          <w:sz w:val="22"/>
        </w:rPr>
        <w:t xml:space="preserve"> not known</w:t>
      </w:r>
      <w:r w:rsidR="001F5644" w:rsidRPr="001E16A0">
        <w:rPr>
          <w:rFonts w:cs="Arial"/>
          <w:sz w:val="22"/>
        </w:rPr>
        <w:t>.</w:t>
      </w:r>
      <w:r w:rsidR="00327F31" w:rsidRPr="001E16A0">
        <w:rPr>
          <w:rFonts w:cs="Arial"/>
          <w:sz w:val="22"/>
        </w:rPr>
        <w:t xml:space="preserve"> </w:t>
      </w:r>
    </w:p>
    <w:p w14:paraId="62A6340F" w14:textId="77777777" w:rsidR="002D6C29" w:rsidRDefault="002D6C29" w:rsidP="002D6C29">
      <w:pPr>
        <w:pStyle w:val="ListParagraph"/>
        <w:rPr>
          <w:rFonts w:cs="Arial"/>
          <w:sz w:val="22"/>
        </w:rPr>
      </w:pPr>
    </w:p>
    <w:p w14:paraId="1D281C76" w14:textId="14DDF004" w:rsidR="002D6C29" w:rsidRDefault="000D678D" w:rsidP="002D6C29">
      <w:pPr>
        <w:pStyle w:val="ListParagraph"/>
        <w:numPr>
          <w:ilvl w:val="0"/>
          <w:numId w:val="14"/>
        </w:numPr>
        <w:spacing w:before="120" w:line="240" w:lineRule="auto"/>
        <w:ind w:left="284" w:hanging="284"/>
        <w:jc w:val="both"/>
        <w:rPr>
          <w:rFonts w:cs="Arial"/>
          <w:sz w:val="22"/>
        </w:rPr>
      </w:pPr>
      <w:r w:rsidRPr="002D6C29">
        <w:rPr>
          <w:rFonts w:cs="Arial"/>
          <w:sz w:val="22"/>
        </w:rPr>
        <w:t>Excluding those who do not require accommodation because they live</w:t>
      </w:r>
      <w:r w:rsidR="00A10258" w:rsidRPr="002D6C29">
        <w:rPr>
          <w:rFonts w:cs="Arial"/>
          <w:sz w:val="22"/>
        </w:rPr>
        <w:t>d</w:t>
      </w:r>
      <w:r w:rsidRPr="002D6C29">
        <w:rPr>
          <w:rFonts w:cs="Arial"/>
          <w:sz w:val="22"/>
        </w:rPr>
        <w:t xml:space="preserve"> with parents/ guardians</w:t>
      </w:r>
      <w:r w:rsidR="00146929">
        <w:rPr>
          <w:rFonts w:cs="Arial"/>
          <w:sz w:val="22"/>
        </w:rPr>
        <w:t xml:space="preserve"> or</w:t>
      </w:r>
      <w:r w:rsidR="00146929" w:rsidRPr="002D6C29">
        <w:rPr>
          <w:rFonts w:cs="Arial"/>
          <w:sz w:val="22"/>
        </w:rPr>
        <w:t xml:space="preserve"> </w:t>
      </w:r>
      <w:r w:rsidRPr="002D6C29">
        <w:rPr>
          <w:rFonts w:cs="Arial"/>
          <w:sz w:val="22"/>
        </w:rPr>
        <w:t xml:space="preserve">in their own home, </w:t>
      </w:r>
      <w:r w:rsidRPr="002D6C29">
        <w:rPr>
          <w:rFonts w:cs="Arial"/>
          <w:bCs/>
          <w:color w:val="000000"/>
          <w:sz w:val="22"/>
        </w:rPr>
        <w:t xml:space="preserve">the </w:t>
      </w:r>
      <w:r w:rsidRPr="00146929">
        <w:rPr>
          <w:rFonts w:cs="Arial"/>
          <w:bCs/>
          <w:color w:val="000000"/>
          <w:sz w:val="22"/>
        </w:rPr>
        <w:t>estimated current</w:t>
      </w:r>
      <w:r w:rsidR="005C30D6" w:rsidRPr="00146929">
        <w:rPr>
          <w:rFonts w:cs="Arial"/>
          <w:bCs/>
          <w:color w:val="000000"/>
          <w:sz w:val="22"/>
        </w:rPr>
        <w:t xml:space="preserve"> </w:t>
      </w:r>
      <w:r w:rsidR="00FB34FB" w:rsidRPr="00146929">
        <w:rPr>
          <w:rFonts w:cs="Arial"/>
          <w:bCs/>
          <w:color w:val="000000"/>
          <w:sz w:val="22"/>
        </w:rPr>
        <w:t>demand</w:t>
      </w:r>
      <w:r w:rsidRPr="00146929">
        <w:rPr>
          <w:rFonts w:cs="Arial"/>
          <w:bCs/>
          <w:color w:val="000000"/>
          <w:sz w:val="22"/>
        </w:rPr>
        <w:t xml:space="preserve"> for accommodation is</w:t>
      </w:r>
      <w:r w:rsidR="00062A82" w:rsidRPr="00146929">
        <w:rPr>
          <w:rFonts w:cs="Arial"/>
          <w:bCs/>
          <w:color w:val="000000"/>
          <w:sz w:val="22"/>
        </w:rPr>
        <w:t xml:space="preserve"> </w:t>
      </w:r>
      <w:r w:rsidR="00CC13D5">
        <w:rPr>
          <w:rFonts w:cs="Arial"/>
          <w:bCs/>
          <w:color w:val="000000"/>
          <w:sz w:val="22"/>
        </w:rPr>
        <w:t>47,434</w:t>
      </w:r>
      <w:r w:rsidR="00726835">
        <w:rPr>
          <w:rFonts w:cs="Arial"/>
          <w:bCs/>
          <w:color w:val="000000"/>
          <w:sz w:val="22"/>
        </w:rPr>
        <w:t xml:space="preserve"> bed spaces</w:t>
      </w:r>
      <w:r w:rsidR="00CC13D5">
        <w:rPr>
          <w:rFonts w:cs="Arial"/>
          <w:bCs/>
          <w:color w:val="000000"/>
          <w:sz w:val="22"/>
        </w:rPr>
        <w:t xml:space="preserve"> </w:t>
      </w:r>
      <w:r w:rsidR="00726835">
        <w:rPr>
          <w:rFonts w:cs="Arial"/>
          <w:bCs/>
          <w:color w:val="000000"/>
          <w:sz w:val="22"/>
        </w:rPr>
        <w:t>arising</w:t>
      </w:r>
      <w:r w:rsidR="00CC13D5">
        <w:rPr>
          <w:rFonts w:cs="Arial"/>
          <w:bCs/>
          <w:color w:val="000000"/>
          <w:sz w:val="22"/>
        </w:rPr>
        <w:t xml:space="preserve"> from the city’s five main universities (Aston University, Birmingham City University, Newman University, University College Birmingham and the University of Birmingham)</w:t>
      </w:r>
      <w:r w:rsidR="005C30D6" w:rsidRPr="00146929">
        <w:rPr>
          <w:rFonts w:cs="Arial"/>
          <w:bCs/>
          <w:color w:val="000000"/>
          <w:sz w:val="22"/>
        </w:rPr>
        <w:t xml:space="preserve">. </w:t>
      </w:r>
      <w:r w:rsidR="008F5DC1" w:rsidRPr="00146929">
        <w:rPr>
          <w:rFonts w:cs="Arial"/>
          <w:bCs/>
          <w:sz w:val="22"/>
        </w:rPr>
        <w:t>Table 1</w:t>
      </w:r>
      <w:r w:rsidR="00A858A8" w:rsidRPr="00146929">
        <w:rPr>
          <w:rFonts w:cs="Arial"/>
          <w:bCs/>
          <w:sz w:val="22"/>
        </w:rPr>
        <w:t xml:space="preserve"> shows </w:t>
      </w:r>
      <w:r w:rsidR="00FB34FB" w:rsidRPr="00146929">
        <w:rPr>
          <w:rFonts w:cs="Arial"/>
          <w:bCs/>
          <w:sz w:val="22"/>
        </w:rPr>
        <w:t>a</w:t>
      </w:r>
      <w:r w:rsidR="00FB34FB" w:rsidRPr="002D6C29">
        <w:rPr>
          <w:rFonts w:cs="Arial"/>
          <w:bCs/>
          <w:sz w:val="22"/>
        </w:rPr>
        <w:t xml:space="preserve"> breakdown of demand</w:t>
      </w:r>
      <w:r w:rsidR="00A858A8" w:rsidRPr="002D6C29">
        <w:rPr>
          <w:rFonts w:cs="Arial"/>
          <w:bCs/>
          <w:sz w:val="22"/>
        </w:rPr>
        <w:t xml:space="preserve"> </w:t>
      </w:r>
      <w:r w:rsidR="00FB34FB" w:rsidRPr="002D6C29">
        <w:rPr>
          <w:rFonts w:cs="Arial"/>
          <w:bCs/>
          <w:sz w:val="22"/>
        </w:rPr>
        <w:t>by</w:t>
      </w:r>
      <w:r w:rsidR="00A858A8" w:rsidRPr="002D6C29">
        <w:rPr>
          <w:rFonts w:cs="Arial"/>
          <w:bCs/>
          <w:sz w:val="22"/>
        </w:rPr>
        <w:t xml:space="preserve"> location. </w:t>
      </w:r>
    </w:p>
    <w:p w14:paraId="26D89BC2" w14:textId="71A375F0" w:rsidR="002D6C29" w:rsidRPr="002D6C29" w:rsidRDefault="002D6C29" w:rsidP="00675FF9">
      <w:pPr>
        <w:spacing w:after="120" w:line="240" w:lineRule="auto"/>
        <w:ind w:left="284"/>
        <w:rPr>
          <w:rFonts w:ascii="Arial" w:hAnsi="Arial" w:cs="Arial"/>
          <w:b/>
          <w:bCs/>
        </w:rPr>
      </w:pPr>
      <w:r w:rsidRPr="002D6C29">
        <w:rPr>
          <w:rFonts w:ascii="Arial" w:hAnsi="Arial" w:cs="Arial"/>
          <w:b/>
          <w:bCs/>
        </w:rPr>
        <w:t>Table 1:</w:t>
      </w:r>
      <w:r w:rsidRPr="002D6C29">
        <w:rPr>
          <w:rFonts w:ascii="Arial" w:hAnsi="Arial" w:cs="Arial"/>
        </w:rPr>
        <w:t xml:space="preserve"> </w:t>
      </w:r>
      <w:r w:rsidRPr="002D6C29">
        <w:rPr>
          <w:rFonts w:ascii="Arial" w:hAnsi="Arial" w:cs="Arial"/>
          <w:b/>
          <w:bCs/>
        </w:rPr>
        <w:t>Demand by</w:t>
      </w:r>
      <w:r w:rsidR="006C2621">
        <w:rPr>
          <w:rFonts w:ascii="Arial" w:hAnsi="Arial" w:cs="Arial"/>
          <w:b/>
          <w:bCs/>
        </w:rPr>
        <w:t xml:space="preserve"> </w:t>
      </w:r>
      <w:r w:rsidRPr="002D6C29">
        <w:rPr>
          <w:rFonts w:ascii="Arial" w:hAnsi="Arial" w:cs="Arial"/>
          <w:b/>
          <w:bCs/>
        </w:rPr>
        <w:t>location</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Demand by location"/>
        <w:tblDescription w:val="Table showing existing and potential future demand for student bedspaces in four different areas of the city."/>
      </w:tblPr>
      <w:tblGrid>
        <w:gridCol w:w="2268"/>
        <w:gridCol w:w="1559"/>
        <w:gridCol w:w="1701"/>
        <w:gridCol w:w="1418"/>
        <w:gridCol w:w="1842"/>
      </w:tblGrid>
      <w:tr w:rsidR="00DA5970" w:rsidRPr="002D6C29" w14:paraId="1D96EBDD" w14:textId="77777777" w:rsidTr="006C2621">
        <w:trPr>
          <w:trHeight w:val="454"/>
        </w:trPr>
        <w:tc>
          <w:tcPr>
            <w:tcW w:w="2268" w:type="dxa"/>
            <w:shd w:val="clear" w:color="auto" w:fill="auto"/>
            <w:noWrap/>
            <w:vAlign w:val="center"/>
            <w:hideMark/>
          </w:tcPr>
          <w:p w14:paraId="5EDC207D" w14:textId="77777777" w:rsidR="002D6C29" w:rsidRPr="002D6C29" w:rsidRDefault="002D6C29" w:rsidP="00DA5970">
            <w:pPr>
              <w:spacing w:after="0" w:line="240" w:lineRule="auto"/>
              <w:rPr>
                <w:rFonts w:ascii="Arial" w:eastAsia="Times New Roman" w:hAnsi="Arial" w:cs="Arial"/>
                <w:b/>
                <w:bCs/>
                <w:color w:val="000000"/>
                <w:lang w:eastAsia="en-GB"/>
              </w:rPr>
            </w:pPr>
            <w:r w:rsidRPr="002D6C29">
              <w:rPr>
                <w:rFonts w:ascii="Arial" w:eastAsia="Times New Roman" w:hAnsi="Arial" w:cs="Arial"/>
                <w:b/>
                <w:bCs/>
                <w:color w:val="000000"/>
                <w:lang w:eastAsia="en-GB"/>
              </w:rPr>
              <w:t>Location</w:t>
            </w:r>
          </w:p>
        </w:tc>
        <w:tc>
          <w:tcPr>
            <w:tcW w:w="1559" w:type="dxa"/>
            <w:shd w:val="clear" w:color="auto" w:fill="auto"/>
            <w:noWrap/>
            <w:vAlign w:val="center"/>
            <w:hideMark/>
          </w:tcPr>
          <w:p w14:paraId="3DD75266" w14:textId="77777777" w:rsidR="002D6C29" w:rsidRPr="002D6C29" w:rsidRDefault="002D6C29" w:rsidP="00675FF9">
            <w:pPr>
              <w:spacing w:after="0" w:line="240" w:lineRule="auto"/>
              <w:jc w:val="center"/>
              <w:rPr>
                <w:rFonts w:ascii="Arial" w:eastAsia="Times New Roman" w:hAnsi="Arial" w:cs="Arial"/>
                <w:b/>
                <w:bCs/>
                <w:color w:val="000000"/>
                <w:lang w:eastAsia="en-GB"/>
              </w:rPr>
            </w:pPr>
            <w:r w:rsidRPr="002D6C29">
              <w:rPr>
                <w:rFonts w:ascii="Arial" w:eastAsia="Times New Roman" w:hAnsi="Arial" w:cs="Arial"/>
                <w:b/>
                <w:bCs/>
                <w:color w:val="000000"/>
                <w:lang w:eastAsia="en-GB"/>
              </w:rPr>
              <w:t>Selly Oak/ Edgbaston</w:t>
            </w:r>
          </w:p>
        </w:tc>
        <w:tc>
          <w:tcPr>
            <w:tcW w:w="1701" w:type="dxa"/>
            <w:shd w:val="clear" w:color="auto" w:fill="auto"/>
            <w:noWrap/>
            <w:vAlign w:val="center"/>
            <w:hideMark/>
          </w:tcPr>
          <w:p w14:paraId="0880D79E" w14:textId="77777777" w:rsidR="002D6C29" w:rsidRPr="002D6C29" w:rsidRDefault="002D6C29" w:rsidP="00675FF9">
            <w:pPr>
              <w:spacing w:after="0" w:line="240" w:lineRule="auto"/>
              <w:jc w:val="center"/>
              <w:rPr>
                <w:rFonts w:ascii="Arial" w:eastAsia="Times New Roman" w:hAnsi="Arial" w:cs="Arial"/>
                <w:b/>
                <w:bCs/>
                <w:color w:val="000000"/>
                <w:lang w:eastAsia="en-GB"/>
              </w:rPr>
            </w:pPr>
            <w:r w:rsidRPr="002D6C29">
              <w:rPr>
                <w:rFonts w:ascii="Arial" w:eastAsia="Times New Roman" w:hAnsi="Arial" w:cs="Arial"/>
                <w:b/>
                <w:bCs/>
                <w:color w:val="000000"/>
                <w:lang w:eastAsia="en-GB"/>
              </w:rPr>
              <w:t>City Centre</w:t>
            </w:r>
          </w:p>
        </w:tc>
        <w:tc>
          <w:tcPr>
            <w:tcW w:w="1418" w:type="dxa"/>
            <w:shd w:val="clear" w:color="auto" w:fill="auto"/>
            <w:noWrap/>
            <w:vAlign w:val="center"/>
            <w:hideMark/>
          </w:tcPr>
          <w:p w14:paraId="51DC8397" w14:textId="77777777" w:rsidR="002D6C29" w:rsidRPr="002D6C29" w:rsidRDefault="002D6C29" w:rsidP="00675FF9">
            <w:pPr>
              <w:spacing w:after="0" w:line="240" w:lineRule="auto"/>
              <w:jc w:val="center"/>
              <w:rPr>
                <w:rFonts w:ascii="Arial" w:eastAsia="Times New Roman" w:hAnsi="Arial" w:cs="Arial"/>
                <w:b/>
                <w:bCs/>
                <w:color w:val="000000"/>
                <w:lang w:eastAsia="en-GB"/>
              </w:rPr>
            </w:pPr>
            <w:r w:rsidRPr="002D6C29">
              <w:rPr>
                <w:rFonts w:ascii="Arial" w:eastAsia="Times New Roman" w:hAnsi="Arial" w:cs="Arial"/>
                <w:b/>
                <w:bCs/>
                <w:color w:val="000000"/>
                <w:lang w:eastAsia="en-GB"/>
              </w:rPr>
              <w:t>Bartley Green</w:t>
            </w:r>
          </w:p>
          <w:p w14:paraId="13B124BB" w14:textId="77777777" w:rsidR="002D6C29" w:rsidRPr="002D6C29" w:rsidRDefault="002D6C29" w:rsidP="00675FF9">
            <w:pPr>
              <w:spacing w:after="0" w:line="240" w:lineRule="auto"/>
              <w:jc w:val="center"/>
              <w:rPr>
                <w:rFonts w:ascii="Arial" w:eastAsia="Times New Roman" w:hAnsi="Arial" w:cs="Arial"/>
                <w:b/>
                <w:bCs/>
                <w:color w:val="000000"/>
                <w:lang w:eastAsia="en-GB"/>
              </w:rPr>
            </w:pPr>
          </w:p>
        </w:tc>
        <w:tc>
          <w:tcPr>
            <w:tcW w:w="1842" w:type="dxa"/>
            <w:shd w:val="clear" w:color="auto" w:fill="auto"/>
            <w:noWrap/>
            <w:vAlign w:val="center"/>
            <w:hideMark/>
          </w:tcPr>
          <w:p w14:paraId="0DDACA7E" w14:textId="77777777" w:rsidR="002D6C29" w:rsidRPr="002D6C29" w:rsidRDefault="002D6C29" w:rsidP="00675FF9">
            <w:pPr>
              <w:spacing w:after="0" w:line="240" w:lineRule="auto"/>
              <w:jc w:val="center"/>
              <w:rPr>
                <w:rFonts w:ascii="Arial" w:eastAsia="Times New Roman" w:hAnsi="Arial" w:cs="Arial"/>
                <w:b/>
                <w:bCs/>
                <w:color w:val="000000"/>
                <w:lang w:eastAsia="en-GB"/>
              </w:rPr>
            </w:pPr>
            <w:r w:rsidRPr="002D6C29">
              <w:rPr>
                <w:rFonts w:ascii="Arial" w:eastAsia="Times New Roman" w:hAnsi="Arial" w:cs="Arial"/>
                <w:b/>
                <w:bCs/>
                <w:color w:val="000000"/>
                <w:lang w:eastAsia="en-GB"/>
              </w:rPr>
              <w:t>City-wide</w:t>
            </w:r>
          </w:p>
        </w:tc>
      </w:tr>
      <w:tr w:rsidR="00CC13D5" w:rsidRPr="002D6C29" w14:paraId="18631605" w14:textId="77777777" w:rsidTr="006C2621">
        <w:trPr>
          <w:trHeight w:val="454"/>
        </w:trPr>
        <w:tc>
          <w:tcPr>
            <w:tcW w:w="2268" w:type="dxa"/>
            <w:shd w:val="clear" w:color="auto" w:fill="auto"/>
            <w:noWrap/>
            <w:vAlign w:val="center"/>
          </w:tcPr>
          <w:p w14:paraId="41E33794" w14:textId="77777777" w:rsidR="00CC13D5" w:rsidRPr="00146929" w:rsidRDefault="00CC13D5" w:rsidP="00CC13D5">
            <w:pPr>
              <w:spacing w:after="0" w:line="240" w:lineRule="auto"/>
              <w:rPr>
                <w:rFonts w:ascii="Arial" w:eastAsia="Times New Roman" w:hAnsi="Arial" w:cs="Arial"/>
                <w:color w:val="000000"/>
                <w:lang w:eastAsia="en-GB"/>
              </w:rPr>
            </w:pPr>
            <w:r w:rsidRPr="00146929">
              <w:rPr>
                <w:rFonts w:ascii="Arial" w:eastAsia="Times New Roman" w:hAnsi="Arial" w:cs="Arial"/>
                <w:color w:val="000000"/>
                <w:lang w:eastAsia="en-GB"/>
              </w:rPr>
              <w:t>Existing demand</w:t>
            </w:r>
            <w:r>
              <w:rPr>
                <w:rFonts w:ascii="Arial" w:eastAsia="Times New Roman" w:hAnsi="Arial" w:cs="Arial"/>
                <w:color w:val="000000"/>
                <w:lang w:eastAsia="en-GB"/>
              </w:rPr>
              <w:t xml:space="preserve"> from the main universities</w:t>
            </w:r>
            <w:r w:rsidRPr="00146929">
              <w:rPr>
                <w:rFonts w:ascii="Arial" w:eastAsia="Times New Roman" w:hAnsi="Arial" w:cs="Arial"/>
                <w:color w:val="000000"/>
                <w:lang w:eastAsia="en-GB"/>
              </w:rPr>
              <w:t>*</w:t>
            </w:r>
          </w:p>
        </w:tc>
        <w:tc>
          <w:tcPr>
            <w:tcW w:w="1559" w:type="dxa"/>
            <w:shd w:val="clear" w:color="auto" w:fill="auto"/>
            <w:noWrap/>
            <w:vAlign w:val="center"/>
          </w:tcPr>
          <w:p w14:paraId="44D80EBE" w14:textId="77777777" w:rsidR="00CC13D5" w:rsidRPr="00146929" w:rsidDel="006C6261" w:rsidRDefault="00CC13D5" w:rsidP="00CC13D5">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24,784</w:t>
            </w:r>
          </w:p>
        </w:tc>
        <w:tc>
          <w:tcPr>
            <w:tcW w:w="1701" w:type="dxa"/>
            <w:shd w:val="clear" w:color="auto" w:fill="auto"/>
            <w:noWrap/>
            <w:vAlign w:val="center"/>
          </w:tcPr>
          <w:p w14:paraId="2FBA7108" w14:textId="77777777" w:rsidR="00CC13D5" w:rsidRPr="00146929" w:rsidDel="006C6261" w:rsidRDefault="00CC13D5" w:rsidP="00CC13D5">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22,413</w:t>
            </w:r>
          </w:p>
        </w:tc>
        <w:tc>
          <w:tcPr>
            <w:tcW w:w="1418" w:type="dxa"/>
            <w:shd w:val="clear" w:color="auto" w:fill="auto"/>
            <w:noWrap/>
            <w:vAlign w:val="center"/>
          </w:tcPr>
          <w:p w14:paraId="1E8F09DD" w14:textId="77777777" w:rsidR="00CC13D5" w:rsidRPr="00146929" w:rsidDel="006C6261" w:rsidRDefault="00CC13D5" w:rsidP="00CC13D5">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237</w:t>
            </w:r>
          </w:p>
        </w:tc>
        <w:tc>
          <w:tcPr>
            <w:tcW w:w="1842" w:type="dxa"/>
            <w:shd w:val="clear" w:color="auto" w:fill="auto"/>
            <w:noWrap/>
            <w:vAlign w:val="center"/>
          </w:tcPr>
          <w:p w14:paraId="707A2179" w14:textId="77777777" w:rsidR="00CC13D5" w:rsidRPr="00146929" w:rsidDel="00146929" w:rsidRDefault="00CC13D5" w:rsidP="00CC13D5">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47,434</w:t>
            </w:r>
          </w:p>
        </w:tc>
      </w:tr>
      <w:tr w:rsidR="00CC13D5" w:rsidRPr="002D6C29" w14:paraId="13A21351" w14:textId="77777777" w:rsidTr="006C2621">
        <w:trPr>
          <w:trHeight w:val="454"/>
        </w:trPr>
        <w:tc>
          <w:tcPr>
            <w:tcW w:w="2268" w:type="dxa"/>
            <w:shd w:val="clear" w:color="auto" w:fill="auto"/>
            <w:noWrap/>
            <w:vAlign w:val="center"/>
            <w:hideMark/>
          </w:tcPr>
          <w:p w14:paraId="2C50896C" w14:textId="77777777" w:rsidR="00CC13D5" w:rsidRPr="002D6C29" w:rsidRDefault="00CC13D5" w:rsidP="00CC13D5">
            <w:pPr>
              <w:spacing w:after="0" w:line="240" w:lineRule="auto"/>
              <w:rPr>
                <w:rFonts w:ascii="Arial" w:eastAsia="Times New Roman" w:hAnsi="Arial" w:cs="Arial"/>
                <w:color w:val="000000"/>
                <w:lang w:eastAsia="en-GB"/>
              </w:rPr>
            </w:pPr>
            <w:r w:rsidRPr="002D6C29">
              <w:rPr>
                <w:rFonts w:ascii="Arial" w:eastAsia="Times New Roman" w:hAnsi="Arial" w:cs="Arial"/>
                <w:color w:val="000000"/>
                <w:lang w:eastAsia="en-GB"/>
              </w:rPr>
              <w:t>Potential future demand</w:t>
            </w:r>
            <w:r>
              <w:rPr>
                <w:rFonts w:ascii="Arial" w:eastAsia="Times New Roman" w:hAnsi="Arial" w:cs="Arial"/>
                <w:color w:val="000000"/>
                <w:lang w:eastAsia="en-GB"/>
              </w:rPr>
              <w:t xml:space="preserve"> arising from the main universities</w:t>
            </w:r>
          </w:p>
        </w:tc>
        <w:tc>
          <w:tcPr>
            <w:tcW w:w="1559" w:type="dxa"/>
            <w:shd w:val="clear" w:color="auto" w:fill="auto"/>
            <w:noWrap/>
            <w:vAlign w:val="center"/>
            <w:hideMark/>
          </w:tcPr>
          <w:p w14:paraId="28B4B247" w14:textId="77777777" w:rsidR="00CC13D5" w:rsidRPr="002D6C29" w:rsidRDefault="00CC13D5" w:rsidP="00675FF9">
            <w:pPr>
              <w:spacing w:after="0" w:line="240" w:lineRule="auto"/>
              <w:jc w:val="center"/>
              <w:rPr>
                <w:rFonts w:ascii="Arial" w:eastAsia="Times New Roman" w:hAnsi="Arial" w:cs="Arial"/>
                <w:lang w:eastAsia="en-GB"/>
              </w:rPr>
            </w:pPr>
            <w:r>
              <w:rPr>
                <w:rFonts w:ascii="Arial" w:eastAsia="Times New Roman" w:hAnsi="Arial" w:cs="Arial"/>
                <w:lang w:eastAsia="en-GB"/>
              </w:rPr>
              <w:t>26,184</w:t>
            </w:r>
          </w:p>
        </w:tc>
        <w:tc>
          <w:tcPr>
            <w:tcW w:w="1701" w:type="dxa"/>
            <w:shd w:val="clear" w:color="auto" w:fill="auto"/>
            <w:noWrap/>
            <w:vAlign w:val="center"/>
            <w:hideMark/>
          </w:tcPr>
          <w:p w14:paraId="3728108E" w14:textId="77777777" w:rsidR="00CC13D5" w:rsidRPr="002D6C29" w:rsidRDefault="00CC13D5" w:rsidP="00675FF9">
            <w:pPr>
              <w:spacing w:after="0" w:line="240" w:lineRule="auto"/>
              <w:jc w:val="center"/>
              <w:rPr>
                <w:rFonts w:ascii="Arial" w:eastAsia="Times New Roman" w:hAnsi="Arial" w:cs="Arial"/>
                <w:lang w:eastAsia="en-GB"/>
              </w:rPr>
            </w:pPr>
            <w:r w:rsidRPr="002D6C29">
              <w:rPr>
                <w:rFonts w:ascii="Arial" w:eastAsia="Times New Roman" w:hAnsi="Arial" w:cs="Arial"/>
                <w:lang w:eastAsia="en-GB"/>
              </w:rPr>
              <w:t>27,</w:t>
            </w:r>
            <w:r>
              <w:rPr>
                <w:rFonts w:ascii="Arial" w:eastAsia="Times New Roman" w:hAnsi="Arial" w:cs="Arial"/>
                <w:lang w:eastAsia="en-GB"/>
              </w:rPr>
              <w:t>016</w:t>
            </w:r>
          </w:p>
        </w:tc>
        <w:tc>
          <w:tcPr>
            <w:tcW w:w="1418" w:type="dxa"/>
            <w:shd w:val="clear" w:color="auto" w:fill="auto"/>
            <w:noWrap/>
            <w:vAlign w:val="center"/>
            <w:hideMark/>
          </w:tcPr>
          <w:p w14:paraId="170FEB5C" w14:textId="77777777" w:rsidR="00CC13D5" w:rsidRPr="002D6C29" w:rsidRDefault="00CC13D5" w:rsidP="00675FF9">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276</w:t>
            </w:r>
          </w:p>
        </w:tc>
        <w:tc>
          <w:tcPr>
            <w:tcW w:w="1842" w:type="dxa"/>
            <w:shd w:val="clear" w:color="auto" w:fill="auto"/>
            <w:noWrap/>
            <w:vAlign w:val="center"/>
            <w:hideMark/>
          </w:tcPr>
          <w:p w14:paraId="58C4DEBE" w14:textId="77777777" w:rsidR="00CC13D5" w:rsidRPr="002D6C29" w:rsidRDefault="00CC13D5" w:rsidP="00675FF9">
            <w:pPr>
              <w:spacing w:after="0" w:line="240" w:lineRule="auto"/>
              <w:jc w:val="center"/>
              <w:rPr>
                <w:rFonts w:ascii="Arial" w:eastAsia="Times New Roman" w:hAnsi="Arial" w:cs="Arial"/>
                <w:lang w:eastAsia="en-GB"/>
              </w:rPr>
            </w:pPr>
            <w:r w:rsidRPr="002D6C29">
              <w:rPr>
                <w:rFonts w:ascii="Arial" w:eastAsia="Times New Roman" w:hAnsi="Arial" w:cs="Arial"/>
                <w:lang w:eastAsia="en-GB"/>
              </w:rPr>
              <w:t>53,</w:t>
            </w:r>
            <w:r>
              <w:rPr>
                <w:rFonts w:ascii="Arial" w:eastAsia="Times New Roman" w:hAnsi="Arial" w:cs="Arial"/>
                <w:lang w:eastAsia="en-GB"/>
              </w:rPr>
              <w:t>476</w:t>
            </w:r>
          </w:p>
        </w:tc>
      </w:tr>
    </w:tbl>
    <w:p w14:paraId="4BCBBA4E" w14:textId="77777777" w:rsidR="002D6C29" w:rsidRPr="002D6C29" w:rsidRDefault="002D6C29" w:rsidP="00675FF9">
      <w:pPr>
        <w:spacing w:line="240" w:lineRule="auto"/>
        <w:ind w:left="284"/>
        <w:jc w:val="both"/>
        <w:rPr>
          <w:rFonts w:ascii="Arial" w:hAnsi="Arial" w:cs="Arial"/>
          <w:sz w:val="16"/>
          <w:szCs w:val="16"/>
        </w:rPr>
      </w:pPr>
      <w:r w:rsidRPr="00146929">
        <w:rPr>
          <w:rFonts w:ascii="Arial" w:hAnsi="Arial" w:cs="Arial"/>
          <w:sz w:val="16"/>
          <w:szCs w:val="16"/>
        </w:rPr>
        <w:t xml:space="preserve">* Source: HESA </w:t>
      </w:r>
      <w:r w:rsidR="00146929">
        <w:rPr>
          <w:rFonts w:ascii="Arial" w:hAnsi="Arial" w:cs="Arial"/>
          <w:sz w:val="16"/>
          <w:szCs w:val="16"/>
        </w:rPr>
        <w:t>2022/23</w:t>
      </w:r>
      <w:r w:rsidRPr="00146929">
        <w:rPr>
          <w:rFonts w:ascii="Arial" w:hAnsi="Arial" w:cs="Arial"/>
          <w:sz w:val="16"/>
          <w:szCs w:val="16"/>
        </w:rPr>
        <w:t xml:space="preserve"> </w:t>
      </w:r>
    </w:p>
    <w:p w14:paraId="61B71ECC" w14:textId="77777777" w:rsidR="002D6C29" w:rsidRPr="002D6C29" w:rsidRDefault="006C6261" w:rsidP="002D6C29">
      <w:pPr>
        <w:pStyle w:val="ListParagraph"/>
        <w:numPr>
          <w:ilvl w:val="0"/>
          <w:numId w:val="14"/>
        </w:numPr>
        <w:spacing w:before="120" w:line="240" w:lineRule="auto"/>
        <w:ind w:left="284" w:hanging="284"/>
        <w:jc w:val="both"/>
        <w:rPr>
          <w:rFonts w:cs="Arial"/>
          <w:sz w:val="22"/>
        </w:rPr>
      </w:pPr>
      <w:r>
        <w:rPr>
          <w:rFonts w:cs="Arial"/>
          <w:sz w:val="22"/>
        </w:rPr>
        <w:t>To correlate with the HESA 2022/23 data, i</w:t>
      </w:r>
      <w:r w:rsidRPr="002D6C29">
        <w:rPr>
          <w:rFonts w:cs="Arial"/>
          <w:sz w:val="22"/>
        </w:rPr>
        <w:t xml:space="preserve">n </w:t>
      </w:r>
      <w:r w:rsidR="002D6C29" w:rsidRPr="002D6C29">
        <w:rPr>
          <w:rFonts w:cs="Arial"/>
          <w:sz w:val="22"/>
        </w:rPr>
        <w:t xml:space="preserve">2023 BCC obtained information from the </w:t>
      </w:r>
      <w:r>
        <w:rPr>
          <w:rFonts w:cs="Arial"/>
          <w:sz w:val="22"/>
        </w:rPr>
        <w:t xml:space="preserve">city’s main student generating </w:t>
      </w:r>
      <w:r w:rsidR="002D6C29" w:rsidRPr="002D6C29">
        <w:rPr>
          <w:rFonts w:cs="Arial"/>
          <w:sz w:val="22"/>
        </w:rPr>
        <w:t xml:space="preserve">universities in relation to their future growth plans and projected student numbers in order to determine the level of potential additional demand for accommodation in future years. This is shown in detail in Table 2 and summarised in Table 1 above. Further detail relating to the information obtained from the universities is set out in Appendix 1. The </w:t>
      </w:r>
      <w:r w:rsidR="002D6C29" w:rsidRPr="002D6C29">
        <w:rPr>
          <w:rFonts w:cs="Arial"/>
          <w:bCs/>
          <w:sz w:val="22"/>
        </w:rPr>
        <w:t xml:space="preserve">estimated number of students requiring accommodation will increase by approximately </w:t>
      </w:r>
      <w:r w:rsidR="00CC13D5">
        <w:rPr>
          <w:rFonts w:cs="Arial"/>
          <w:bCs/>
          <w:sz w:val="22"/>
        </w:rPr>
        <w:t>6,000</w:t>
      </w:r>
      <w:r w:rsidR="002D6C29" w:rsidRPr="002D6C29">
        <w:rPr>
          <w:rFonts w:cs="Arial"/>
          <w:bCs/>
          <w:sz w:val="22"/>
        </w:rPr>
        <w:t xml:space="preserve"> to a total of 53,</w:t>
      </w:r>
      <w:r w:rsidR="00CC13D5">
        <w:rPr>
          <w:rFonts w:cs="Arial"/>
          <w:bCs/>
          <w:sz w:val="22"/>
        </w:rPr>
        <w:t>476</w:t>
      </w:r>
      <w:r w:rsidR="00CC13D5" w:rsidRPr="002D6C29">
        <w:rPr>
          <w:rFonts w:cs="Arial"/>
          <w:bCs/>
          <w:sz w:val="22"/>
        </w:rPr>
        <w:t xml:space="preserve"> </w:t>
      </w:r>
      <w:r w:rsidR="002D6C29" w:rsidRPr="002D6C29">
        <w:rPr>
          <w:rFonts w:cs="Arial"/>
          <w:bCs/>
          <w:sz w:val="22"/>
        </w:rPr>
        <w:t>students by 2027/28</w:t>
      </w:r>
      <w:r w:rsidR="002D6C29">
        <w:rPr>
          <w:rFonts w:cs="Arial"/>
          <w:bCs/>
          <w:sz w:val="22"/>
        </w:rPr>
        <w:t>.</w:t>
      </w:r>
    </w:p>
    <w:p w14:paraId="4925577E" w14:textId="77777777" w:rsidR="002D6C29" w:rsidRPr="002D6C29" w:rsidRDefault="002D6C29" w:rsidP="002D6C29">
      <w:pPr>
        <w:pStyle w:val="ListParagraph"/>
        <w:spacing w:after="0" w:line="240" w:lineRule="auto"/>
        <w:ind w:left="0"/>
        <w:jc w:val="both"/>
        <w:rPr>
          <w:rFonts w:cs="Arial"/>
          <w:bCs/>
          <w:sz w:val="22"/>
        </w:rPr>
      </w:pPr>
    </w:p>
    <w:p w14:paraId="389A5F61" w14:textId="77777777" w:rsidR="002D6C29" w:rsidRPr="002D6C29" w:rsidRDefault="002D6C29" w:rsidP="00675FF9">
      <w:pPr>
        <w:pStyle w:val="ListParagraph"/>
        <w:spacing w:after="0" w:line="240" w:lineRule="auto"/>
        <w:ind w:left="284"/>
        <w:jc w:val="both"/>
        <w:rPr>
          <w:rFonts w:cs="Arial"/>
          <w:b/>
          <w:sz w:val="22"/>
        </w:rPr>
      </w:pPr>
      <w:r w:rsidRPr="002D6C29">
        <w:rPr>
          <w:rFonts w:cs="Arial"/>
          <w:b/>
          <w:sz w:val="22"/>
        </w:rPr>
        <w:t>Table 2: Projected increase in students requiring accommodation to 2027/28</w:t>
      </w:r>
    </w:p>
    <w:p w14:paraId="1549E794" w14:textId="77777777" w:rsidR="002D6C29" w:rsidRPr="002D6C29" w:rsidRDefault="002D6C29" w:rsidP="002D6C29">
      <w:pPr>
        <w:pStyle w:val="ListParagraph"/>
        <w:spacing w:after="0" w:line="240" w:lineRule="auto"/>
        <w:jc w:val="both"/>
        <w:rPr>
          <w:rFonts w:cs="Arial"/>
          <w:bCs/>
          <w:sz w:val="22"/>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Projected increase in students requiring accommodation to 2027/28"/>
        <w:tblDescription w:val="Table showing projected increases in student bedspaces required for each university up to 2027/28."/>
      </w:tblPr>
      <w:tblGrid>
        <w:gridCol w:w="1984"/>
        <w:gridCol w:w="2410"/>
        <w:gridCol w:w="2410"/>
        <w:gridCol w:w="1984"/>
      </w:tblGrid>
      <w:tr w:rsidR="00062A82" w:rsidRPr="002D6C29" w14:paraId="7551DFA5" w14:textId="77777777" w:rsidTr="002D2931">
        <w:trPr>
          <w:cantSplit/>
          <w:tblHeader/>
        </w:trPr>
        <w:tc>
          <w:tcPr>
            <w:tcW w:w="1984" w:type="dxa"/>
            <w:shd w:val="clear" w:color="auto" w:fill="auto"/>
            <w:vAlign w:val="center"/>
          </w:tcPr>
          <w:p w14:paraId="4F45DC5A" w14:textId="77777777" w:rsidR="00062A82" w:rsidRPr="002D6C29" w:rsidRDefault="00062A82" w:rsidP="006C6261">
            <w:pPr>
              <w:spacing w:after="0" w:line="240" w:lineRule="auto"/>
              <w:rPr>
                <w:rFonts w:ascii="Arial" w:hAnsi="Arial" w:cs="Arial"/>
                <w:b/>
                <w:bCs/>
              </w:rPr>
            </w:pPr>
          </w:p>
        </w:tc>
        <w:tc>
          <w:tcPr>
            <w:tcW w:w="2410" w:type="dxa"/>
            <w:shd w:val="clear" w:color="auto" w:fill="auto"/>
            <w:vAlign w:val="center"/>
          </w:tcPr>
          <w:p w14:paraId="46233C64" w14:textId="77777777" w:rsidR="00062A82" w:rsidRPr="00675FF9" w:rsidRDefault="00062A82" w:rsidP="00675FF9">
            <w:pPr>
              <w:spacing w:after="0" w:line="240" w:lineRule="auto"/>
              <w:jc w:val="center"/>
              <w:rPr>
                <w:rFonts w:ascii="Arial" w:hAnsi="Arial" w:cs="Arial"/>
                <w:b/>
                <w:bCs/>
              </w:rPr>
            </w:pPr>
            <w:r w:rsidRPr="00675FF9">
              <w:rPr>
                <w:rFonts w:ascii="Arial" w:hAnsi="Arial" w:cs="Arial"/>
                <w:b/>
                <w:bCs/>
              </w:rPr>
              <w:t xml:space="preserve">Current number of students requiring accommodation </w:t>
            </w:r>
            <w:r w:rsidR="00220A50">
              <w:rPr>
                <w:rFonts w:ascii="Arial" w:hAnsi="Arial" w:cs="Arial"/>
                <w:b/>
                <w:bCs/>
              </w:rPr>
              <w:t>2022/23</w:t>
            </w:r>
            <w:r w:rsidR="00E43B52">
              <w:rPr>
                <w:rFonts w:ascii="Arial" w:hAnsi="Arial" w:cs="Arial"/>
                <w:b/>
                <w:bCs/>
              </w:rPr>
              <w:t>*</w:t>
            </w:r>
          </w:p>
        </w:tc>
        <w:tc>
          <w:tcPr>
            <w:tcW w:w="2410" w:type="dxa"/>
            <w:shd w:val="clear" w:color="auto" w:fill="auto"/>
            <w:vAlign w:val="center"/>
          </w:tcPr>
          <w:p w14:paraId="50D09E0C" w14:textId="77777777" w:rsidR="00062A82" w:rsidRPr="002D6C29" w:rsidRDefault="00062A82" w:rsidP="00675FF9">
            <w:pPr>
              <w:spacing w:after="0" w:line="240" w:lineRule="auto"/>
              <w:jc w:val="center"/>
              <w:rPr>
                <w:rFonts w:ascii="Arial" w:hAnsi="Arial" w:cs="Arial"/>
                <w:b/>
                <w:bCs/>
              </w:rPr>
            </w:pPr>
            <w:r w:rsidRPr="002D6C29">
              <w:rPr>
                <w:rFonts w:ascii="Arial" w:hAnsi="Arial" w:cs="Arial"/>
                <w:b/>
                <w:bCs/>
              </w:rPr>
              <w:t>Projected number of students requiring accommodation by 2027/28</w:t>
            </w:r>
            <w:r w:rsidR="00E43B52">
              <w:rPr>
                <w:rFonts w:ascii="Arial" w:hAnsi="Arial" w:cs="Arial"/>
                <w:b/>
                <w:bCs/>
              </w:rPr>
              <w:t>**</w:t>
            </w:r>
          </w:p>
        </w:tc>
        <w:tc>
          <w:tcPr>
            <w:tcW w:w="1984" w:type="dxa"/>
            <w:shd w:val="clear" w:color="auto" w:fill="auto"/>
            <w:vAlign w:val="center"/>
          </w:tcPr>
          <w:p w14:paraId="6E4C0467" w14:textId="77777777" w:rsidR="00062A82" w:rsidRPr="00A459AA" w:rsidRDefault="00445E5C" w:rsidP="00675FF9">
            <w:pPr>
              <w:spacing w:after="0" w:line="240" w:lineRule="auto"/>
              <w:jc w:val="center"/>
              <w:rPr>
                <w:rFonts w:ascii="Arial" w:hAnsi="Arial" w:cs="Arial"/>
                <w:b/>
                <w:bCs/>
              </w:rPr>
            </w:pPr>
            <w:r w:rsidRPr="00A459AA">
              <w:rPr>
                <w:rFonts w:ascii="Arial" w:hAnsi="Arial" w:cs="Arial"/>
                <w:b/>
                <w:bCs/>
              </w:rPr>
              <w:t xml:space="preserve">Change in numbers between </w:t>
            </w:r>
            <w:r w:rsidR="00A459AA">
              <w:rPr>
                <w:rFonts w:ascii="Arial" w:hAnsi="Arial" w:cs="Arial"/>
                <w:b/>
                <w:bCs/>
              </w:rPr>
              <w:t>2022/23</w:t>
            </w:r>
            <w:r w:rsidRPr="00A459AA">
              <w:rPr>
                <w:rFonts w:ascii="Arial" w:hAnsi="Arial" w:cs="Arial"/>
                <w:b/>
                <w:bCs/>
              </w:rPr>
              <w:t xml:space="preserve"> and 2027/28</w:t>
            </w:r>
          </w:p>
        </w:tc>
      </w:tr>
      <w:tr w:rsidR="00445E5C" w:rsidRPr="002D6C29" w14:paraId="45C8AF1B" w14:textId="77777777" w:rsidTr="002D2931">
        <w:trPr>
          <w:cantSplit/>
          <w:trHeight w:val="510"/>
        </w:trPr>
        <w:tc>
          <w:tcPr>
            <w:tcW w:w="1984" w:type="dxa"/>
            <w:shd w:val="clear" w:color="auto" w:fill="auto"/>
            <w:vAlign w:val="center"/>
          </w:tcPr>
          <w:p w14:paraId="60FDC370" w14:textId="77777777" w:rsidR="00445E5C" w:rsidRPr="002D6C29" w:rsidRDefault="00445E5C" w:rsidP="006C6261">
            <w:pPr>
              <w:spacing w:after="0" w:line="240" w:lineRule="auto"/>
              <w:rPr>
                <w:rFonts w:ascii="Arial" w:hAnsi="Arial" w:cs="Arial"/>
              </w:rPr>
            </w:pPr>
            <w:r w:rsidRPr="002D6C29">
              <w:rPr>
                <w:rFonts w:ascii="Arial" w:hAnsi="Arial" w:cs="Arial"/>
              </w:rPr>
              <w:t>Aston University</w:t>
            </w:r>
          </w:p>
        </w:tc>
        <w:tc>
          <w:tcPr>
            <w:tcW w:w="2410" w:type="dxa"/>
            <w:shd w:val="clear" w:color="auto" w:fill="auto"/>
            <w:vAlign w:val="center"/>
          </w:tcPr>
          <w:p w14:paraId="023F7B54" w14:textId="77777777" w:rsidR="00445E5C" w:rsidRPr="00675FF9" w:rsidRDefault="00220A50" w:rsidP="00675FF9">
            <w:pPr>
              <w:spacing w:after="0" w:line="240" w:lineRule="auto"/>
              <w:jc w:val="center"/>
              <w:rPr>
                <w:rFonts w:ascii="Arial" w:hAnsi="Arial" w:cs="Arial"/>
              </w:rPr>
            </w:pPr>
            <w:r>
              <w:rPr>
                <w:rFonts w:ascii="Arial" w:hAnsi="Arial" w:cs="Arial"/>
              </w:rPr>
              <w:t>7,312</w:t>
            </w:r>
          </w:p>
        </w:tc>
        <w:tc>
          <w:tcPr>
            <w:tcW w:w="2410" w:type="dxa"/>
            <w:vAlign w:val="center"/>
          </w:tcPr>
          <w:p w14:paraId="586AFE9C" w14:textId="77777777" w:rsidR="00445E5C" w:rsidRPr="002D6C29" w:rsidRDefault="00326B8E" w:rsidP="00675FF9">
            <w:pPr>
              <w:spacing w:after="0" w:line="240" w:lineRule="auto"/>
              <w:jc w:val="center"/>
              <w:rPr>
                <w:rFonts w:ascii="Arial" w:hAnsi="Arial" w:cs="Arial"/>
              </w:rPr>
            </w:pPr>
            <w:r>
              <w:rPr>
                <w:rFonts w:ascii="Arial" w:hAnsi="Arial" w:cs="Arial"/>
              </w:rPr>
              <w:t>11,203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B69040" w14:textId="77777777" w:rsidR="00445E5C" w:rsidRPr="00A459AA" w:rsidRDefault="00A459AA" w:rsidP="00675FF9">
            <w:pPr>
              <w:spacing w:after="0" w:line="240" w:lineRule="auto"/>
              <w:jc w:val="center"/>
              <w:rPr>
                <w:rFonts w:ascii="Arial" w:hAnsi="Arial" w:cs="Arial"/>
              </w:rPr>
            </w:pPr>
            <w:r>
              <w:rPr>
                <w:rFonts w:ascii="Arial" w:hAnsi="Arial" w:cs="Arial"/>
                <w:color w:val="000000"/>
              </w:rPr>
              <w:t>3,</w:t>
            </w:r>
            <w:r w:rsidR="00AF5170">
              <w:rPr>
                <w:rFonts w:ascii="Arial" w:hAnsi="Arial" w:cs="Arial"/>
                <w:color w:val="000000"/>
              </w:rPr>
              <w:t>891</w:t>
            </w:r>
          </w:p>
        </w:tc>
      </w:tr>
      <w:tr w:rsidR="00445E5C" w:rsidRPr="002D6C29" w14:paraId="1AC6E1C1" w14:textId="77777777" w:rsidTr="002D2931">
        <w:trPr>
          <w:cantSplit/>
          <w:trHeight w:val="510"/>
        </w:trPr>
        <w:tc>
          <w:tcPr>
            <w:tcW w:w="1984" w:type="dxa"/>
            <w:shd w:val="clear" w:color="auto" w:fill="auto"/>
            <w:vAlign w:val="center"/>
          </w:tcPr>
          <w:p w14:paraId="3EF28011" w14:textId="77777777" w:rsidR="00445E5C" w:rsidRPr="002D6C29" w:rsidRDefault="00445E5C" w:rsidP="006C6261">
            <w:pPr>
              <w:spacing w:after="0" w:line="240" w:lineRule="auto"/>
              <w:rPr>
                <w:rFonts w:ascii="Arial" w:hAnsi="Arial" w:cs="Arial"/>
              </w:rPr>
            </w:pPr>
            <w:r w:rsidRPr="002D6C29">
              <w:rPr>
                <w:rFonts w:ascii="Arial" w:hAnsi="Arial" w:cs="Arial"/>
              </w:rPr>
              <w:lastRenderedPageBreak/>
              <w:t>Newman University</w:t>
            </w:r>
          </w:p>
        </w:tc>
        <w:tc>
          <w:tcPr>
            <w:tcW w:w="2410" w:type="dxa"/>
            <w:shd w:val="clear" w:color="auto" w:fill="auto"/>
            <w:vAlign w:val="center"/>
          </w:tcPr>
          <w:p w14:paraId="7827DD2C" w14:textId="77777777" w:rsidR="00445E5C" w:rsidRPr="00675FF9" w:rsidRDefault="00220A50" w:rsidP="00675FF9">
            <w:pPr>
              <w:spacing w:after="0" w:line="240" w:lineRule="auto"/>
              <w:jc w:val="center"/>
              <w:rPr>
                <w:rFonts w:ascii="Arial" w:hAnsi="Arial" w:cs="Arial"/>
              </w:rPr>
            </w:pPr>
            <w:r>
              <w:rPr>
                <w:rFonts w:ascii="Arial" w:hAnsi="Arial" w:cs="Arial"/>
              </w:rPr>
              <w:t>237</w:t>
            </w:r>
          </w:p>
        </w:tc>
        <w:tc>
          <w:tcPr>
            <w:tcW w:w="2410" w:type="dxa"/>
            <w:vAlign w:val="center"/>
          </w:tcPr>
          <w:p w14:paraId="2C5CC863" w14:textId="77777777" w:rsidR="00445E5C" w:rsidRPr="002D6C29" w:rsidRDefault="00AF5170" w:rsidP="00675FF9">
            <w:pPr>
              <w:spacing w:after="0" w:line="240" w:lineRule="auto"/>
              <w:jc w:val="center"/>
              <w:rPr>
                <w:rFonts w:ascii="Arial" w:hAnsi="Arial" w:cs="Arial"/>
              </w:rPr>
            </w:pPr>
            <w:r>
              <w:rPr>
                <w:rFonts w:ascii="Arial" w:hAnsi="Arial" w:cs="Arial"/>
              </w:rPr>
              <w:t>276</w:t>
            </w:r>
          </w:p>
        </w:tc>
        <w:tc>
          <w:tcPr>
            <w:tcW w:w="1984" w:type="dxa"/>
            <w:tcBorders>
              <w:top w:val="nil"/>
              <w:left w:val="single" w:sz="4" w:space="0" w:color="auto"/>
              <w:bottom w:val="single" w:sz="4" w:space="0" w:color="auto"/>
              <w:right w:val="single" w:sz="4" w:space="0" w:color="auto"/>
            </w:tcBorders>
            <w:shd w:val="clear" w:color="auto" w:fill="auto"/>
            <w:vAlign w:val="center"/>
          </w:tcPr>
          <w:p w14:paraId="7E804AEA" w14:textId="77777777" w:rsidR="00445E5C" w:rsidRPr="00A459AA" w:rsidRDefault="00AF5170" w:rsidP="00675FF9">
            <w:pPr>
              <w:spacing w:after="0" w:line="240" w:lineRule="auto"/>
              <w:jc w:val="center"/>
              <w:rPr>
                <w:rFonts w:ascii="Arial" w:hAnsi="Arial" w:cs="Arial"/>
              </w:rPr>
            </w:pPr>
            <w:r>
              <w:rPr>
                <w:rFonts w:ascii="Arial" w:hAnsi="Arial" w:cs="Arial"/>
                <w:color w:val="000000"/>
              </w:rPr>
              <w:t>39</w:t>
            </w:r>
          </w:p>
        </w:tc>
      </w:tr>
      <w:tr w:rsidR="00445E5C" w:rsidRPr="002D6C29" w14:paraId="6F098F88" w14:textId="77777777" w:rsidTr="002D2931">
        <w:trPr>
          <w:cantSplit/>
          <w:trHeight w:val="510"/>
        </w:trPr>
        <w:tc>
          <w:tcPr>
            <w:tcW w:w="1984" w:type="dxa"/>
            <w:shd w:val="clear" w:color="auto" w:fill="auto"/>
            <w:vAlign w:val="center"/>
          </w:tcPr>
          <w:p w14:paraId="5ACF6E92" w14:textId="77777777" w:rsidR="00445E5C" w:rsidRPr="002D6C29" w:rsidRDefault="00445E5C" w:rsidP="006C6261">
            <w:pPr>
              <w:spacing w:after="0" w:line="240" w:lineRule="auto"/>
              <w:rPr>
                <w:rFonts w:ascii="Arial" w:hAnsi="Arial" w:cs="Arial"/>
              </w:rPr>
            </w:pPr>
            <w:r w:rsidRPr="002D6C29">
              <w:rPr>
                <w:rFonts w:ascii="Arial" w:hAnsi="Arial" w:cs="Arial"/>
              </w:rPr>
              <w:t>Birmingham City University</w:t>
            </w:r>
          </w:p>
        </w:tc>
        <w:tc>
          <w:tcPr>
            <w:tcW w:w="2410" w:type="dxa"/>
            <w:shd w:val="clear" w:color="auto" w:fill="auto"/>
            <w:vAlign w:val="center"/>
          </w:tcPr>
          <w:p w14:paraId="62D1BF7D" w14:textId="77777777" w:rsidR="00445E5C" w:rsidRPr="00675FF9" w:rsidRDefault="00220A50" w:rsidP="00675FF9">
            <w:pPr>
              <w:spacing w:after="0" w:line="240" w:lineRule="auto"/>
              <w:jc w:val="center"/>
              <w:rPr>
                <w:rFonts w:ascii="Arial" w:hAnsi="Arial" w:cs="Arial"/>
              </w:rPr>
            </w:pPr>
            <w:r>
              <w:rPr>
                <w:rFonts w:ascii="Arial" w:hAnsi="Arial" w:cs="Arial"/>
              </w:rPr>
              <w:t>12,664</w:t>
            </w:r>
          </w:p>
        </w:tc>
        <w:tc>
          <w:tcPr>
            <w:tcW w:w="2410" w:type="dxa"/>
            <w:vAlign w:val="center"/>
          </w:tcPr>
          <w:p w14:paraId="23AC0032" w14:textId="77777777" w:rsidR="00445E5C" w:rsidRPr="002D6C29" w:rsidRDefault="00445E5C" w:rsidP="00675FF9">
            <w:pPr>
              <w:spacing w:after="0" w:line="240" w:lineRule="auto"/>
              <w:jc w:val="center"/>
              <w:rPr>
                <w:rFonts w:ascii="Arial" w:hAnsi="Arial" w:cs="Arial"/>
              </w:rPr>
            </w:pPr>
            <w:r w:rsidRPr="002D6C29">
              <w:rPr>
                <w:rFonts w:ascii="Arial" w:hAnsi="Arial" w:cs="Arial"/>
              </w:rPr>
              <w:t>13,202</w:t>
            </w:r>
          </w:p>
        </w:tc>
        <w:tc>
          <w:tcPr>
            <w:tcW w:w="1984" w:type="dxa"/>
            <w:tcBorders>
              <w:top w:val="nil"/>
              <w:left w:val="single" w:sz="4" w:space="0" w:color="auto"/>
              <w:bottom w:val="single" w:sz="4" w:space="0" w:color="auto"/>
              <w:right w:val="single" w:sz="4" w:space="0" w:color="auto"/>
            </w:tcBorders>
            <w:shd w:val="clear" w:color="auto" w:fill="auto"/>
            <w:vAlign w:val="center"/>
          </w:tcPr>
          <w:p w14:paraId="18903337" w14:textId="77777777" w:rsidR="00445E5C" w:rsidRPr="00A459AA" w:rsidRDefault="00A459AA" w:rsidP="00675FF9">
            <w:pPr>
              <w:spacing w:after="0" w:line="240" w:lineRule="auto"/>
              <w:jc w:val="center"/>
              <w:rPr>
                <w:rFonts w:ascii="Arial" w:hAnsi="Arial" w:cs="Arial"/>
              </w:rPr>
            </w:pPr>
            <w:r>
              <w:rPr>
                <w:rFonts w:ascii="Arial" w:hAnsi="Arial" w:cs="Arial"/>
                <w:color w:val="000000"/>
              </w:rPr>
              <w:t>538</w:t>
            </w:r>
          </w:p>
        </w:tc>
      </w:tr>
      <w:tr w:rsidR="00445E5C" w:rsidRPr="002D6C29" w14:paraId="53BD84E9" w14:textId="77777777" w:rsidTr="002D2931">
        <w:trPr>
          <w:cantSplit/>
          <w:trHeight w:val="510"/>
        </w:trPr>
        <w:tc>
          <w:tcPr>
            <w:tcW w:w="1984" w:type="dxa"/>
            <w:shd w:val="clear" w:color="auto" w:fill="auto"/>
            <w:vAlign w:val="center"/>
          </w:tcPr>
          <w:p w14:paraId="5CD44A58" w14:textId="77777777" w:rsidR="00445E5C" w:rsidRPr="002D6C29" w:rsidRDefault="00445E5C" w:rsidP="006C6261">
            <w:pPr>
              <w:spacing w:after="0" w:line="240" w:lineRule="auto"/>
              <w:rPr>
                <w:rFonts w:ascii="Arial" w:hAnsi="Arial" w:cs="Arial"/>
              </w:rPr>
            </w:pPr>
            <w:r w:rsidRPr="002D6C29">
              <w:rPr>
                <w:rFonts w:ascii="Arial" w:hAnsi="Arial" w:cs="Arial"/>
              </w:rPr>
              <w:t>University of Birmingham</w:t>
            </w:r>
          </w:p>
        </w:tc>
        <w:tc>
          <w:tcPr>
            <w:tcW w:w="2410" w:type="dxa"/>
            <w:shd w:val="clear" w:color="auto" w:fill="auto"/>
            <w:vAlign w:val="center"/>
          </w:tcPr>
          <w:p w14:paraId="5734E836" w14:textId="77777777" w:rsidR="00445E5C" w:rsidRPr="00675FF9" w:rsidRDefault="00220A50" w:rsidP="00675FF9">
            <w:pPr>
              <w:spacing w:after="0" w:line="240" w:lineRule="auto"/>
              <w:jc w:val="center"/>
              <w:rPr>
                <w:rFonts w:ascii="Arial" w:hAnsi="Arial" w:cs="Arial"/>
              </w:rPr>
            </w:pPr>
            <w:r>
              <w:rPr>
                <w:rFonts w:ascii="Arial" w:hAnsi="Arial" w:cs="Arial"/>
              </w:rPr>
              <w:t>24,784</w:t>
            </w:r>
          </w:p>
        </w:tc>
        <w:tc>
          <w:tcPr>
            <w:tcW w:w="2410" w:type="dxa"/>
            <w:vAlign w:val="center"/>
          </w:tcPr>
          <w:p w14:paraId="23BD3C15" w14:textId="77777777" w:rsidR="00445E5C" w:rsidRPr="002D6C29" w:rsidRDefault="003470A7" w:rsidP="00675FF9">
            <w:pPr>
              <w:spacing w:after="0" w:line="240" w:lineRule="auto"/>
              <w:jc w:val="center"/>
              <w:rPr>
                <w:rFonts w:ascii="Arial" w:hAnsi="Arial" w:cs="Arial"/>
              </w:rPr>
            </w:pPr>
            <w:r>
              <w:rPr>
                <w:rFonts w:ascii="Arial" w:hAnsi="Arial" w:cs="Arial"/>
              </w:rPr>
              <w:t>26,184</w:t>
            </w:r>
          </w:p>
        </w:tc>
        <w:tc>
          <w:tcPr>
            <w:tcW w:w="1984" w:type="dxa"/>
            <w:tcBorders>
              <w:top w:val="nil"/>
              <w:left w:val="single" w:sz="4" w:space="0" w:color="auto"/>
              <w:bottom w:val="single" w:sz="4" w:space="0" w:color="auto"/>
              <w:right w:val="single" w:sz="4" w:space="0" w:color="auto"/>
            </w:tcBorders>
            <w:shd w:val="clear" w:color="auto" w:fill="auto"/>
            <w:vAlign w:val="center"/>
          </w:tcPr>
          <w:p w14:paraId="2DB6AAA7" w14:textId="77777777" w:rsidR="00445E5C" w:rsidRPr="00A459AA" w:rsidRDefault="003470A7" w:rsidP="00675FF9">
            <w:pPr>
              <w:spacing w:after="0" w:line="240" w:lineRule="auto"/>
              <w:jc w:val="center"/>
              <w:rPr>
                <w:rFonts w:ascii="Arial" w:hAnsi="Arial" w:cs="Arial"/>
              </w:rPr>
            </w:pPr>
            <w:r>
              <w:rPr>
                <w:rFonts w:ascii="Arial" w:hAnsi="Arial" w:cs="Arial"/>
                <w:color w:val="000000"/>
              </w:rPr>
              <w:t>1,400</w:t>
            </w:r>
          </w:p>
        </w:tc>
      </w:tr>
      <w:tr w:rsidR="00445E5C" w:rsidRPr="002D6C29" w14:paraId="67D5A34F" w14:textId="77777777" w:rsidTr="002D2931">
        <w:trPr>
          <w:cantSplit/>
          <w:trHeight w:val="510"/>
        </w:trPr>
        <w:tc>
          <w:tcPr>
            <w:tcW w:w="1984" w:type="dxa"/>
            <w:shd w:val="clear" w:color="auto" w:fill="auto"/>
            <w:vAlign w:val="center"/>
          </w:tcPr>
          <w:p w14:paraId="28A0B9FC" w14:textId="77777777" w:rsidR="00445E5C" w:rsidRPr="002D6C29" w:rsidRDefault="00445E5C" w:rsidP="006C6261">
            <w:pPr>
              <w:spacing w:after="0" w:line="240" w:lineRule="auto"/>
              <w:rPr>
                <w:rFonts w:ascii="Arial" w:hAnsi="Arial" w:cs="Arial"/>
              </w:rPr>
            </w:pPr>
            <w:r w:rsidRPr="002D6C29">
              <w:rPr>
                <w:rFonts w:ascii="Arial" w:hAnsi="Arial" w:cs="Arial"/>
              </w:rPr>
              <w:t>University College Birmingham</w:t>
            </w:r>
          </w:p>
        </w:tc>
        <w:tc>
          <w:tcPr>
            <w:tcW w:w="2410" w:type="dxa"/>
            <w:shd w:val="clear" w:color="auto" w:fill="auto"/>
            <w:vAlign w:val="center"/>
          </w:tcPr>
          <w:p w14:paraId="390BBC22" w14:textId="77777777" w:rsidR="00445E5C" w:rsidRPr="00675FF9" w:rsidRDefault="00220A50" w:rsidP="00675FF9">
            <w:pPr>
              <w:spacing w:after="0" w:line="240" w:lineRule="auto"/>
              <w:jc w:val="center"/>
              <w:rPr>
                <w:rFonts w:ascii="Arial" w:hAnsi="Arial" w:cs="Arial"/>
              </w:rPr>
            </w:pPr>
            <w:r>
              <w:rPr>
                <w:rFonts w:ascii="Arial" w:hAnsi="Arial" w:cs="Arial"/>
              </w:rPr>
              <w:t>2,437</w:t>
            </w:r>
          </w:p>
        </w:tc>
        <w:tc>
          <w:tcPr>
            <w:tcW w:w="2410" w:type="dxa"/>
            <w:vAlign w:val="center"/>
          </w:tcPr>
          <w:p w14:paraId="123D380D" w14:textId="77777777" w:rsidR="00445E5C" w:rsidRPr="002D6C29" w:rsidRDefault="00335AAC" w:rsidP="00675FF9">
            <w:pPr>
              <w:spacing w:after="0" w:line="240" w:lineRule="auto"/>
              <w:jc w:val="center"/>
              <w:rPr>
                <w:rFonts w:ascii="Arial" w:hAnsi="Arial" w:cs="Arial"/>
              </w:rPr>
            </w:pPr>
            <w:r>
              <w:rPr>
                <w:rFonts w:ascii="Arial" w:hAnsi="Arial" w:cs="Arial"/>
              </w:rPr>
              <w:t>2,611</w:t>
            </w:r>
          </w:p>
        </w:tc>
        <w:tc>
          <w:tcPr>
            <w:tcW w:w="1984" w:type="dxa"/>
            <w:tcBorders>
              <w:top w:val="nil"/>
              <w:left w:val="single" w:sz="4" w:space="0" w:color="auto"/>
              <w:bottom w:val="single" w:sz="4" w:space="0" w:color="auto"/>
              <w:right w:val="single" w:sz="4" w:space="0" w:color="auto"/>
            </w:tcBorders>
            <w:shd w:val="clear" w:color="auto" w:fill="auto"/>
            <w:vAlign w:val="center"/>
          </w:tcPr>
          <w:p w14:paraId="519BFA14" w14:textId="77777777" w:rsidR="00445E5C" w:rsidRPr="00A459AA" w:rsidRDefault="00445E5C" w:rsidP="00675FF9">
            <w:pPr>
              <w:spacing w:after="0" w:line="240" w:lineRule="auto"/>
              <w:jc w:val="center"/>
              <w:rPr>
                <w:rFonts w:ascii="Arial" w:hAnsi="Arial" w:cs="Arial"/>
              </w:rPr>
            </w:pPr>
            <w:r w:rsidRPr="00A459AA">
              <w:rPr>
                <w:rFonts w:ascii="Arial" w:hAnsi="Arial" w:cs="Arial"/>
                <w:color w:val="000000"/>
              </w:rPr>
              <w:t>174</w:t>
            </w:r>
          </w:p>
        </w:tc>
      </w:tr>
      <w:tr w:rsidR="00445E5C" w:rsidRPr="002D6C29" w14:paraId="25A202BC" w14:textId="77777777" w:rsidTr="002D2931">
        <w:trPr>
          <w:cantSplit/>
          <w:trHeight w:val="510"/>
        </w:trPr>
        <w:tc>
          <w:tcPr>
            <w:tcW w:w="1984" w:type="dxa"/>
            <w:shd w:val="clear" w:color="auto" w:fill="auto"/>
            <w:vAlign w:val="center"/>
          </w:tcPr>
          <w:p w14:paraId="09E709EF" w14:textId="77777777" w:rsidR="00445E5C" w:rsidRPr="002D6C29" w:rsidRDefault="00445E5C" w:rsidP="006C6261">
            <w:pPr>
              <w:spacing w:after="0" w:line="240" w:lineRule="auto"/>
              <w:rPr>
                <w:rFonts w:ascii="Arial" w:hAnsi="Arial" w:cs="Arial"/>
                <w:b/>
                <w:bCs/>
              </w:rPr>
            </w:pPr>
            <w:r w:rsidRPr="002D6C29">
              <w:rPr>
                <w:rFonts w:ascii="Arial" w:hAnsi="Arial" w:cs="Arial"/>
                <w:b/>
                <w:bCs/>
              </w:rPr>
              <w:t>Total</w:t>
            </w:r>
          </w:p>
        </w:tc>
        <w:tc>
          <w:tcPr>
            <w:tcW w:w="2410" w:type="dxa"/>
            <w:shd w:val="clear" w:color="auto" w:fill="auto"/>
            <w:vAlign w:val="center"/>
          </w:tcPr>
          <w:p w14:paraId="7F74CF71" w14:textId="77777777" w:rsidR="00445E5C" w:rsidRPr="00AF0432" w:rsidRDefault="00A459AA" w:rsidP="00AF0432">
            <w:pPr>
              <w:spacing w:after="0" w:line="240" w:lineRule="auto"/>
              <w:jc w:val="center"/>
              <w:rPr>
                <w:rFonts w:ascii="Arial" w:hAnsi="Arial" w:cs="Arial"/>
                <w:b/>
                <w:bCs/>
              </w:rPr>
            </w:pPr>
            <w:r>
              <w:rPr>
                <w:rFonts w:ascii="Arial" w:hAnsi="Arial" w:cs="Arial"/>
                <w:b/>
                <w:bCs/>
              </w:rPr>
              <w:t>47,434</w:t>
            </w:r>
          </w:p>
        </w:tc>
        <w:tc>
          <w:tcPr>
            <w:tcW w:w="2410" w:type="dxa"/>
            <w:vAlign w:val="center"/>
          </w:tcPr>
          <w:p w14:paraId="3F47160A" w14:textId="77777777" w:rsidR="00445E5C" w:rsidRPr="002D6C29" w:rsidRDefault="00545EAD" w:rsidP="00AF0432">
            <w:pPr>
              <w:spacing w:after="0" w:line="240" w:lineRule="auto"/>
              <w:jc w:val="center"/>
              <w:rPr>
                <w:rFonts w:ascii="Arial" w:hAnsi="Arial" w:cs="Arial"/>
                <w:b/>
                <w:bCs/>
              </w:rPr>
            </w:pPr>
            <w:r>
              <w:rPr>
                <w:rFonts w:ascii="Arial" w:hAnsi="Arial" w:cs="Arial"/>
                <w:b/>
                <w:bCs/>
              </w:rPr>
              <w:t>53,476</w:t>
            </w:r>
          </w:p>
        </w:tc>
        <w:tc>
          <w:tcPr>
            <w:tcW w:w="1984" w:type="dxa"/>
            <w:tcBorders>
              <w:top w:val="nil"/>
              <w:left w:val="single" w:sz="4" w:space="0" w:color="auto"/>
              <w:bottom w:val="single" w:sz="4" w:space="0" w:color="auto"/>
              <w:right w:val="single" w:sz="4" w:space="0" w:color="auto"/>
            </w:tcBorders>
            <w:shd w:val="clear" w:color="auto" w:fill="auto"/>
            <w:vAlign w:val="center"/>
          </w:tcPr>
          <w:p w14:paraId="25255E5E" w14:textId="77777777" w:rsidR="00445E5C" w:rsidRPr="00A459AA" w:rsidRDefault="00545EAD" w:rsidP="00AF0432">
            <w:pPr>
              <w:spacing w:after="0" w:line="240" w:lineRule="auto"/>
              <w:jc w:val="center"/>
              <w:rPr>
                <w:rFonts w:ascii="Arial" w:hAnsi="Arial" w:cs="Arial"/>
                <w:b/>
                <w:bCs/>
              </w:rPr>
            </w:pPr>
            <w:r>
              <w:rPr>
                <w:rFonts w:ascii="Arial" w:hAnsi="Arial" w:cs="Arial"/>
                <w:b/>
                <w:bCs/>
                <w:color w:val="000000"/>
              </w:rPr>
              <w:t>6,042</w:t>
            </w:r>
          </w:p>
        </w:tc>
      </w:tr>
    </w:tbl>
    <w:p w14:paraId="534F9DD1" w14:textId="77777777" w:rsidR="00E43B52" w:rsidRDefault="00E43B52" w:rsidP="00E43B52">
      <w:pPr>
        <w:pStyle w:val="ListParagraph"/>
        <w:spacing w:after="0" w:line="240" w:lineRule="auto"/>
        <w:ind w:left="284"/>
        <w:jc w:val="both"/>
        <w:rPr>
          <w:rFonts w:cs="Arial"/>
          <w:sz w:val="22"/>
        </w:rPr>
      </w:pPr>
      <w:r w:rsidRPr="002D6C29">
        <w:rPr>
          <w:rFonts w:cs="Arial"/>
          <w:sz w:val="22"/>
        </w:rPr>
        <w:t xml:space="preserve">* </w:t>
      </w:r>
      <w:r>
        <w:rPr>
          <w:rFonts w:cs="Arial"/>
          <w:sz w:val="22"/>
        </w:rPr>
        <w:t>HESA 2022/23 data</w:t>
      </w:r>
    </w:p>
    <w:p w14:paraId="30664B9F" w14:textId="77777777" w:rsidR="00E43B52" w:rsidRPr="002D6C29" w:rsidRDefault="00E43B52" w:rsidP="00AF0432">
      <w:pPr>
        <w:pStyle w:val="ListParagraph"/>
        <w:spacing w:after="0" w:line="240" w:lineRule="auto"/>
        <w:ind w:left="284"/>
        <w:rPr>
          <w:rFonts w:cs="Arial"/>
          <w:sz w:val="22"/>
        </w:rPr>
      </w:pPr>
      <w:r w:rsidRPr="002D6C29">
        <w:rPr>
          <w:rFonts w:cs="Arial"/>
          <w:sz w:val="22"/>
        </w:rPr>
        <w:t>*</w:t>
      </w:r>
      <w:r w:rsidR="003740D3">
        <w:rPr>
          <w:rFonts w:cs="Arial"/>
          <w:sz w:val="22"/>
        </w:rPr>
        <w:t>*</w:t>
      </w:r>
      <w:r w:rsidR="003470A7">
        <w:rPr>
          <w:rFonts w:cs="Arial"/>
          <w:sz w:val="22"/>
        </w:rPr>
        <w:t xml:space="preserve"> </w:t>
      </w:r>
      <w:r>
        <w:rPr>
          <w:rFonts w:cs="Arial"/>
          <w:sz w:val="22"/>
        </w:rPr>
        <w:t>Figures provided by the universities, or estimated by BCC on the best available information</w:t>
      </w:r>
    </w:p>
    <w:p w14:paraId="5F6FCD6E" w14:textId="77777777" w:rsidR="00E43B52" w:rsidRPr="002D6C29" w:rsidRDefault="00E43B52" w:rsidP="00E43B52">
      <w:pPr>
        <w:pStyle w:val="ListParagraph"/>
        <w:spacing w:after="0" w:line="240" w:lineRule="auto"/>
        <w:ind w:left="284"/>
        <w:jc w:val="both"/>
        <w:rPr>
          <w:rFonts w:cs="Arial"/>
          <w:sz w:val="22"/>
        </w:rPr>
      </w:pPr>
    </w:p>
    <w:p w14:paraId="5F28D76A" w14:textId="77777777" w:rsidR="00087848" w:rsidRPr="002D6C29" w:rsidRDefault="00087848" w:rsidP="00112E4F">
      <w:pPr>
        <w:pStyle w:val="Heading1"/>
      </w:pPr>
      <w:r w:rsidRPr="002D6C29">
        <w:t>Supply</w:t>
      </w:r>
    </w:p>
    <w:p w14:paraId="3CDCF146" w14:textId="77777777" w:rsidR="002D6C29" w:rsidRDefault="002D6C29" w:rsidP="002D6C29">
      <w:pPr>
        <w:pStyle w:val="ListParagraph"/>
        <w:spacing w:after="0" w:line="240" w:lineRule="auto"/>
        <w:ind w:left="0"/>
        <w:jc w:val="both"/>
        <w:rPr>
          <w:rFonts w:cs="Arial"/>
          <w:sz w:val="22"/>
        </w:rPr>
      </w:pPr>
    </w:p>
    <w:p w14:paraId="0320D643" w14:textId="77777777" w:rsidR="00BE442B" w:rsidRPr="00BE6EBC" w:rsidRDefault="00346D19" w:rsidP="00BE442B">
      <w:pPr>
        <w:pStyle w:val="ListParagraph"/>
        <w:numPr>
          <w:ilvl w:val="0"/>
          <w:numId w:val="14"/>
        </w:numPr>
        <w:spacing w:after="0" w:line="240" w:lineRule="auto"/>
        <w:ind w:left="284" w:hanging="426"/>
        <w:jc w:val="both"/>
        <w:rPr>
          <w:rFonts w:cs="Arial"/>
          <w:sz w:val="22"/>
        </w:rPr>
      </w:pPr>
      <w:r w:rsidRPr="002D6C29">
        <w:rPr>
          <w:rFonts w:cs="Arial"/>
          <w:sz w:val="22"/>
        </w:rPr>
        <w:t>The estima</w:t>
      </w:r>
      <w:r w:rsidR="00860E6D" w:rsidRPr="002D6C29">
        <w:rPr>
          <w:rFonts w:cs="Arial"/>
          <w:sz w:val="22"/>
        </w:rPr>
        <w:t>ted supply</w:t>
      </w:r>
      <w:r w:rsidRPr="002D6C29">
        <w:rPr>
          <w:rFonts w:cs="Arial"/>
          <w:sz w:val="22"/>
        </w:rPr>
        <w:t xml:space="preserve"> of existing available </w:t>
      </w:r>
      <w:r w:rsidR="00860E6D" w:rsidRPr="002D6C29">
        <w:rPr>
          <w:rFonts w:cs="Arial"/>
          <w:sz w:val="22"/>
        </w:rPr>
        <w:t>student accommodation</w:t>
      </w:r>
      <w:r w:rsidRPr="002D6C29">
        <w:rPr>
          <w:rFonts w:cs="Arial"/>
          <w:sz w:val="22"/>
        </w:rPr>
        <w:t xml:space="preserve"> is based on </w:t>
      </w:r>
      <w:r w:rsidR="008B0BF6" w:rsidRPr="002D6C29">
        <w:rPr>
          <w:rFonts w:cs="Arial"/>
          <w:sz w:val="22"/>
        </w:rPr>
        <w:t xml:space="preserve">the </w:t>
      </w:r>
      <w:r w:rsidRPr="002D6C29">
        <w:rPr>
          <w:rFonts w:cs="Arial"/>
          <w:sz w:val="22"/>
        </w:rPr>
        <w:t>annual monitoring of completions</w:t>
      </w:r>
      <w:r w:rsidR="008B0BF6" w:rsidRPr="002D6C29">
        <w:rPr>
          <w:rFonts w:cs="Arial"/>
          <w:sz w:val="22"/>
        </w:rPr>
        <w:t>. The latest monitoring was</w:t>
      </w:r>
      <w:r w:rsidRPr="002D6C29">
        <w:rPr>
          <w:rFonts w:cs="Arial"/>
          <w:sz w:val="22"/>
        </w:rPr>
        <w:t xml:space="preserve"> undertaken in April </w:t>
      </w:r>
      <w:r w:rsidR="00E25713" w:rsidRPr="002D6C29">
        <w:rPr>
          <w:rFonts w:cs="Arial"/>
          <w:sz w:val="22"/>
        </w:rPr>
        <w:t>202</w:t>
      </w:r>
      <w:r w:rsidR="00E25713">
        <w:rPr>
          <w:rFonts w:cs="Arial"/>
          <w:sz w:val="22"/>
        </w:rPr>
        <w:t>4</w:t>
      </w:r>
      <w:r w:rsidRPr="002D6C29">
        <w:rPr>
          <w:rFonts w:cs="Arial"/>
          <w:sz w:val="22"/>
        </w:rPr>
        <w:t xml:space="preserve">. There </w:t>
      </w:r>
      <w:r w:rsidR="00595225" w:rsidRPr="002D6C29">
        <w:rPr>
          <w:rFonts w:cs="Arial"/>
          <w:sz w:val="22"/>
        </w:rPr>
        <w:t>are</w:t>
      </w:r>
      <w:r w:rsidRPr="002D6C29">
        <w:rPr>
          <w:rFonts w:cs="Arial"/>
          <w:sz w:val="22"/>
        </w:rPr>
        <w:t xml:space="preserve"> an estimated </w:t>
      </w:r>
      <w:r w:rsidR="00BE6EBC">
        <w:rPr>
          <w:rFonts w:cs="Arial"/>
          <w:sz w:val="22"/>
        </w:rPr>
        <w:t>24,614</w:t>
      </w:r>
      <w:r w:rsidRPr="002D6C29">
        <w:rPr>
          <w:rFonts w:cs="Arial"/>
          <w:sz w:val="22"/>
        </w:rPr>
        <w:t xml:space="preserve"> </w:t>
      </w:r>
      <w:r w:rsidR="008B0BF6" w:rsidRPr="002D6C29">
        <w:rPr>
          <w:rFonts w:cs="Arial"/>
          <w:sz w:val="22"/>
        </w:rPr>
        <w:t xml:space="preserve">available </w:t>
      </w:r>
      <w:r w:rsidRPr="002D6C29">
        <w:rPr>
          <w:rFonts w:cs="Arial"/>
          <w:sz w:val="22"/>
        </w:rPr>
        <w:t>bedspaces across the city</w:t>
      </w:r>
      <w:r w:rsidR="008B0BF6" w:rsidRPr="002D6C29">
        <w:rPr>
          <w:rFonts w:cs="Arial"/>
          <w:sz w:val="22"/>
        </w:rPr>
        <w:t xml:space="preserve"> with </w:t>
      </w:r>
      <w:r w:rsidRPr="002D6C29">
        <w:rPr>
          <w:rFonts w:cs="Arial"/>
          <w:sz w:val="22"/>
        </w:rPr>
        <w:t xml:space="preserve">a </w:t>
      </w:r>
      <w:r w:rsidR="007E6939" w:rsidRPr="002D6C29">
        <w:rPr>
          <w:rFonts w:cs="Arial"/>
          <w:sz w:val="22"/>
        </w:rPr>
        <w:t xml:space="preserve">further </w:t>
      </w:r>
      <w:r w:rsidR="00BE6EBC">
        <w:rPr>
          <w:rFonts w:cs="Arial"/>
          <w:sz w:val="22"/>
        </w:rPr>
        <w:t>2,010</w:t>
      </w:r>
      <w:r w:rsidR="00207A24" w:rsidRPr="002D6C29">
        <w:rPr>
          <w:rFonts w:cs="Arial"/>
          <w:sz w:val="22"/>
        </w:rPr>
        <w:t xml:space="preserve"> </w:t>
      </w:r>
      <w:r w:rsidR="00DE42C9" w:rsidRPr="002D6C29">
        <w:rPr>
          <w:rFonts w:cs="Arial"/>
          <w:sz w:val="22"/>
        </w:rPr>
        <w:t>bed</w:t>
      </w:r>
      <w:r w:rsidR="001109CD" w:rsidRPr="002D6C29">
        <w:rPr>
          <w:rFonts w:cs="Arial"/>
          <w:sz w:val="22"/>
        </w:rPr>
        <w:t xml:space="preserve"> </w:t>
      </w:r>
      <w:r w:rsidR="00DE42C9" w:rsidRPr="002D6C29">
        <w:rPr>
          <w:rFonts w:cs="Arial"/>
          <w:sz w:val="22"/>
        </w:rPr>
        <w:t>spaces</w:t>
      </w:r>
      <w:r w:rsidR="007E6939" w:rsidRPr="002D6C29">
        <w:rPr>
          <w:rFonts w:cs="Arial"/>
          <w:sz w:val="22"/>
        </w:rPr>
        <w:t xml:space="preserve"> under construction</w:t>
      </w:r>
      <w:r w:rsidR="006105E1" w:rsidRPr="002D6C29">
        <w:rPr>
          <w:rFonts w:cs="Arial"/>
          <w:sz w:val="22"/>
        </w:rPr>
        <w:t xml:space="preserve"> </w:t>
      </w:r>
      <w:r w:rsidR="008B0BF6" w:rsidRPr="002D6C29">
        <w:rPr>
          <w:rFonts w:cs="Arial"/>
          <w:sz w:val="22"/>
        </w:rPr>
        <w:t xml:space="preserve">(as </w:t>
      </w:r>
      <w:proofErr w:type="gramStart"/>
      <w:r w:rsidR="008B0BF6" w:rsidRPr="002D6C29">
        <w:rPr>
          <w:rFonts w:cs="Arial"/>
          <w:sz w:val="22"/>
        </w:rPr>
        <w:t>at</w:t>
      </w:r>
      <w:proofErr w:type="gramEnd"/>
      <w:r w:rsidR="008B0BF6" w:rsidRPr="002D6C29">
        <w:rPr>
          <w:rFonts w:cs="Arial"/>
          <w:sz w:val="22"/>
        </w:rPr>
        <w:t xml:space="preserve"> April </w:t>
      </w:r>
      <w:r w:rsidR="00E25713" w:rsidRPr="002D6C29">
        <w:rPr>
          <w:rFonts w:cs="Arial"/>
          <w:sz w:val="22"/>
        </w:rPr>
        <w:t>202</w:t>
      </w:r>
      <w:r w:rsidR="00E25713">
        <w:rPr>
          <w:rFonts w:cs="Arial"/>
          <w:sz w:val="22"/>
        </w:rPr>
        <w:t>4</w:t>
      </w:r>
      <w:r w:rsidR="008B0BF6" w:rsidRPr="002D6C29">
        <w:rPr>
          <w:rFonts w:cs="Arial"/>
          <w:sz w:val="22"/>
        </w:rPr>
        <w:t>). A</w:t>
      </w:r>
      <w:r w:rsidR="00A11D82" w:rsidRPr="002D6C29">
        <w:rPr>
          <w:rFonts w:cs="Arial"/>
          <w:sz w:val="22"/>
        </w:rPr>
        <w:t>t</w:t>
      </w:r>
      <w:r w:rsidR="008B0BF6" w:rsidRPr="002D6C29">
        <w:rPr>
          <w:rFonts w:cs="Arial"/>
          <w:sz w:val="22"/>
        </w:rPr>
        <w:t xml:space="preserve"> the time of writing (</w:t>
      </w:r>
      <w:r w:rsidR="00BE6EBC">
        <w:rPr>
          <w:rFonts w:cs="Arial"/>
          <w:sz w:val="22"/>
        </w:rPr>
        <w:t>8</w:t>
      </w:r>
      <w:r w:rsidR="00BE6EBC" w:rsidRPr="00AF0432">
        <w:rPr>
          <w:rFonts w:cs="Arial"/>
          <w:sz w:val="22"/>
          <w:vertAlign w:val="superscript"/>
        </w:rPr>
        <w:t>th</w:t>
      </w:r>
      <w:r w:rsidR="00BE6EBC">
        <w:rPr>
          <w:rFonts w:cs="Arial"/>
          <w:sz w:val="22"/>
        </w:rPr>
        <w:t xml:space="preserve"> November </w:t>
      </w:r>
      <w:r w:rsidR="00E25713">
        <w:rPr>
          <w:rFonts w:cs="Arial"/>
          <w:sz w:val="22"/>
        </w:rPr>
        <w:t>2024</w:t>
      </w:r>
      <w:r w:rsidR="008B0BF6" w:rsidRPr="002D6C29">
        <w:rPr>
          <w:rFonts w:cs="Arial"/>
          <w:sz w:val="22"/>
        </w:rPr>
        <w:t>)</w:t>
      </w:r>
      <w:r w:rsidR="00D16821" w:rsidRPr="002D6C29">
        <w:rPr>
          <w:rFonts w:cs="Arial"/>
          <w:sz w:val="22"/>
        </w:rPr>
        <w:t xml:space="preserve">, </w:t>
      </w:r>
      <w:r w:rsidR="008B0BF6" w:rsidRPr="002D6C29">
        <w:rPr>
          <w:rFonts w:cs="Arial"/>
          <w:sz w:val="22"/>
        </w:rPr>
        <w:t xml:space="preserve">there </w:t>
      </w:r>
      <w:r w:rsidR="008E6E30" w:rsidRPr="002D6C29">
        <w:rPr>
          <w:rFonts w:cs="Arial"/>
          <w:sz w:val="22"/>
        </w:rPr>
        <w:t>were</w:t>
      </w:r>
      <w:r w:rsidR="008B0BF6" w:rsidRPr="002D6C29">
        <w:rPr>
          <w:rFonts w:cs="Arial"/>
          <w:sz w:val="22"/>
        </w:rPr>
        <w:t xml:space="preserve"> a further </w:t>
      </w:r>
      <w:r w:rsidR="00BE6EBC">
        <w:rPr>
          <w:rFonts w:cs="Arial"/>
          <w:sz w:val="22"/>
        </w:rPr>
        <w:t>7,168</w:t>
      </w:r>
      <w:r w:rsidR="00A11D82" w:rsidRPr="002D6C29">
        <w:rPr>
          <w:rFonts w:cs="Arial"/>
          <w:sz w:val="22"/>
        </w:rPr>
        <w:t xml:space="preserve"> </w:t>
      </w:r>
      <w:r w:rsidR="00860E6D" w:rsidRPr="002D6C29">
        <w:rPr>
          <w:rFonts w:cs="Arial"/>
          <w:sz w:val="22"/>
        </w:rPr>
        <w:t>bedspaces</w:t>
      </w:r>
      <w:r w:rsidR="007E6939" w:rsidRPr="002D6C29">
        <w:rPr>
          <w:rFonts w:cs="Arial"/>
          <w:sz w:val="22"/>
        </w:rPr>
        <w:t xml:space="preserve"> </w:t>
      </w:r>
      <w:r w:rsidR="008B0BF6" w:rsidRPr="002D6C29">
        <w:rPr>
          <w:rFonts w:cs="Arial"/>
          <w:sz w:val="22"/>
        </w:rPr>
        <w:t xml:space="preserve">which </w:t>
      </w:r>
      <w:r w:rsidR="00CC108B" w:rsidRPr="00BE6EBC">
        <w:rPr>
          <w:rFonts w:cs="Arial"/>
          <w:sz w:val="22"/>
        </w:rPr>
        <w:t>ha</w:t>
      </w:r>
      <w:r w:rsidR="00860E6D" w:rsidRPr="00BE6EBC">
        <w:rPr>
          <w:rFonts w:cs="Arial"/>
          <w:sz w:val="22"/>
        </w:rPr>
        <w:t>ve</w:t>
      </w:r>
      <w:r w:rsidR="00CC108B" w:rsidRPr="00BE6EBC">
        <w:rPr>
          <w:rFonts w:cs="Arial"/>
          <w:sz w:val="22"/>
        </w:rPr>
        <w:t xml:space="preserve"> </w:t>
      </w:r>
      <w:r w:rsidR="007E6939" w:rsidRPr="00BE6EBC">
        <w:rPr>
          <w:rFonts w:cs="Arial"/>
          <w:sz w:val="22"/>
        </w:rPr>
        <w:t>planning permission</w:t>
      </w:r>
      <w:r w:rsidR="00D16821" w:rsidRPr="00BE6EBC">
        <w:rPr>
          <w:rFonts w:cs="Arial"/>
          <w:sz w:val="22"/>
        </w:rPr>
        <w:t>.</w:t>
      </w:r>
      <w:r w:rsidR="009B3AB7" w:rsidRPr="00AF0432">
        <w:rPr>
          <w:rFonts w:cs="Arial"/>
          <w:sz w:val="22"/>
        </w:rPr>
        <w:t xml:space="preserve"> Furthermore, there </w:t>
      </w:r>
      <w:r w:rsidR="008E6E30" w:rsidRPr="00AF0432">
        <w:rPr>
          <w:rFonts w:cs="Arial"/>
          <w:sz w:val="22"/>
        </w:rPr>
        <w:t xml:space="preserve">were </w:t>
      </w:r>
      <w:r w:rsidR="00BE6EBC">
        <w:rPr>
          <w:rFonts w:cs="Arial"/>
          <w:sz w:val="22"/>
        </w:rPr>
        <w:t>5,</w:t>
      </w:r>
      <w:r w:rsidR="006C4ECA">
        <w:rPr>
          <w:rFonts w:cs="Arial"/>
          <w:sz w:val="22"/>
        </w:rPr>
        <w:t>591</w:t>
      </w:r>
      <w:r w:rsidR="008E6E30" w:rsidRPr="00AF0432">
        <w:rPr>
          <w:rFonts w:cs="Arial"/>
          <w:sz w:val="22"/>
        </w:rPr>
        <w:t xml:space="preserve"> </w:t>
      </w:r>
      <w:r w:rsidR="009B3AB7" w:rsidRPr="00AF0432">
        <w:rPr>
          <w:rFonts w:cs="Arial"/>
          <w:sz w:val="22"/>
        </w:rPr>
        <w:t xml:space="preserve">bedspaces proposed within </w:t>
      </w:r>
      <w:r w:rsidR="00BE6EBC">
        <w:rPr>
          <w:rFonts w:cs="Arial"/>
          <w:sz w:val="22"/>
        </w:rPr>
        <w:t>10</w:t>
      </w:r>
      <w:r w:rsidR="00BE6EBC" w:rsidRPr="00AF0432">
        <w:rPr>
          <w:rFonts w:cs="Arial"/>
          <w:sz w:val="22"/>
        </w:rPr>
        <w:t xml:space="preserve"> </w:t>
      </w:r>
      <w:r w:rsidR="009B3AB7" w:rsidRPr="00AF0432">
        <w:rPr>
          <w:rFonts w:cs="Arial"/>
          <w:sz w:val="22"/>
        </w:rPr>
        <w:t xml:space="preserve">live planning applications (see Appendix </w:t>
      </w:r>
      <w:r w:rsidR="007547A3">
        <w:rPr>
          <w:rFonts w:cs="Arial"/>
          <w:sz w:val="22"/>
        </w:rPr>
        <w:t>2</w:t>
      </w:r>
      <w:r w:rsidR="009B3AB7" w:rsidRPr="00AF0432">
        <w:rPr>
          <w:rFonts w:cs="Arial"/>
          <w:sz w:val="22"/>
        </w:rPr>
        <w:t>). The overall supply and breakdown by planning status is shown in Table 3</w:t>
      </w:r>
      <w:r w:rsidR="009B3AB7" w:rsidRPr="00BE6EBC">
        <w:rPr>
          <w:rFonts w:cs="Arial"/>
          <w:sz w:val="22"/>
        </w:rPr>
        <w:t>.</w:t>
      </w:r>
    </w:p>
    <w:p w14:paraId="1DC874ED" w14:textId="77777777" w:rsidR="00BE442B" w:rsidRDefault="00BE442B" w:rsidP="00BE442B">
      <w:pPr>
        <w:pStyle w:val="ListParagraph"/>
        <w:spacing w:after="0" w:line="240" w:lineRule="auto"/>
        <w:ind w:left="284"/>
        <w:jc w:val="both"/>
        <w:rPr>
          <w:rFonts w:cs="Arial"/>
          <w:sz w:val="22"/>
        </w:rPr>
      </w:pPr>
    </w:p>
    <w:p w14:paraId="2E3A5E80" w14:textId="77777777" w:rsidR="003F4DB6" w:rsidRPr="00BE442B" w:rsidRDefault="003F4DB6" w:rsidP="00BE442B">
      <w:pPr>
        <w:pStyle w:val="ListParagraph"/>
        <w:numPr>
          <w:ilvl w:val="0"/>
          <w:numId w:val="14"/>
        </w:numPr>
        <w:spacing w:after="0" w:line="240" w:lineRule="auto"/>
        <w:ind w:left="284" w:hanging="426"/>
        <w:jc w:val="both"/>
        <w:rPr>
          <w:rFonts w:cs="Arial"/>
          <w:sz w:val="22"/>
        </w:rPr>
      </w:pPr>
      <w:r w:rsidRPr="00AF0432">
        <w:rPr>
          <w:rFonts w:cs="Arial"/>
          <w:sz w:val="22"/>
        </w:rPr>
        <w:t xml:space="preserve">The majority of </w:t>
      </w:r>
      <w:r w:rsidR="00613386" w:rsidRPr="00AF0432">
        <w:rPr>
          <w:rFonts w:cs="Arial"/>
          <w:sz w:val="22"/>
        </w:rPr>
        <w:t xml:space="preserve">existing and </w:t>
      </w:r>
      <w:r w:rsidR="00CC108B" w:rsidRPr="00AF0432">
        <w:rPr>
          <w:rFonts w:cs="Arial"/>
          <w:sz w:val="22"/>
        </w:rPr>
        <w:t xml:space="preserve">committed </w:t>
      </w:r>
      <w:r w:rsidRPr="00AF0432">
        <w:rPr>
          <w:rFonts w:cs="Arial"/>
          <w:sz w:val="22"/>
        </w:rPr>
        <w:t xml:space="preserve">PBSA is located in the </w:t>
      </w:r>
      <w:r w:rsidR="00BA1550" w:rsidRPr="00AF0432">
        <w:rPr>
          <w:rFonts w:cs="Arial"/>
          <w:sz w:val="22"/>
        </w:rPr>
        <w:t>c</w:t>
      </w:r>
      <w:r w:rsidRPr="00AF0432">
        <w:rPr>
          <w:rFonts w:cs="Arial"/>
          <w:sz w:val="22"/>
        </w:rPr>
        <w:t xml:space="preserve">ity </w:t>
      </w:r>
      <w:r w:rsidR="00BA1550" w:rsidRPr="00AF0432">
        <w:rPr>
          <w:rFonts w:cs="Arial"/>
          <w:sz w:val="22"/>
        </w:rPr>
        <w:t>c</w:t>
      </w:r>
      <w:r w:rsidRPr="00AF0432">
        <w:rPr>
          <w:rFonts w:cs="Arial"/>
          <w:sz w:val="22"/>
        </w:rPr>
        <w:t xml:space="preserve">entre </w:t>
      </w:r>
      <w:r w:rsidR="00C86A98" w:rsidRPr="00AF0432">
        <w:rPr>
          <w:rFonts w:cs="Arial"/>
          <w:sz w:val="22"/>
        </w:rPr>
        <w:t>(</w:t>
      </w:r>
      <w:r w:rsidR="00714696" w:rsidRPr="00AF0432">
        <w:rPr>
          <w:rFonts w:cs="Arial"/>
          <w:sz w:val="22"/>
        </w:rPr>
        <w:t>6</w:t>
      </w:r>
      <w:r w:rsidR="00714696">
        <w:rPr>
          <w:rFonts w:cs="Arial"/>
          <w:sz w:val="22"/>
        </w:rPr>
        <w:t>1</w:t>
      </w:r>
      <w:r w:rsidR="00C86A98" w:rsidRPr="00AF0432">
        <w:rPr>
          <w:rFonts w:cs="Arial"/>
          <w:sz w:val="22"/>
        </w:rPr>
        <w:t xml:space="preserve">%) </w:t>
      </w:r>
      <w:r w:rsidRPr="00AF0432">
        <w:rPr>
          <w:rFonts w:cs="Arial"/>
          <w:sz w:val="22"/>
        </w:rPr>
        <w:t>with other major concentration</w:t>
      </w:r>
      <w:r w:rsidR="00F131B2" w:rsidRPr="00AF0432">
        <w:rPr>
          <w:rFonts w:cs="Arial"/>
          <w:sz w:val="22"/>
        </w:rPr>
        <w:t>s</w:t>
      </w:r>
      <w:r w:rsidRPr="00AF0432">
        <w:rPr>
          <w:rFonts w:cs="Arial"/>
          <w:sz w:val="22"/>
        </w:rPr>
        <w:t xml:space="preserve"> in Selly Oak</w:t>
      </w:r>
      <w:r w:rsidR="00714696">
        <w:rPr>
          <w:rFonts w:cs="Arial"/>
          <w:sz w:val="22"/>
        </w:rPr>
        <w:t xml:space="preserve"> and Edgbaston</w:t>
      </w:r>
      <w:r w:rsidR="00AD7280" w:rsidRPr="00AF0432">
        <w:rPr>
          <w:rFonts w:cs="Arial"/>
          <w:sz w:val="22"/>
        </w:rPr>
        <w:t xml:space="preserve"> (</w:t>
      </w:r>
      <w:r w:rsidR="00714696">
        <w:rPr>
          <w:rFonts w:cs="Arial"/>
          <w:sz w:val="22"/>
        </w:rPr>
        <w:t>38</w:t>
      </w:r>
      <w:r w:rsidR="00AD7280" w:rsidRPr="00AF0432">
        <w:rPr>
          <w:rFonts w:cs="Arial"/>
          <w:sz w:val="22"/>
        </w:rPr>
        <w:t>%)</w:t>
      </w:r>
      <w:r w:rsidR="00CC108B" w:rsidRPr="00AF0432">
        <w:rPr>
          <w:rFonts w:cs="Arial"/>
          <w:sz w:val="22"/>
        </w:rPr>
        <w:t xml:space="preserve">, </w:t>
      </w:r>
      <w:r w:rsidR="00D139D8" w:rsidRPr="00AF0432">
        <w:rPr>
          <w:rFonts w:cs="Arial"/>
          <w:sz w:val="22"/>
        </w:rPr>
        <w:t>and</w:t>
      </w:r>
      <w:r w:rsidR="00714696">
        <w:rPr>
          <w:rFonts w:cs="Arial"/>
          <w:sz w:val="22"/>
        </w:rPr>
        <w:t xml:space="preserve"> a</w:t>
      </w:r>
      <w:r w:rsidR="00D139D8" w:rsidRPr="00AF0432">
        <w:rPr>
          <w:rFonts w:cs="Arial"/>
          <w:sz w:val="22"/>
        </w:rPr>
        <w:t xml:space="preserve"> smaller cluster in </w:t>
      </w:r>
      <w:r w:rsidR="00AD7280" w:rsidRPr="00AF0432">
        <w:rPr>
          <w:rFonts w:cs="Arial"/>
          <w:sz w:val="22"/>
        </w:rPr>
        <w:t>Bartley Green</w:t>
      </w:r>
      <w:r w:rsidR="00207A24" w:rsidRPr="00AF0432">
        <w:rPr>
          <w:rFonts w:cs="Arial"/>
          <w:sz w:val="22"/>
        </w:rPr>
        <w:t xml:space="preserve"> (</w:t>
      </w:r>
      <w:r w:rsidR="00EA673B" w:rsidRPr="00AF0432">
        <w:rPr>
          <w:rFonts w:cs="Arial"/>
          <w:sz w:val="22"/>
        </w:rPr>
        <w:t>1</w:t>
      </w:r>
      <w:r w:rsidR="00207A24" w:rsidRPr="00AF0432">
        <w:rPr>
          <w:rFonts w:cs="Arial"/>
          <w:sz w:val="22"/>
        </w:rPr>
        <w:t>%)</w:t>
      </w:r>
      <w:r w:rsidR="00CF44C9" w:rsidRPr="00AF0432">
        <w:rPr>
          <w:rFonts w:cs="Arial"/>
          <w:sz w:val="22"/>
        </w:rPr>
        <w:t>.</w:t>
      </w:r>
      <w:r w:rsidRPr="00714696">
        <w:rPr>
          <w:rFonts w:cs="Arial"/>
          <w:sz w:val="22"/>
        </w:rPr>
        <w:t xml:space="preserve"> </w:t>
      </w:r>
      <w:r w:rsidR="00BE164E" w:rsidRPr="00714696">
        <w:rPr>
          <w:rFonts w:cs="Arial"/>
          <w:sz w:val="22"/>
        </w:rPr>
        <w:t>For analysis purposes, s</w:t>
      </w:r>
      <w:r w:rsidR="00735FB8" w:rsidRPr="00714696">
        <w:rPr>
          <w:rFonts w:cs="Arial"/>
          <w:bCs/>
          <w:sz w:val="22"/>
        </w:rPr>
        <w:t>upply</w:t>
      </w:r>
      <w:r w:rsidR="00BE164E" w:rsidRPr="00714696">
        <w:rPr>
          <w:rFonts w:cs="Arial"/>
          <w:bCs/>
          <w:sz w:val="22"/>
        </w:rPr>
        <w:t xml:space="preserve"> in the North</w:t>
      </w:r>
      <w:r w:rsidR="00BE164E" w:rsidRPr="00BE442B">
        <w:rPr>
          <w:rFonts w:cs="Arial"/>
          <w:bCs/>
          <w:sz w:val="22"/>
        </w:rPr>
        <w:t xml:space="preserve"> Edgbaston/ Five Ways area</w:t>
      </w:r>
      <w:r w:rsidR="00735FB8" w:rsidRPr="00BE442B">
        <w:rPr>
          <w:rFonts w:cs="Arial"/>
          <w:bCs/>
          <w:sz w:val="22"/>
        </w:rPr>
        <w:t xml:space="preserve"> that serves both the city centre </w:t>
      </w:r>
      <w:proofErr w:type="gramStart"/>
      <w:r w:rsidR="00735FB8" w:rsidRPr="00BE442B">
        <w:rPr>
          <w:rFonts w:cs="Arial"/>
          <w:bCs/>
          <w:sz w:val="22"/>
        </w:rPr>
        <w:t>universities</w:t>
      </w:r>
      <w:proofErr w:type="gramEnd"/>
      <w:r w:rsidR="00735FB8" w:rsidRPr="00BE442B">
        <w:rPr>
          <w:rFonts w:cs="Arial"/>
          <w:bCs/>
          <w:sz w:val="22"/>
        </w:rPr>
        <w:t xml:space="preserve"> and </w:t>
      </w:r>
      <w:r w:rsidR="00A10258" w:rsidRPr="00BE442B">
        <w:rPr>
          <w:rFonts w:cs="Arial"/>
          <w:bCs/>
          <w:sz w:val="22"/>
        </w:rPr>
        <w:t xml:space="preserve">the </w:t>
      </w:r>
      <w:r w:rsidR="00735FB8" w:rsidRPr="00BE442B">
        <w:rPr>
          <w:rFonts w:cs="Arial"/>
          <w:bCs/>
          <w:sz w:val="22"/>
        </w:rPr>
        <w:t xml:space="preserve">University of Birmingham has been split 50:50 between </w:t>
      </w:r>
      <w:r w:rsidR="00BC73E8" w:rsidRPr="00BE442B">
        <w:rPr>
          <w:rFonts w:cs="Arial"/>
          <w:bCs/>
          <w:sz w:val="22"/>
        </w:rPr>
        <w:t>these two</w:t>
      </w:r>
      <w:r w:rsidR="00735FB8" w:rsidRPr="00BE442B">
        <w:rPr>
          <w:rFonts w:cs="Arial"/>
          <w:bCs/>
          <w:sz w:val="22"/>
        </w:rPr>
        <w:t xml:space="preserve"> main </w:t>
      </w:r>
      <w:r w:rsidR="00BC73E8" w:rsidRPr="00BE442B">
        <w:rPr>
          <w:rFonts w:cs="Arial"/>
          <w:bCs/>
          <w:sz w:val="22"/>
        </w:rPr>
        <w:t>locations</w:t>
      </w:r>
      <w:r w:rsidR="00735FB8" w:rsidRPr="00BE442B">
        <w:rPr>
          <w:rFonts w:cs="Arial"/>
          <w:bCs/>
          <w:sz w:val="22"/>
        </w:rPr>
        <w:t xml:space="preserve">.  </w:t>
      </w:r>
    </w:p>
    <w:p w14:paraId="10481A09" w14:textId="77777777" w:rsidR="0024021D" w:rsidRPr="002D6C29" w:rsidRDefault="0024021D" w:rsidP="002D6C29">
      <w:pPr>
        <w:pStyle w:val="ListParagraph"/>
        <w:spacing w:after="0" w:line="240" w:lineRule="auto"/>
        <w:ind w:left="0"/>
        <w:jc w:val="both"/>
        <w:rPr>
          <w:rFonts w:cs="Arial"/>
          <w:sz w:val="22"/>
        </w:rPr>
      </w:pPr>
    </w:p>
    <w:p w14:paraId="391B9453" w14:textId="77777777" w:rsidR="00BE164E" w:rsidRPr="002D6C29" w:rsidRDefault="008F5DC1" w:rsidP="00AF0432">
      <w:pPr>
        <w:pStyle w:val="ListParagraph"/>
        <w:spacing w:after="240" w:line="240" w:lineRule="auto"/>
        <w:ind w:left="284"/>
        <w:jc w:val="both"/>
        <w:rPr>
          <w:rFonts w:cs="Arial"/>
          <w:b/>
          <w:bCs/>
          <w:sz w:val="22"/>
        </w:rPr>
      </w:pPr>
      <w:r w:rsidRPr="002D6C29">
        <w:rPr>
          <w:rFonts w:cs="Arial"/>
          <w:b/>
          <w:bCs/>
          <w:sz w:val="22"/>
        </w:rPr>
        <w:t xml:space="preserve">Table </w:t>
      </w:r>
      <w:r w:rsidR="009B3AB7" w:rsidRPr="002D6C29">
        <w:rPr>
          <w:rFonts w:cs="Arial"/>
          <w:b/>
          <w:bCs/>
          <w:sz w:val="22"/>
        </w:rPr>
        <w:t>3</w:t>
      </w:r>
      <w:r w:rsidRPr="002D6C29">
        <w:rPr>
          <w:rFonts w:cs="Arial"/>
          <w:b/>
          <w:bCs/>
          <w:sz w:val="22"/>
        </w:rPr>
        <w:t xml:space="preserve">: </w:t>
      </w:r>
      <w:r w:rsidR="00E54E3A" w:rsidRPr="002D6C29">
        <w:rPr>
          <w:rFonts w:cs="Arial"/>
          <w:b/>
          <w:bCs/>
          <w:sz w:val="22"/>
        </w:rPr>
        <w:t xml:space="preserve">Supply </w:t>
      </w:r>
      <w:r w:rsidR="00FA2804" w:rsidRPr="002D6C29">
        <w:rPr>
          <w:rFonts w:cs="Arial"/>
          <w:b/>
          <w:bCs/>
          <w:sz w:val="22"/>
        </w:rPr>
        <w:t xml:space="preserve">of </w:t>
      </w:r>
      <w:r w:rsidR="00E54E3A" w:rsidRPr="002D6C29">
        <w:rPr>
          <w:rFonts w:cs="Arial"/>
          <w:b/>
          <w:bCs/>
          <w:sz w:val="22"/>
        </w:rPr>
        <w:t>PBSA by location</w:t>
      </w:r>
    </w:p>
    <w:p w14:paraId="721611CF" w14:textId="77777777" w:rsidR="00BE164E" w:rsidRPr="002D6C29" w:rsidRDefault="00BE164E" w:rsidP="002D6C29">
      <w:pPr>
        <w:pStyle w:val="ListParagraph"/>
        <w:spacing w:after="0" w:line="240" w:lineRule="auto"/>
        <w:ind w:left="0"/>
        <w:jc w:val="both"/>
        <w:rPr>
          <w:rFonts w:cs="Arial"/>
          <w:b/>
          <w:bCs/>
          <w:sz w:val="22"/>
        </w:rPr>
      </w:pPr>
    </w:p>
    <w:tbl>
      <w:tblPr>
        <w:tblW w:w="87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3: Supply of PBSA by location"/>
        <w:tblDescription w:val="Table showing the existing supply of student bedspaces and bedspaces in approved and pending planning applications by area."/>
      </w:tblPr>
      <w:tblGrid>
        <w:gridCol w:w="2693"/>
        <w:gridCol w:w="1510"/>
        <w:gridCol w:w="1510"/>
        <w:gridCol w:w="1510"/>
        <w:gridCol w:w="1511"/>
      </w:tblGrid>
      <w:tr w:rsidR="000D678D" w:rsidRPr="00AF0432" w14:paraId="7411E572" w14:textId="77777777" w:rsidTr="00E24F72">
        <w:trPr>
          <w:trHeight w:val="290"/>
        </w:trPr>
        <w:tc>
          <w:tcPr>
            <w:tcW w:w="2693" w:type="dxa"/>
            <w:shd w:val="clear" w:color="auto" w:fill="auto"/>
            <w:hideMark/>
          </w:tcPr>
          <w:p w14:paraId="53B63459" w14:textId="77777777" w:rsidR="000D678D" w:rsidRPr="00AF0432" w:rsidRDefault="006F085D" w:rsidP="002D6C29">
            <w:pPr>
              <w:pStyle w:val="ListParagraph"/>
              <w:spacing w:line="240" w:lineRule="auto"/>
              <w:ind w:left="0"/>
              <w:jc w:val="both"/>
              <w:rPr>
                <w:rFonts w:cs="Arial"/>
                <w:b/>
                <w:bCs/>
                <w:sz w:val="22"/>
              </w:rPr>
            </w:pPr>
            <w:bookmarkStart w:id="1" w:name="_Hlk129883521"/>
            <w:r w:rsidRPr="00AF0432">
              <w:rPr>
                <w:rFonts w:eastAsia="Times New Roman" w:cs="Arial"/>
                <w:b/>
                <w:bCs/>
                <w:color w:val="000000"/>
                <w:sz w:val="22"/>
                <w:lang w:eastAsia="en-GB"/>
              </w:rPr>
              <w:t>Location</w:t>
            </w:r>
          </w:p>
        </w:tc>
        <w:tc>
          <w:tcPr>
            <w:tcW w:w="1510" w:type="dxa"/>
            <w:shd w:val="clear" w:color="auto" w:fill="auto"/>
            <w:hideMark/>
          </w:tcPr>
          <w:p w14:paraId="100327CE" w14:textId="77777777" w:rsidR="000D678D" w:rsidRPr="00AF0432" w:rsidRDefault="000D678D" w:rsidP="002D6C29">
            <w:pPr>
              <w:spacing w:after="0" w:line="240" w:lineRule="auto"/>
              <w:rPr>
                <w:rFonts w:ascii="Arial" w:hAnsi="Arial" w:cs="Arial"/>
                <w:b/>
                <w:bCs/>
              </w:rPr>
            </w:pPr>
            <w:r w:rsidRPr="00AF0432">
              <w:rPr>
                <w:rFonts w:ascii="Arial" w:eastAsia="Times New Roman" w:hAnsi="Arial" w:cs="Arial"/>
                <w:b/>
                <w:bCs/>
                <w:color w:val="000000"/>
                <w:lang w:eastAsia="en-GB"/>
              </w:rPr>
              <w:t xml:space="preserve">Selly Oak/ </w:t>
            </w:r>
            <w:r w:rsidR="006F085D" w:rsidRPr="00AF0432">
              <w:rPr>
                <w:rFonts w:ascii="Arial" w:eastAsia="Times New Roman" w:hAnsi="Arial" w:cs="Arial"/>
                <w:b/>
                <w:bCs/>
                <w:color w:val="000000"/>
                <w:lang w:eastAsia="en-GB"/>
              </w:rPr>
              <w:t>Edgbaston</w:t>
            </w:r>
          </w:p>
        </w:tc>
        <w:tc>
          <w:tcPr>
            <w:tcW w:w="1510" w:type="dxa"/>
            <w:shd w:val="clear" w:color="auto" w:fill="auto"/>
            <w:hideMark/>
          </w:tcPr>
          <w:p w14:paraId="641ACBC5" w14:textId="77777777" w:rsidR="000D678D" w:rsidRPr="00AF0432" w:rsidRDefault="000D678D" w:rsidP="002D6C29">
            <w:pPr>
              <w:pStyle w:val="ListParagraph"/>
              <w:spacing w:after="0" w:line="240" w:lineRule="auto"/>
              <w:ind w:left="0"/>
              <w:rPr>
                <w:rFonts w:cs="Arial"/>
                <w:b/>
                <w:bCs/>
                <w:sz w:val="22"/>
              </w:rPr>
            </w:pPr>
            <w:r w:rsidRPr="00AF0432">
              <w:rPr>
                <w:rFonts w:eastAsia="Times New Roman" w:cs="Arial"/>
                <w:b/>
                <w:bCs/>
                <w:color w:val="000000"/>
                <w:sz w:val="22"/>
                <w:lang w:eastAsia="en-GB"/>
              </w:rPr>
              <w:t>City Centr</w:t>
            </w:r>
            <w:r w:rsidR="00CA4084" w:rsidRPr="00AF0432">
              <w:rPr>
                <w:rFonts w:eastAsia="Times New Roman" w:cs="Arial"/>
                <w:b/>
                <w:bCs/>
                <w:color w:val="000000"/>
                <w:sz w:val="22"/>
                <w:lang w:eastAsia="en-GB"/>
              </w:rPr>
              <w:t>e</w:t>
            </w:r>
          </w:p>
        </w:tc>
        <w:tc>
          <w:tcPr>
            <w:tcW w:w="1510" w:type="dxa"/>
            <w:shd w:val="clear" w:color="auto" w:fill="auto"/>
            <w:noWrap/>
            <w:hideMark/>
          </w:tcPr>
          <w:p w14:paraId="73083EC6" w14:textId="77777777" w:rsidR="000D678D" w:rsidRPr="00AF0432" w:rsidRDefault="000D678D" w:rsidP="002D6C29">
            <w:pPr>
              <w:pStyle w:val="ListParagraph"/>
              <w:spacing w:after="0" w:line="240" w:lineRule="auto"/>
              <w:ind w:left="0"/>
              <w:rPr>
                <w:rFonts w:cs="Arial"/>
                <w:b/>
                <w:bCs/>
                <w:sz w:val="22"/>
              </w:rPr>
            </w:pPr>
            <w:r w:rsidRPr="00AF0432">
              <w:rPr>
                <w:rFonts w:eastAsia="Times New Roman" w:cs="Arial"/>
                <w:b/>
                <w:bCs/>
                <w:color w:val="000000"/>
                <w:sz w:val="22"/>
                <w:lang w:eastAsia="en-GB"/>
              </w:rPr>
              <w:t>Bartley Green</w:t>
            </w:r>
          </w:p>
        </w:tc>
        <w:tc>
          <w:tcPr>
            <w:tcW w:w="1511" w:type="dxa"/>
            <w:shd w:val="clear" w:color="auto" w:fill="auto"/>
            <w:noWrap/>
            <w:hideMark/>
          </w:tcPr>
          <w:p w14:paraId="1E5D1596" w14:textId="77777777" w:rsidR="000D678D" w:rsidRPr="00AF0432" w:rsidRDefault="000D678D" w:rsidP="002D6C29">
            <w:pPr>
              <w:pStyle w:val="ListParagraph"/>
              <w:spacing w:after="0" w:line="240" w:lineRule="auto"/>
              <w:ind w:left="0"/>
              <w:rPr>
                <w:rFonts w:cs="Arial"/>
                <w:b/>
                <w:bCs/>
                <w:sz w:val="22"/>
              </w:rPr>
            </w:pPr>
            <w:r w:rsidRPr="00AF0432">
              <w:rPr>
                <w:rFonts w:eastAsia="Times New Roman" w:cs="Arial"/>
                <w:b/>
                <w:bCs/>
                <w:color w:val="000000"/>
                <w:sz w:val="22"/>
                <w:lang w:eastAsia="en-GB"/>
              </w:rPr>
              <w:t>City-wide</w:t>
            </w:r>
          </w:p>
        </w:tc>
      </w:tr>
      <w:tr w:rsidR="000D678D" w:rsidRPr="00AF0432" w14:paraId="6D70EBBD" w14:textId="77777777" w:rsidTr="00E24F72">
        <w:trPr>
          <w:trHeight w:val="290"/>
        </w:trPr>
        <w:tc>
          <w:tcPr>
            <w:tcW w:w="2693" w:type="dxa"/>
            <w:shd w:val="clear" w:color="auto" w:fill="auto"/>
            <w:hideMark/>
          </w:tcPr>
          <w:p w14:paraId="6D9C2AF7" w14:textId="77777777" w:rsidR="000D678D" w:rsidRPr="00AF0432" w:rsidRDefault="000D678D" w:rsidP="002D6C29">
            <w:pPr>
              <w:pStyle w:val="ListParagraph"/>
              <w:spacing w:after="0" w:line="240" w:lineRule="auto"/>
              <w:ind w:left="0"/>
              <w:rPr>
                <w:rFonts w:cs="Arial"/>
                <w:sz w:val="22"/>
              </w:rPr>
            </w:pPr>
            <w:r w:rsidRPr="00AF0432">
              <w:rPr>
                <w:rFonts w:cs="Arial"/>
                <w:sz w:val="22"/>
              </w:rPr>
              <w:t xml:space="preserve">Existing </w:t>
            </w:r>
            <w:r w:rsidR="00316593" w:rsidRPr="00AF0432">
              <w:rPr>
                <w:rFonts w:cs="Arial"/>
                <w:sz w:val="22"/>
              </w:rPr>
              <w:t>supply</w:t>
            </w:r>
            <w:r w:rsidRPr="00AF0432">
              <w:rPr>
                <w:rFonts w:cs="Arial"/>
                <w:sz w:val="22"/>
              </w:rPr>
              <w:t>*</w:t>
            </w:r>
          </w:p>
        </w:tc>
        <w:tc>
          <w:tcPr>
            <w:tcW w:w="1510" w:type="dxa"/>
            <w:shd w:val="clear" w:color="auto" w:fill="auto"/>
            <w:noWrap/>
            <w:hideMark/>
          </w:tcPr>
          <w:p w14:paraId="1B293CF2" w14:textId="77777777" w:rsidR="00E9681B" w:rsidRPr="00AF0432" w:rsidRDefault="00E9681B" w:rsidP="002D6C29">
            <w:pPr>
              <w:pStyle w:val="ListParagraph"/>
              <w:spacing w:after="0" w:line="240" w:lineRule="auto"/>
              <w:ind w:left="0"/>
              <w:rPr>
                <w:rFonts w:cs="Arial"/>
                <w:sz w:val="22"/>
              </w:rPr>
            </w:pPr>
            <w:r>
              <w:rPr>
                <w:rFonts w:cs="Arial"/>
                <w:sz w:val="22"/>
              </w:rPr>
              <w:t>8,805</w:t>
            </w:r>
          </w:p>
        </w:tc>
        <w:tc>
          <w:tcPr>
            <w:tcW w:w="1510" w:type="dxa"/>
            <w:shd w:val="clear" w:color="auto" w:fill="auto"/>
            <w:noWrap/>
            <w:hideMark/>
          </w:tcPr>
          <w:p w14:paraId="1813C318" w14:textId="77777777" w:rsidR="000D678D" w:rsidRPr="00AF0432" w:rsidRDefault="00E9681B" w:rsidP="002D6C29">
            <w:pPr>
              <w:pStyle w:val="ListParagraph"/>
              <w:spacing w:after="0" w:line="240" w:lineRule="auto"/>
              <w:ind w:left="0"/>
              <w:rPr>
                <w:rFonts w:cs="Arial"/>
                <w:sz w:val="22"/>
              </w:rPr>
            </w:pPr>
            <w:r>
              <w:rPr>
                <w:rFonts w:cs="Arial"/>
                <w:sz w:val="22"/>
              </w:rPr>
              <w:t>15,699</w:t>
            </w:r>
          </w:p>
        </w:tc>
        <w:tc>
          <w:tcPr>
            <w:tcW w:w="1510" w:type="dxa"/>
            <w:shd w:val="clear" w:color="auto" w:fill="auto"/>
            <w:noWrap/>
            <w:hideMark/>
          </w:tcPr>
          <w:p w14:paraId="49302584" w14:textId="77777777" w:rsidR="000D678D" w:rsidRPr="00AF0432" w:rsidRDefault="000D678D" w:rsidP="002D6C29">
            <w:pPr>
              <w:pStyle w:val="ListParagraph"/>
              <w:spacing w:after="0" w:line="240" w:lineRule="auto"/>
              <w:ind w:left="0"/>
              <w:rPr>
                <w:rFonts w:cs="Arial"/>
                <w:sz w:val="22"/>
              </w:rPr>
            </w:pPr>
            <w:r w:rsidRPr="00AF0432">
              <w:rPr>
                <w:rFonts w:cs="Arial"/>
                <w:sz w:val="22"/>
              </w:rPr>
              <w:t>110</w:t>
            </w:r>
          </w:p>
        </w:tc>
        <w:tc>
          <w:tcPr>
            <w:tcW w:w="1511" w:type="dxa"/>
            <w:shd w:val="clear" w:color="auto" w:fill="auto"/>
            <w:noWrap/>
            <w:hideMark/>
          </w:tcPr>
          <w:p w14:paraId="571C22D3" w14:textId="77777777" w:rsidR="000D678D" w:rsidRPr="00AF0432" w:rsidRDefault="00E451EF" w:rsidP="002D6C29">
            <w:pPr>
              <w:pStyle w:val="ListParagraph"/>
              <w:spacing w:after="0" w:line="240" w:lineRule="auto"/>
              <w:ind w:left="0"/>
              <w:rPr>
                <w:rFonts w:cs="Arial"/>
                <w:sz w:val="22"/>
              </w:rPr>
            </w:pPr>
            <w:r>
              <w:rPr>
                <w:rFonts w:cs="Arial"/>
                <w:sz w:val="22"/>
              </w:rPr>
              <w:t>24,614</w:t>
            </w:r>
          </w:p>
        </w:tc>
      </w:tr>
      <w:tr w:rsidR="000D678D" w:rsidRPr="00AF0432" w14:paraId="5745C1F8" w14:textId="77777777" w:rsidTr="00E24F72">
        <w:trPr>
          <w:trHeight w:val="290"/>
        </w:trPr>
        <w:tc>
          <w:tcPr>
            <w:tcW w:w="2693" w:type="dxa"/>
            <w:shd w:val="clear" w:color="auto" w:fill="auto"/>
            <w:hideMark/>
          </w:tcPr>
          <w:p w14:paraId="2010B1DD" w14:textId="77777777" w:rsidR="000D678D" w:rsidRPr="00AF0432" w:rsidRDefault="000D678D" w:rsidP="002D6C29">
            <w:pPr>
              <w:pStyle w:val="ListParagraph"/>
              <w:spacing w:after="0" w:line="240" w:lineRule="auto"/>
              <w:ind w:left="0"/>
              <w:rPr>
                <w:rFonts w:cs="Arial"/>
                <w:sz w:val="22"/>
              </w:rPr>
            </w:pPr>
            <w:r w:rsidRPr="00AF0432">
              <w:rPr>
                <w:rFonts w:cs="Arial"/>
                <w:sz w:val="22"/>
              </w:rPr>
              <w:t xml:space="preserve">Under </w:t>
            </w:r>
            <w:r w:rsidR="00316593" w:rsidRPr="00AF0432">
              <w:rPr>
                <w:rFonts w:cs="Arial"/>
                <w:sz w:val="22"/>
              </w:rPr>
              <w:t>c</w:t>
            </w:r>
            <w:r w:rsidRPr="00AF0432">
              <w:rPr>
                <w:rFonts w:cs="Arial"/>
                <w:sz w:val="22"/>
              </w:rPr>
              <w:t>onstruction*</w:t>
            </w:r>
            <w:r w:rsidR="00C53C72" w:rsidRPr="00AF0432">
              <w:rPr>
                <w:rFonts w:cs="Arial"/>
                <w:sz w:val="22"/>
              </w:rPr>
              <w:t>*</w:t>
            </w:r>
            <w:r w:rsidRPr="00AF0432">
              <w:rPr>
                <w:rFonts w:cs="Arial"/>
                <w:sz w:val="22"/>
              </w:rPr>
              <w:t xml:space="preserve"> </w:t>
            </w:r>
          </w:p>
        </w:tc>
        <w:tc>
          <w:tcPr>
            <w:tcW w:w="1510" w:type="dxa"/>
            <w:shd w:val="clear" w:color="auto" w:fill="auto"/>
            <w:noWrap/>
            <w:hideMark/>
          </w:tcPr>
          <w:p w14:paraId="3B843D08" w14:textId="77777777" w:rsidR="000D678D" w:rsidRPr="00AF0432" w:rsidRDefault="00E9681B" w:rsidP="002D6C29">
            <w:pPr>
              <w:pStyle w:val="ListParagraph"/>
              <w:spacing w:after="0" w:line="240" w:lineRule="auto"/>
              <w:ind w:left="0"/>
              <w:rPr>
                <w:rFonts w:cs="Arial"/>
                <w:sz w:val="22"/>
              </w:rPr>
            </w:pPr>
            <w:r>
              <w:rPr>
                <w:rFonts w:cs="Arial"/>
                <w:sz w:val="22"/>
              </w:rPr>
              <w:t>751</w:t>
            </w:r>
          </w:p>
        </w:tc>
        <w:tc>
          <w:tcPr>
            <w:tcW w:w="1510" w:type="dxa"/>
            <w:shd w:val="clear" w:color="auto" w:fill="auto"/>
            <w:noWrap/>
            <w:hideMark/>
          </w:tcPr>
          <w:p w14:paraId="5B263C43" w14:textId="77777777" w:rsidR="000D678D" w:rsidRPr="00AF0432" w:rsidRDefault="00E9681B" w:rsidP="002D6C29">
            <w:pPr>
              <w:pStyle w:val="ListParagraph"/>
              <w:spacing w:after="0" w:line="240" w:lineRule="auto"/>
              <w:ind w:left="0"/>
              <w:rPr>
                <w:rFonts w:cs="Arial"/>
                <w:sz w:val="22"/>
              </w:rPr>
            </w:pPr>
            <w:r>
              <w:rPr>
                <w:rFonts w:cs="Arial"/>
                <w:sz w:val="22"/>
              </w:rPr>
              <w:t>1,259</w:t>
            </w:r>
          </w:p>
        </w:tc>
        <w:tc>
          <w:tcPr>
            <w:tcW w:w="1510" w:type="dxa"/>
            <w:shd w:val="clear" w:color="auto" w:fill="auto"/>
            <w:noWrap/>
            <w:hideMark/>
          </w:tcPr>
          <w:p w14:paraId="64E2C6CE" w14:textId="77777777" w:rsidR="000D678D" w:rsidRPr="00AF0432" w:rsidRDefault="000D678D" w:rsidP="002D6C29">
            <w:pPr>
              <w:pStyle w:val="ListParagraph"/>
              <w:spacing w:after="0" w:line="240" w:lineRule="auto"/>
              <w:ind w:left="0"/>
              <w:rPr>
                <w:rFonts w:cs="Arial"/>
                <w:sz w:val="22"/>
              </w:rPr>
            </w:pPr>
            <w:r w:rsidRPr="00AF0432">
              <w:rPr>
                <w:rFonts w:cs="Arial"/>
                <w:sz w:val="22"/>
              </w:rPr>
              <w:t>0</w:t>
            </w:r>
          </w:p>
        </w:tc>
        <w:tc>
          <w:tcPr>
            <w:tcW w:w="1511" w:type="dxa"/>
            <w:shd w:val="clear" w:color="auto" w:fill="auto"/>
            <w:hideMark/>
          </w:tcPr>
          <w:p w14:paraId="6AF1BF53" w14:textId="77777777" w:rsidR="000D678D" w:rsidRPr="00AF0432" w:rsidRDefault="00714696" w:rsidP="002D6C29">
            <w:pPr>
              <w:pStyle w:val="ListParagraph"/>
              <w:spacing w:after="0" w:line="240" w:lineRule="auto"/>
              <w:ind w:left="0"/>
              <w:rPr>
                <w:rFonts w:cs="Arial"/>
                <w:sz w:val="22"/>
              </w:rPr>
            </w:pPr>
            <w:r>
              <w:rPr>
                <w:rFonts w:cs="Arial"/>
                <w:sz w:val="22"/>
              </w:rPr>
              <w:t>2,010</w:t>
            </w:r>
          </w:p>
        </w:tc>
      </w:tr>
      <w:tr w:rsidR="000D678D" w:rsidRPr="00AF0432" w14:paraId="6B843098" w14:textId="77777777" w:rsidTr="00E24F72">
        <w:trPr>
          <w:trHeight w:val="290"/>
        </w:trPr>
        <w:tc>
          <w:tcPr>
            <w:tcW w:w="2693" w:type="dxa"/>
            <w:shd w:val="clear" w:color="auto" w:fill="auto"/>
            <w:hideMark/>
          </w:tcPr>
          <w:p w14:paraId="2A2F39D0" w14:textId="77777777" w:rsidR="000D678D" w:rsidRPr="00AF0432" w:rsidRDefault="000D678D" w:rsidP="002D6C29">
            <w:pPr>
              <w:pStyle w:val="ListParagraph"/>
              <w:spacing w:after="0" w:line="240" w:lineRule="auto"/>
              <w:ind w:left="0"/>
              <w:rPr>
                <w:rFonts w:cs="Arial"/>
                <w:sz w:val="22"/>
              </w:rPr>
            </w:pPr>
            <w:r w:rsidRPr="00AF0432">
              <w:rPr>
                <w:rFonts w:cs="Arial"/>
                <w:sz w:val="22"/>
              </w:rPr>
              <w:t xml:space="preserve">Permission </w:t>
            </w:r>
            <w:r w:rsidR="00316593" w:rsidRPr="00AF0432">
              <w:rPr>
                <w:rFonts w:cs="Arial"/>
                <w:sz w:val="22"/>
              </w:rPr>
              <w:t>n</w:t>
            </w:r>
            <w:r w:rsidRPr="00AF0432">
              <w:rPr>
                <w:rFonts w:cs="Arial"/>
                <w:sz w:val="22"/>
              </w:rPr>
              <w:t xml:space="preserve">ot </w:t>
            </w:r>
            <w:r w:rsidR="00316593" w:rsidRPr="00AF0432">
              <w:rPr>
                <w:rFonts w:cs="Arial"/>
                <w:sz w:val="22"/>
              </w:rPr>
              <w:t>s</w:t>
            </w:r>
            <w:r w:rsidRPr="00AF0432">
              <w:rPr>
                <w:rFonts w:cs="Arial"/>
                <w:sz w:val="22"/>
              </w:rPr>
              <w:t>tarted*</w:t>
            </w:r>
            <w:r w:rsidR="00C53C72" w:rsidRPr="00AF0432">
              <w:rPr>
                <w:rFonts w:cs="Arial"/>
                <w:sz w:val="22"/>
              </w:rPr>
              <w:t>*</w:t>
            </w:r>
            <w:r w:rsidRPr="00AF0432">
              <w:rPr>
                <w:rFonts w:cs="Arial"/>
                <w:sz w:val="22"/>
              </w:rPr>
              <w:t xml:space="preserve"> </w:t>
            </w:r>
          </w:p>
        </w:tc>
        <w:tc>
          <w:tcPr>
            <w:tcW w:w="1510" w:type="dxa"/>
            <w:shd w:val="clear" w:color="auto" w:fill="auto"/>
            <w:noWrap/>
            <w:hideMark/>
          </w:tcPr>
          <w:p w14:paraId="70C9978F" w14:textId="77777777" w:rsidR="000D678D" w:rsidRPr="00AF0432" w:rsidRDefault="00E9681B" w:rsidP="002D6C29">
            <w:pPr>
              <w:pStyle w:val="ListParagraph"/>
              <w:spacing w:after="0" w:line="240" w:lineRule="auto"/>
              <w:ind w:left="0"/>
              <w:rPr>
                <w:rFonts w:cs="Arial"/>
                <w:sz w:val="22"/>
              </w:rPr>
            </w:pPr>
            <w:r>
              <w:rPr>
                <w:rFonts w:cs="Arial"/>
                <w:sz w:val="22"/>
              </w:rPr>
              <w:t>1,691</w:t>
            </w:r>
          </w:p>
        </w:tc>
        <w:tc>
          <w:tcPr>
            <w:tcW w:w="1510" w:type="dxa"/>
            <w:shd w:val="clear" w:color="auto" w:fill="auto"/>
            <w:noWrap/>
            <w:hideMark/>
          </w:tcPr>
          <w:p w14:paraId="00C82F3B" w14:textId="77777777" w:rsidR="000D678D" w:rsidRPr="00AF0432" w:rsidRDefault="00E9681B" w:rsidP="002D6C29">
            <w:pPr>
              <w:pStyle w:val="ListParagraph"/>
              <w:spacing w:after="0" w:line="240" w:lineRule="auto"/>
              <w:ind w:left="0"/>
              <w:rPr>
                <w:rFonts w:cs="Arial"/>
                <w:sz w:val="22"/>
              </w:rPr>
            </w:pPr>
            <w:r>
              <w:rPr>
                <w:rFonts w:cs="Arial"/>
                <w:sz w:val="22"/>
              </w:rPr>
              <w:t>5,281</w:t>
            </w:r>
          </w:p>
        </w:tc>
        <w:tc>
          <w:tcPr>
            <w:tcW w:w="1510" w:type="dxa"/>
            <w:shd w:val="clear" w:color="auto" w:fill="auto"/>
            <w:noWrap/>
            <w:hideMark/>
          </w:tcPr>
          <w:p w14:paraId="1AC89BAA" w14:textId="77777777" w:rsidR="000D678D" w:rsidRPr="00AF0432" w:rsidRDefault="000D678D" w:rsidP="002D6C29">
            <w:pPr>
              <w:pStyle w:val="ListParagraph"/>
              <w:spacing w:after="0" w:line="240" w:lineRule="auto"/>
              <w:ind w:left="0"/>
              <w:rPr>
                <w:rFonts w:cs="Arial"/>
                <w:sz w:val="22"/>
              </w:rPr>
            </w:pPr>
            <w:r w:rsidRPr="00AF0432">
              <w:rPr>
                <w:rFonts w:cs="Arial"/>
                <w:sz w:val="22"/>
              </w:rPr>
              <w:t>196</w:t>
            </w:r>
          </w:p>
        </w:tc>
        <w:tc>
          <w:tcPr>
            <w:tcW w:w="1511" w:type="dxa"/>
            <w:shd w:val="clear" w:color="auto" w:fill="auto"/>
            <w:noWrap/>
            <w:hideMark/>
          </w:tcPr>
          <w:p w14:paraId="1D088933" w14:textId="77777777" w:rsidR="000D678D" w:rsidRPr="00AF0432" w:rsidRDefault="00714696" w:rsidP="002D6C29">
            <w:pPr>
              <w:pStyle w:val="ListParagraph"/>
              <w:spacing w:after="0" w:line="240" w:lineRule="auto"/>
              <w:ind w:left="0"/>
              <w:rPr>
                <w:rFonts w:cs="Arial"/>
                <w:sz w:val="22"/>
              </w:rPr>
            </w:pPr>
            <w:r>
              <w:rPr>
                <w:rFonts w:cs="Arial"/>
                <w:sz w:val="22"/>
              </w:rPr>
              <w:t>7,168</w:t>
            </w:r>
          </w:p>
        </w:tc>
      </w:tr>
      <w:tr w:rsidR="000D678D" w:rsidRPr="00AF0432" w14:paraId="1DD2616C" w14:textId="77777777" w:rsidTr="00E24F72">
        <w:trPr>
          <w:trHeight w:val="290"/>
        </w:trPr>
        <w:tc>
          <w:tcPr>
            <w:tcW w:w="2693" w:type="dxa"/>
            <w:shd w:val="clear" w:color="auto" w:fill="auto"/>
            <w:hideMark/>
          </w:tcPr>
          <w:p w14:paraId="49492F37" w14:textId="77777777" w:rsidR="000D678D" w:rsidRPr="00AF0432" w:rsidRDefault="000D678D" w:rsidP="002D6C29">
            <w:pPr>
              <w:pStyle w:val="ListParagraph"/>
              <w:spacing w:after="0" w:line="240" w:lineRule="auto"/>
              <w:ind w:left="0"/>
              <w:rPr>
                <w:rFonts w:cs="Arial"/>
                <w:b/>
                <w:bCs/>
                <w:sz w:val="22"/>
              </w:rPr>
            </w:pPr>
            <w:r w:rsidRPr="00AF0432">
              <w:rPr>
                <w:rFonts w:cs="Arial"/>
                <w:b/>
                <w:bCs/>
                <w:sz w:val="22"/>
              </w:rPr>
              <w:t xml:space="preserve">Sub </w:t>
            </w:r>
            <w:r w:rsidR="00316593" w:rsidRPr="00AF0432">
              <w:rPr>
                <w:rFonts w:cs="Arial"/>
                <w:b/>
                <w:bCs/>
                <w:sz w:val="22"/>
              </w:rPr>
              <w:t>t</w:t>
            </w:r>
            <w:r w:rsidRPr="00AF0432">
              <w:rPr>
                <w:rFonts w:cs="Arial"/>
                <w:b/>
                <w:bCs/>
                <w:sz w:val="22"/>
              </w:rPr>
              <w:t xml:space="preserve">otal </w:t>
            </w:r>
          </w:p>
        </w:tc>
        <w:tc>
          <w:tcPr>
            <w:tcW w:w="1510" w:type="dxa"/>
            <w:shd w:val="clear" w:color="auto" w:fill="auto"/>
            <w:noWrap/>
            <w:hideMark/>
          </w:tcPr>
          <w:p w14:paraId="17A53A1C" w14:textId="77777777" w:rsidR="000D678D" w:rsidRPr="00AF0432" w:rsidRDefault="00E9681B" w:rsidP="002D6C29">
            <w:pPr>
              <w:pStyle w:val="ListParagraph"/>
              <w:spacing w:after="0" w:line="240" w:lineRule="auto"/>
              <w:ind w:left="0"/>
              <w:rPr>
                <w:rFonts w:cs="Arial"/>
                <w:b/>
                <w:bCs/>
                <w:sz w:val="22"/>
              </w:rPr>
            </w:pPr>
            <w:r>
              <w:rPr>
                <w:rFonts w:cs="Arial"/>
                <w:b/>
                <w:bCs/>
                <w:sz w:val="22"/>
              </w:rPr>
              <w:t>11,247</w:t>
            </w:r>
          </w:p>
        </w:tc>
        <w:tc>
          <w:tcPr>
            <w:tcW w:w="1510" w:type="dxa"/>
            <w:shd w:val="clear" w:color="auto" w:fill="auto"/>
            <w:noWrap/>
            <w:hideMark/>
          </w:tcPr>
          <w:p w14:paraId="38B2F194" w14:textId="77777777" w:rsidR="000D678D" w:rsidRPr="00AF0432" w:rsidRDefault="00E9681B" w:rsidP="002D6C29">
            <w:pPr>
              <w:pStyle w:val="ListParagraph"/>
              <w:spacing w:after="0" w:line="240" w:lineRule="auto"/>
              <w:ind w:left="0"/>
              <w:rPr>
                <w:rFonts w:cs="Arial"/>
                <w:b/>
                <w:bCs/>
                <w:sz w:val="22"/>
              </w:rPr>
            </w:pPr>
            <w:r>
              <w:rPr>
                <w:rFonts w:cs="Arial"/>
                <w:b/>
                <w:bCs/>
                <w:sz w:val="22"/>
              </w:rPr>
              <w:t>22,239</w:t>
            </w:r>
          </w:p>
        </w:tc>
        <w:tc>
          <w:tcPr>
            <w:tcW w:w="1510" w:type="dxa"/>
            <w:shd w:val="clear" w:color="auto" w:fill="auto"/>
            <w:noWrap/>
            <w:hideMark/>
          </w:tcPr>
          <w:p w14:paraId="43EA9774" w14:textId="77777777" w:rsidR="000D678D" w:rsidRPr="00AF0432" w:rsidRDefault="000D678D" w:rsidP="002D6C29">
            <w:pPr>
              <w:pStyle w:val="ListParagraph"/>
              <w:spacing w:after="0" w:line="240" w:lineRule="auto"/>
              <w:ind w:left="0"/>
              <w:rPr>
                <w:rFonts w:cs="Arial"/>
                <w:b/>
                <w:bCs/>
                <w:sz w:val="22"/>
              </w:rPr>
            </w:pPr>
            <w:r w:rsidRPr="00AF0432">
              <w:rPr>
                <w:rFonts w:cs="Arial"/>
                <w:b/>
                <w:bCs/>
                <w:sz w:val="22"/>
              </w:rPr>
              <w:t>306</w:t>
            </w:r>
          </w:p>
        </w:tc>
        <w:tc>
          <w:tcPr>
            <w:tcW w:w="1511" w:type="dxa"/>
            <w:shd w:val="clear" w:color="auto" w:fill="auto"/>
            <w:noWrap/>
            <w:hideMark/>
          </w:tcPr>
          <w:p w14:paraId="19C10B12" w14:textId="77777777" w:rsidR="000D678D" w:rsidRPr="00AF0432" w:rsidRDefault="00714696" w:rsidP="002D6C29">
            <w:pPr>
              <w:pStyle w:val="ListParagraph"/>
              <w:spacing w:after="0" w:line="240" w:lineRule="auto"/>
              <w:ind w:left="0"/>
              <w:rPr>
                <w:rFonts w:cs="Arial"/>
                <w:b/>
                <w:bCs/>
                <w:sz w:val="22"/>
              </w:rPr>
            </w:pPr>
            <w:r>
              <w:rPr>
                <w:rFonts w:cs="Arial"/>
                <w:b/>
                <w:bCs/>
                <w:sz w:val="22"/>
              </w:rPr>
              <w:t>33,</w:t>
            </w:r>
            <w:r w:rsidR="00E451EF">
              <w:rPr>
                <w:rFonts w:cs="Arial"/>
                <w:b/>
                <w:bCs/>
                <w:sz w:val="22"/>
              </w:rPr>
              <w:t>792</w:t>
            </w:r>
          </w:p>
        </w:tc>
      </w:tr>
      <w:tr w:rsidR="000D678D" w:rsidRPr="00AF0432" w14:paraId="1EA21E39" w14:textId="77777777" w:rsidTr="00E24F72">
        <w:trPr>
          <w:trHeight w:val="290"/>
        </w:trPr>
        <w:tc>
          <w:tcPr>
            <w:tcW w:w="2693" w:type="dxa"/>
            <w:shd w:val="clear" w:color="auto" w:fill="auto"/>
            <w:noWrap/>
            <w:hideMark/>
          </w:tcPr>
          <w:p w14:paraId="2AF02256" w14:textId="77777777" w:rsidR="000D678D" w:rsidRPr="00AF0432" w:rsidRDefault="000D678D" w:rsidP="002D6C29">
            <w:pPr>
              <w:pStyle w:val="ListParagraph"/>
              <w:spacing w:after="0" w:line="240" w:lineRule="auto"/>
              <w:ind w:left="0"/>
              <w:rPr>
                <w:rFonts w:cs="Arial"/>
                <w:sz w:val="22"/>
              </w:rPr>
            </w:pPr>
            <w:r w:rsidRPr="00AF0432">
              <w:rPr>
                <w:rFonts w:cs="Arial"/>
                <w:sz w:val="22"/>
              </w:rPr>
              <w:t>Current applications**</w:t>
            </w:r>
          </w:p>
        </w:tc>
        <w:tc>
          <w:tcPr>
            <w:tcW w:w="1510" w:type="dxa"/>
            <w:shd w:val="clear" w:color="auto" w:fill="auto"/>
            <w:noWrap/>
            <w:hideMark/>
          </w:tcPr>
          <w:p w14:paraId="5961F643" w14:textId="77777777" w:rsidR="000D678D" w:rsidRPr="00AF0432" w:rsidRDefault="00C10FC5" w:rsidP="002D6C29">
            <w:pPr>
              <w:pStyle w:val="ListParagraph"/>
              <w:spacing w:after="0" w:line="240" w:lineRule="auto"/>
              <w:ind w:left="0"/>
              <w:rPr>
                <w:rFonts w:cs="Arial"/>
                <w:sz w:val="22"/>
              </w:rPr>
            </w:pPr>
            <w:r>
              <w:rPr>
                <w:rFonts w:cs="Arial"/>
                <w:sz w:val="22"/>
              </w:rPr>
              <w:t>0</w:t>
            </w:r>
          </w:p>
        </w:tc>
        <w:tc>
          <w:tcPr>
            <w:tcW w:w="1510" w:type="dxa"/>
            <w:shd w:val="clear" w:color="auto" w:fill="auto"/>
            <w:noWrap/>
            <w:hideMark/>
          </w:tcPr>
          <w:p w14:paraId="1E314AF3" w14:textId="77777777" w:rsidR="000D678D" w:rsidRPr="00AF0432" w:rsidRDefault="00714696" w:rsidP="002D6C29">
            <w:pPr>
              <w:pStyle w:val="ListParagraph"/>
              <w:spacing w:after="0" w:line="240" w:lineRule="auto"/>
              <w:ind w:left="0"/>
              <w:rPr>
                <w:rFonts w:cs="Arial"/>
                <w:sz w:val="22"/>
              </w:rPr>
            </w:pPr>
            <w:r>
              <w:rPr>
                <w:rFonts w:cs="Arial"/>
                <w:sz w:val="22"/>
              </w:rPr>
              <w:t>5,</w:t>
            </w:r>
            <w:r w:rsidR="006C4ECA">
              <w:rPr>
                <w:rFonts w:cs="Arial"/>
                <w:sz w:val="22"/>
              </w:rPr>
              <w:t>591</w:t>
            </w:r>
          </w:p>
        </w:tc>
        <w:tc>
          <w:tcPr>
            <w:tcW w:w="1510" w:type="dxa"/>
            <w:shd w:val="clear" w:color="auto" w:fill="auto"/>
            <w:noWrap/>
            <w:hideMark/>
          </w:tcPr>
          <w:p w14:paraId="64150140" w14:textId="77777777" w:rsidR="000D678D" w:rsidRPr="00AF0432" w:rsidRDefault="000D678D" w:rsidP="002D6C29">
            <w:pPr>
              <w:pStyle w:val="ListParagraph"/>
              <w:spacing w:after="0" w:line="240" w:lineRule="auto"/>
              <w:ind w:left="0"/>
              <w:rPr>
                <w:rFonts w:cs="Arial"/>
                <w:sz w:val="22"/>
              </w:rPr>
            </w:pPr>
            <w:r w:rsidRPr="00AF0432">
              <w:rPr>
                <w:rFonts w:cs="Arial"/>
                <w:sz w:val="22"/>
              </w:rPr>
              <w:t>0</w:t>
            </w:r>
          </w:p>
        </w:tc>
        <w:tc>
          <w:tcPr>
            <w:tcW w:w="1511" w:type="dxa"/>
            <w:shd w:val="clear" w:color="auto" w:fill="auto"/>
            <w:noWrap/>
            <w:hideMark/>
          </w:tcPr>
          <w:p w14:paraId="14DDDE34" w14:textId="77777777" w:rsidR="000D678D" w:rsidRPr="00AF0432" w:rsidRDefault="00714696" w:rsidP="002D6C29">
            <w:pPr>
              <w:pStyle w:val="ListParagraph"/>
              <w:spacing w:after="0" w:line="240" w:lineRule="auto"/>
              <w:ind w:left="0"/>
              <w:rPr>
                <w:rFonts w:cs="Arial"/>
                <w:sz w:val="22"/>
              </w:rPr>
            </w:pPr>
            <w:r>
              <w:rPr>
                <w:rFonts w:cs="Arial"/>
                <w:sz w:val="22"/>
              </w:rPr>
              <w:t>5,</w:t>
            </w:r>
            <w:r w:rsidR="006C4ECA">
              <w:rPr>
                <w:rFonts w:cs="Arial"/>
                <w:sz w:val="22"/>
              </w:rPr>
              <w:t>591</w:t>
            </w:r>
          </w:p>
        </w:tc>
      </w:tr>
      <w:tr w:rsidR="000D678D" w:rsidRPr="002D6C29" w14:paraId="476848A1" w14:textId="77777777" w:rsidTr="00E24F72">
        <w:trPr>
          <w:trHeight w:val="290"/>
        </w:trPr>
        <w:tc>
          <w:tcPr>
            <w:tcW w:w="2693" w:type="dxa"/>
            <w:shd w:val="clear" w:color="auto" w:fill="auto"/>
            <w:hideMark/>
          </w:tcPr>
          <w:p w14:paraId="4C6E466D" w14:textId="77777777" w:rsidR="000D678D" w:rsidRPr="00AF0432" w:rsidRDefault="000D678D" w:rsidP="002D6C29">
            <w:pPr>
              <w:pStyle w:val="ListParagraph"/>
              <w:spacing w:after="0" w:line="240" w:lineRule="auto"/>
              <w:ind w:left="0"/>
              <w:rPr>
                <w:rFonts w:cs="Arial"/>
                <w:b/>
                <w:bCs/>
                <w:sz w:val="22"/>
              </w:rPr>
            </w:pPr>
            <w:r w:rsidRPr="00AF0432">
              <w:rPr>
                <w:rFonts w:cs="Arial"/>
                <w:b/>
                <w:bCs/>
                <w:sz w:val="22"/>
              </w:rPr>
              <w:t>Total</w:t>
            </w:r>
          </w:p>
        </w:tc>
        <w:tc>
          <w:tcPr>
            <w:tcW w:w="1510" w:type="dxa"/>
            <w:shd w:val="clear" w:color="auto" w:fill="auto"/>
            <w:noWrap/>
            <w:hideMark/>
          </w:tcPr>
          <w:p w14:paraId="3D9095A5" w14:textId="77777777" w:rsidR="000D678D" w:rsidRPr="00AF0432" w:rsidRDefault="00E9681B" w:rsidP="002D6C29">
            <w:pPr>
              <w:pStyle w:val="ListParagraph"/>
              <w:spacing w:after="0" w:line="240" w:lineRule="auto"/>
              <w:ind w:left="0"/>
              <w:rPr>
                <w:rFonts w:cs="Arial"/>
                <w:b/>
                <w:bCs/>
                <w:sz w:val="22"/>
              </w:rPr>
            </w:pPr>
            <w:r>
              <w:rPr>
                <w:rFonts w:cs="Arial"/>
                <w:b/>
                <w:bCs/>
                <w:sz w:val="22"/>
              </w:rPr>
              <w:t>11,247</w:t>
            </w:r>
          </w:p>
        </w:tc>
        <w:tc>
          <w:tcPr>
            <w:tcW w:w="1510" w:type="dxa"/>
            <w:shd w:val="clear" w:color="auto" w:fill="auto"/>
            <w:noWrap/>
            <w:hideMark/>
          </w:tcPr>
          <w:p w14:paraId="6EC9B0CF" w14:textId="77777777" w:rsidR="000D678D" w:rsidRPr="00AF0432" w:rsidRDefault="00E9681B" w:rsidP="002D6C29">
            <w:pPr>
              <w:pStyle w:val="ListParagraph"/>
              <w:spacing w:after="0" w:line="240" w:lineRule="auto"/>
              <w:ind w:left="0"/>
              <w:rPr>
                <w:rFonts w:cs="Arial"/>
                <w:b/>
                <w:bCs/>
                <w:sz w:val="22"/>
              </w:rPr>
            </w:pPr>
            <w:r>
              <w:rPr>
                <w:rFonts w:cs="Arial"/>
                <w:b/>
                <w:bCs/>
                <w:sz w:val="22"/>
              </w:rPr>
              <w:t>27,8</w:t>
            </w:r>
            <w:r w:rsidR="006C4ECA">
              <w:rPr>
                <w:rFonts w:cs="Arial"/>
                <w:b/>
                <w:bCs/>
                <w:sz w:val="22"/>
              </w:rPr>
              <w:t>3</w:t>
            </w:r>
            <w:r>
              <w:rPr>
                <w:rFonts w:cs="Arial"/>
                <w:b/>
                <w:bCs/>
                <w:sz w:val="22"/>
              </w:rPr>
              <w:t>0</w:t>
            </w:r>
          </w:p>
        </w:tc>
        <w:tc>
          <w:tcPr>
            <w:tcW w:w="1510" w:type="dxa"/>
            <w:shd w:val="clear" w:color="auto" w:fill="auto"/>
            <w:noWrap/>
            <w:hideMark/>
          </w:tcPr>
          <w:p w14:paraId="4A90D52F" w14:textId="77777777" w:rsidR="000D678D" w:rsidRPr="00AF0432" w:rsidRDefault="000D678D" w:rsidP="002D6C29">
            <w:pPr>
              <w:pStyle w:val="ListParagraph"/>
              <w:spacing w:after="0" w:line="240" w:lineRule="auto"/>
              <w:ind w:left="0"/>
              <w:rPr>
                <w:rFonts w:cs="Arial"/>
                <w:b/>
                <w:bCs/>
                <w:sz w:val="22"/>
              </w:rPr>
            </w:pPr>
            <w:r w:rsidRPr="00AF0432">
              <w:rPr>
                <w:rFonts w:cs="Arial"/>
                <w:b/>
                <w:bCs/>
                <w:sz w:val="22"/>
              </w:rPr>
              <w:t>306</w:t>
            </w:r>
          </w:p>
        </w:tc>
        <w:tc>
          <w:tcPr>
            <w:tcW w:w="1511" w:type="dxa"/>
            <w:shd w:val="clear" w:color="auto" w:fill="auto"/>
            <w:noWrap/>
            <w:hideMark/>
          </w:tcPr>
          <w:p w14:paraId="314F39C7" w14:textId="77777777" w:rsidR="000D678D" w:rsidRPr="002D6C29" w:rsidRDefault="00714696" w:rsidP="002D6C29">
            <w:pPr>
              <w:pStyle w:val="ListParagraph"/>
              <w:spacing w:after="0" w:line="240" w:lineRule="auto"/>
              <w:ind w:left="0"/>
              <w:rPr>
                <w:rFonts w:cs="Arial"/>
                <w:b/>
                <w:bCs/>
                <w:sz w:val="22"/>
              </w:rPr>
            </w:pPr>
            <w:r>
              <w:rPr>
                <w:rFonts w:cs="Arial"/>
                <w:b/>
                <w:bCs/>
                <w:sz w:val="22"/>
              </w:rPr>
              <w:t>39,</w:t>
            </w:r>
            <w:r w:rsidR="006C4ECA">
              <w:rPr>
                <w:rFonts w:cs="Arial"/>
                <w:b/>
                <w:bCs/>
                <w:sz w:val="22"/>
              </w:rPr>
              <w:t>38</w:t>
            </w:r>
            <w:r w:rsidR="00E451EF">
              <w:rPr>
                <w:rFonts w:cs="Arial"/>
                <w:b/>
                <w:bCs/>
                <w:sz w:val="22"/>
              </w:rPr>
              <w:t>3</w:t>
            </w:r>
          </w:p>
        </w:tc>
      </w:tr>
    </w:tbl>
    <w:bookmarkEnd w:id="1"/>
    <w:p w14:paraId="06B73151" w14:textId="77777777" w:rsidR="00BD3A14" w:rsidRPr="002D6C29" w:rsidRDefault="00735FB8" w:rsidP="00AF0432">
      <w:pPr>
        <w:pStyle w:val="ListParagraph"/>
        <w:spacing w:after="0" w:line="240" w:lineRule="auto"/>
        <w:ind w:left="284"/>
        <w:jc w:val="both"/>
        <w:rPr>
          <w:rFonts w:cs="Arial"/>
          <w:sz w:val="22"/>
        </w:rPr>
      </w:pPr>
      <w:r w:rsidRPr="002D6C29">
        <w:rPr>
          <w:rFonts w:cs="Arial"/>
          <w:sz w:val="22"/>
        </w:rPr>
        <w:t xml:space="preserve">* </w:t>
      </w:r>
      <w:proofErr w:type="gramStart"/>
      <w:r w:rsidRPr="002D6C29">
        <w:rPr>
          <w:rFonts w:cs="Arial"/>
          <w:sz w:val="22"/>
        </w:rPr>
        <w:t>At</w:t>
      </w:r>
      <w:proofErr w:type="gramEnd"/>
      <w:r w:rsidRPr="002D6C29">
        <w:rPr>
          <w:rFonts w:cs="Arial"/>
          <w:sz w:val="22"/>
        </w:rPr>
        <w:t xml:space="preserve"> 1</w:t>
      </w:r>
      <w:r w:rsidRPr="002D6C29">
        <w:rPr>
          <w:rFonts w:cs="Arial"/>
          <w:sz w:val="22"/>
          <w:vertAlign w:val="superscript"/>
        </w:rPr>
        <w:t>st</w:t>
      </w:r>
      <w:r w:rsidRPr="002D6C29">
        <w:rPr>
          <w:rFonts w:cs="Arial"/>
          <w:sz w:val="22"/>
        </w:rPr>
        <w:t xml:space="preserve"> April </w:t>
      </w:r>
      <w:r w:rsidR="00BE6EBC" w:rsidRPr="002D6C29">
        <w:rPr>
          <w:rFonts w:cs="Arial"/>
          <w:sz w:val="22"/>
        </w:rPr>
        <w:t>202</w:t>
      </w:r>
      <w:r w:rsidR="00BE6EBC">
        <w:rPr>
          <w:rFonts w:cs="Arial"/>
          <w:sz w:val="22"/>
        </w:rPr>
        <w:t>4</w:t>
      </w:r>
    </w:p>
    <w:p w14:paraId="3CEBA853" w14:textId="77777777" w:rsidR="006F085D" w:rsidRPr="002D6C29" w:rsidRDefault="00735FB8" w:rsidP="00AF0432">
      <w:pPr>
        <w:pStyle w:val="ListParagraph"/>
        <w:spacing w:after="0" w:line="240" w:lineRule="auto"/>
        <w:ind w:left="284"/>
        <w:jc w:val="both"/>
        <w:rPr>
          <w:rFonts w:cs="Arial"/>
          <w:sz w:val="22"/>
        </w:rPr>
      </w:pPr>
      <w:r w:rsidRPr="002D6C29">
        <w:rPr>
          <w:rFonts w:cs="Arial"/>
          <w:sz w:val="22"/>
        </w:rPr>
        <w:t xml:space="preserve">** </w:t>
      </w:r>
      <w:proofErr w:type="gramStart"/>
      <w:r w:rsidRPr="002D6C29">
        <w:rPr>
          <w:rFonts w:cs="Arial"/>
          <w:sz w:val="22"/>
        </w:rPr>
        <w:t>At</w:t>
      </w:r>
      <w:proofErr w:type="gramEnd"/>
      <w:r w:rsidRPr="002D6C29">
        <w:rPr>
          <w:rFonts w:cs="Arial"/>
          <w:sz w:val="22"/>
        </w:rPr>
        <w:t xml:space="preserve"> </w:t>
      </w:r>
      <w:r w:rsidR="00BE6EBC">
        <w:rPr>
          <w:rFonts w:cs="Arial"/>
          <w:sz w:val="22"/>
        </w:rPr>
        <w:t>8</w:t>
      </w:r>
      <w:r w:rsidR="00BE6EBC" w:rsidRPr="000941AF">
        <w:rPr>
          <w:rFonts w:cs="Arial"/>
          <w:sz w:val="22"/>
          <w:vertAlign w:val="superscript"/>
        </w:rPr>
        <w:t>th</w:t>
      </w:r>
      <w:r w:rsidR="00BE6EBC">
        <w:rPr>
          <w:rFonts w:cs="Arial"/>
          <w:sz w:val="22"/>
        </w:rPr>
        <w:t xml:space="preserve"> November</w:t>
      </w:r>
      <w:r w:rsidR="00BE6EBC" w:rsidRPr="002D6C29">
        <w:rPr>
          <w:rFonts w:cs="Arial"/>
          <w:sz w:val="22"/>
        </w:rPr>
        <w:t xml:space="preserve"> 202</w:t>
      </w:r>
      <w:r w:rsidR="00BE6EBC">
        <w:rPr>
          <w:rFonts w:cs="Arial"/>
          <w:sz w:val="22"/>
        </w:rPr>
        <w:t>4</w:t>
      </w:r>
    </w:p>
    <w:p w14:paraId="37A53EF6" w14:textId="77777777" w:rsidR="00AD1A80" w:rsidRPr="002D6C29" w:rsidRDefault="00AD1A80" w:rsidP="002D6C29">
      <w:pPr>
        <w:pStyle w:val="ListParagraph"/>
        <w:spacing w:after="0" w:line="240" w:lineRule="auto"/>
        <w:ind w:left="0"/>
        <w:jc w:val="both"/>
        <w:rPr>
          <w:rFonts w:cs="Arial"/>
          <w:bCs/>
          <w:sz w:val="22"/>
        </w:rPr>
      </w:pPr>
    </w:p>
    <w:p w14:paraId="596D2FCB" w14:textId="77777777" w:rsidR="00627714" w:rsidRPr="00BE442B" w:rsidRDefault="00627714" w:rsidP="00112E4F">
      <w:pPr>
        <w:pStyle w:val="Heading1"/>
      </w:pPr>
      <w:r w:rsidRPr="00BE442B">
        <w:t>Demand and supply analysis</w:t>
      </w:r>
    </w:p>
    <w:p w14:paraId="4CCF6313" w14:textId="77777777" w:rsidR="00207A24" w:rsidRPr="002D6C29" w:rsidRDefault="00207A24" w:rsidP="002D6C29">
      <w:pPr>
        <w:pStyle w:val="ListParagraph"/>
        <w:spacing w:after="0" w:line="240" w:lineRule="auto"/>
        <w:ind w:left="0"/>
        <w:jc w:val="both"/>
        <w:rPr>
          <w:rFonts w:cs="Arial"/>
          <w:sz w:val="22"/>
        </w:rPr>
      </w:pPr>
    </w:p>
    <w:p w14:paraId="4B18B20F" w14:textId="77777777" w:rsidR="006B7F61" w:rsidRPr="002D6C29" w:rsidRDefault="0052515A" w:rsidP="00BE442B">
      <w:pPr>
        <w:pStyle w:val="ListParagraph"/>
        <w:numPr>
          <w:ilvl w:val="0"/>
          <w:numId w:val="14"/>
        </w:numPr>
        <w:spacing w:after="0" w:line="240" w:lineRule="auto"/>
        <w:ind w:left="284" w:hanging="426"/>
        <w:jc w:val="both"/>
        <w:rPr>
          <w:rFonts w:cs="Arial"/>
          <w:sz w:val="22"/>
        </w:rPr>
      </w:pPr>
      <w:r w:rsidRPr="002D6C29">
        <w:rPr>
          <w:rFonts w:cs="Arial"/>
          <w:sz w:val="22"/>
        </w:rPr>
        <w:t xml:space="preserve">In analysing the demand and supply, </w:t>
      </w:r>
      <w:r w:rsidR="00F817B9" w:rsidRPr="002D6C29">
        <w:rPr>
          <w:rFonts w:cs="Arial"/>
          <w:sz w:val="22"/>
        </w:rPr>
        <w:t xml:space="preserve">a </w:t>
      </w:r>
      <w:r w:rsidR="00E44D88" w:rsidRPr="002D6C29">
        <w:rPr>
          <w:rFonts w:cs="Arial"/>
          <w:sz w:val="22"/>
        </w:rPr>
        <w:t xml:space="preserve">number of scenarios </w:t>
      </w:r>
      <w:r w:rsidRPr="002D6C29">
        <w:rPr>
          <w:rFonts w:cs="Arial"/>
          <w:sz w:val="22"/>
        </w:rPr>
        <w:t xml:space="preserve">are presented </w:t>
      </w:r>
      <w:r w:rsidR="00595225" w:rsidRPr="002D6C29">
        <w:rPr>
          <w:rFonts w:cs="Arial"/>
          <w:sz w:val="22"/>
        </w:rPr>
        <w:t>for consideration</w:t>
      </w:r>
      <w:r w:rsidR="00E44D88" w:rsidRPr="002D6C29">
        <w:rPr>
          <w:rFonts w:cs="Arial"/>
          <w:sz w:val="22"/>
        </w:rPr>
        <w:t xml:space="preserve">: </w:t>
      </w:r>
    </w:p>
    <w:p w14:paraId="0D73C158" w14:textId="77777777" w:rsidR="002E630A" w:rsidRPr="002D6C29" w:rsidRDefault="00964BD2" w:rsidP="00BE442B">
      <w:pPr>
        <w:pStyle w:val="ListParagraph"/>
        <w:numPr>
          <w:ilvl w:val="0"/>
          <w:numId w:val="13"/>
        </w:numPr>
        <w:spacing w:after="0" w:line="240" w:lineRule="auto"/>
        <w:jc w:val="both"/>
        <w:rPr>
          <w:rFonts w:cs="Arial"/>
          <w:b/>
          <w:sz w:val="22"/>
        </w:rPr>
      </w:pPr>
      <w:r w:rsidRPr="002D6C29">
        <w:rPr>
          <w:rFonts w:cs="Arial"/>
          <w:sz w:val="22"/>
        </w:rPr>
        <w:t>Scenario 1 - E</w:t>
      </w:r>
      <w:r w:rsidR="005771E2" w:rsidRPr="002D6C29">
        <w:rPr>
          <w:rFonts w:cs="Arial"/>
          <w:sz w:val="22"/>
        </w:rPr>
        <w:t>xisting</w:t>
      </w:r>
      <w:r w:rsidR="00851173" w:rsidRPr="002D6C29">
        <w:rPr>
          <w:rFonts w:cs="Arial"/>
          <w:sz w:val="22"/>
        </w:rPr>
        <w:t xml:space="preserve"> demand</w:t>
      </w:r>
      <w:r w:rsidR="00317EDF" w:rsidRPr="002D6C29">
        <w:rPr>
          <w:rStyle w:val="FootnoteReference"/>
          <w:rFonts w:cs="Arial"/>
          <w:sz w:val="22"/>
        </w:rPr>
        <w:footnoteReference w:id="3"/>
      </w:r>
      <w:r w:rsidR="000D678D" w:rsidRPr="002D6C29">
        <w:rPr>
          <w:rFonts w:cs="Arial"/>
          <w:sz w:val="22"/>
        </w:rPr>
        <w:t xml:space="preserve"> </w:t>
      </w:r>
      <w:r w:rsidR="009071F5" w:rsidRPr="002D6C29">
        <w:rPr>
          <w:rFonts w:cs="Arial"/>
          <w:sz w:val="22"/>
        </w:rPr>
        <w:t xml:space="preserve">against </w:t>
      </w:r>
      <w:r w:rsidR="005771E2" w:rsidRPr="002D6C29">
        <w:rPr>
          <w:rFonts w:cs="Arial"/>
          <w:sz w:val="22"/>
        </w:rPr>
        <w:t>existing</w:t>
      </w:r>
      <w:r w:rsidR="001D44C1" w:rsidRPr="002D6C29">
        <w:rPr>
          <w:rFonts w:cs="Arial"/>
          <w:sz w:val="22"/>
        </w:rPr>
        <w:t xml:space="preserve"> </w:t>
      </w:r>
      <w:r w:rsidR="005771E2" w:rsidRPr="002D6C29">
        <w:rPr>
          <w:rFonts w:cs="Arial"/>
          <w:sz w:val="22"/>
        </w:rPr>
        <w:t xml:space="preserve">and committed </w:t>
      </w:r>
      <w:r w:rsidR="009071F5" w:rsidRPr="002D6C29">
        <w:rPr>
          <w:rFonts w:cs="Arial"/>
          <w:sz w:val="22"/>
        </w:rPr>
        <w:t>supply</w:t>
      </w:r>
      <w:r w:rsidR="00BC73E8" w:rsidRPr="002D6C29">
        <w:rPr>
          <w:rStyle w:val="FootnoteReference"/>
          <w:rFonts w:cs="Arial"/>
          <w:sz w:val="22"/>
        </w:rPr>
        <w:footnoteReference w:id="4"/>
      </w:r>
    </w:p>
    <w:p w14:paraId="2CCD02EB" w14:textId="77777777" w:rsidR="00964BD2" w:rsidRPr="002D6C29" w:rsidRDefault="00964BD2" w:rsidP="002D6C29">
      <w:pPr>
        <w:pStyle w:val="ListParagraph"/>
        <w:numPr>
          <w:ilvl w:val="0"/>
          <w:numId w:val="13"/>
        </w:numPr>
        <w:spacing w:after="0" w:line="240" w:lineRule="auto"/>
        <w:jc w:val="both"/>
        <w:rPr>
          <w:rFonts w:cs="Arial"/>
          <w:b/>
          <w:sz w:val="22"/>
        </w:rPr>
      </w:pPr>
      <w:r w:rsidRPr="002D6C29">
        <w:rPr>
          <w:rFonts w:cs="Arial"/>
          <w:bCs/>
          <w:sz w:val="22"/>
        </w:rPr>
        <w:t>Scenario 2</w:t>
      </w:r>
      <w:r w:rsidR="002E630A" w:rsidRPr="002D6C29">
        <w:rPr>
          <w:rFonts w:cs="Arial"/>
          <w:bCs/>
          <w:sz w:val="22"/>
        </w:rPr>
        <w:t xml:space="preserve"> </w:t>
      </w:r>
      <w:r w:rsidRPr="002D6C29">
        <w:rPr>
          <w:rFonts w:cs="Arial"/>
          <w:bCs/>
          <w:sz w:val="22"/>
        </w:rPr>
        <w:t>-</w:t>
      </w:r>
      <w:r w:rsidRPr="002D6C29">
        <w:rPr>
          <w:rFonts w:cs="Arial"/>
          <w:b/>
          <w:sz w:val="22"/>
        </w:rPr>
        <w:t xml:space="preserve"> </w:t>
      </w:r>
      <w:r w:rsidRPr="002D6C29">
        <w:rPr>
          <w:rFonts w:cs="Arial"/>
          <w:bCs/>
          <w:sz w:val="22"/>
        </w:rPr>
        <w:t>F</w:t>
      </w:r>
      <w:r w:rsidR="00A858A8" w:rsidRPr="002D6C29">
        <w:rPr>
          <w:rFonts w:cs="Arial"/>
          <w:bCs/>
          <w:sz w:val="22"/>
        </w:rPr>
        <w:t>uture demand against existing and committed supply</w:t>
      </w:r>
      <w:r w:rsidRPr="002D6C29">
        <w:rPr>
          <w:rFonts w:cs="Arial"/>
          <w:bCs/>
          <w:sz w:val="22"/>
        </w:rPr>
        <w:t xml:space="preserve"> </w:t>
      </w:r>
    </w:p>
    <w:p w14:paraId="4FF5C2D1" w14:textId="77777777" w:rsidR="005066BA" w:rsidRPr="002D6C29" w:rsidRDefault="00964BD2" w:rsidP="002D6C29">
      <w:pPr>
        <w:pStyle w:val="ListParagraph"/>
        <w:numPr>
          <w:ilvl w:val="0"/>
          <w:numId w:val="13"/>
        </w:numPr>
        <w:spacing w:after="0" w:line="240" w:lineRule="auto"/>
        <w:rPr>
          <w:rFonts w:cs="Arial"/>
          <w:b/>
          <w:sz w:val="22"/>
        </w:rPr>
      </w:pPr>
      <w:r w:rsidRPr="002D6C29">
        <w:rPr>
          <w:rFonts w:cs="Arial"/>
          <w:bCs/>
          <w:sz w:val="22"/>
        </w:rPr>
        <w:lastRenderedPageBreak/>
        <w:t>Scenario</w:t>
      </w:r>
      <w:r w:rsidR="002E630A" w:rsidRPr="002D6C29">
        <w:rPr>
          <w:rFonts w:cs="Arial"/>
          <w:bCs/>
          <w:sz w:val="22"/>
        </w:rPr>
        <w:t xml:space="preserve"> 3 - </w:t>
      </w:r>
      <w:r w:rsidRPr="002D6C29">
        <w:rPr>
          <w:rFonts w:cs="Arial"/>
          <w:bCs/>
          <w:sz w:val="22"/>
        </w:rPr>
        <w:t xml:space="preserve">Future demand against existing and committed supply, plus supply from </w:t>
      </w:r>
      <w:r w:rsidR="00A10258" w:rsidRPr="002D6C29">
        <w:rPr>
          <w:rFonts w:cs="Arial"/>
          <w:bCs/>
          <w:sz w:val="22"/>
        </w:rPr>
        <w:t xml:space="preserve">all </w:t>
      </w:r>
      <w:r w:rsidR="002E630A" w:rsidRPr="002D6C29">
        <w:rPr>
          <w:rFonts w:cs="Arial"/>
          <w:bCs/>
          <w:sz w:val="22"/>
        </w:rPr>
        <w:t xml:space="preserve">current </w:t>
      </w:r>
      <w:r w:rsidR="00A10258" w:rsidRPr="002D6C29">
        <w:rPr>
          <w:rFonts w:cs="Arial"/>
          <w:bCs/>
          <w:sz w:val="22"/>
        </w:rPr>
        <w:t>applications</w:t>
      </w:r>
      <w:r w:rsidR="00EA071A" w:rsidRPr="002D6C29">
        <w:rPr>
          <w:rFonts w:cs="Arial"/>
          <w:bCs/>
          <w:sz w:val="22"/>
        </w:rPr>
        <w:t xml:space="preserve"> assuming all</w:t>
      </w:r>
      <w:r w:rsidR="002E630A" w:rsidRPr="002D6C29">
        <w:rPr>
          <w:rFonts w:cs="Arial"/>
          <w:bCs/>
          <w:sz w:val="22"/>
        </w:rPr>
        <w:t xml:space="preserve"> are approved.  </w:t>
      </w:r>
      <w:r w:rsidR="00A10258" w:rsidRPr="002D6C29">
        <w:rPr>
          <w:rFonts w:cs="Arial"/>
          <w:bCs/>
          <w:sz w:val="22"/>
        </w:rPr>
        <w:t xml:space="preserve"> </w:t>
      </w:r>
    </w:p>
    <w:p w14:paraId="223FB6C7" w14:textId="77777777" w:rsidR="00EE43CA" w:rsidRPr="002D6C29" w:rsidRDefault="002E630A" w:rsidP="002D6C29">
      <w:pPr>
        <w:pStyle w:val="ListParagraph"/>
        <w:numPr>
          <w:ilvl w:val="0"/>
          <w:numId w:val="13"/>
        </w:numPr>
        <w:spacing w:after="0" w:line="240" w:lineRule="auto"/>
        <w:rPr>
          <w:rFonts w:cs="Arial"/>
          <w:b/>
          <w:sz w:val="22"/>
        </w:rPr>
      </w:pPr>
      <w:r w:rsidRPr="002D6C29">
        <w:rPr>
          <w:rFonts w:cs="Arial"/>
          <w:bCs/>
          <w:sz w:val="22"/>
        </w:rPr>
        <w:t>Scenario 4 -</w:t>
      </w:r>
      <w:r w:rsidRPr="002D6C29">
        <w:rPr>
          <w:rFonts w:cs="Arial"/>
          <w:b/>
          <w:sz w:val="22"/>
        </w:rPr>
        <w:t xml:space="preserve"> </w:t>
      </w:r>
      <w:r w:rsidRPr="002D6C29">
        <w:rPr>
          <w:rFonts w:cs="Arial"/>
          <w:bCs/>
          <w:sz w:val="22"/>
        </w:rPr>
        <w:t>Future demand against existing, committed supply, supply from all current application</w:t>
      </w:r>
      <w:r w:rsidR="006C3471" w:rsidRPr="002D6C29">
        <w:rPr>
          <w:rFonts w:cs="Arial"/>
          <w:bCs/>
          <w:sz w:val="22"/>
        </w:rPr>
        <w:t>s</w:t>
      </w:r>
      <w:r w:rsidRPr="002D6C29">
        <w:rPr>
          <w:rFonts w:cs="Arial"/>
          <w:bCs/>
          <w:sz w:val="22"/>
        </w:rPr>
        <w:t xml:space="preserve">, plus supply </w:t>
      </w:r>
      <w:r w:rsidR="00EE43CA" w:rsidRPr="002D6C29">
        <w:rPr>
          <w:rFonts w:cs="Arial"/>
          <w:bCs/>
          <w:sz w:val="22"/>
        </w:rPr>
        <w:t>other rented accommodation.</w:t>
      </w:r>
    </w:p>
    <w:p w14:paraId="0153A486" w14:textId="77777777" w:rsidR="00B53CC1" w:rsidRPr="002D6C29" w:rsidRDefault="00B53CC1" w:rsidP="002D6C29">
      <w:pPr>
        <w:pStyle w:val="ListParagraph"/>
        <w:spacing w:after="0" w:line="240" w:lineRule="auto"/>
        <w:ind w:left="0"/>
        <w:jc w:val="both"/>
        <w:rPr>
          <w:rFonts w:cs="Arial"/>
          <w:b/>
          <w:sz w:val="22"/>
        </w:rPr>
      </w:pPr>
    </w:p>
    <w:p w14:paraId="00DB4CF3" w14:textId="77777777" w:rsidR="008125AB" w:rsidRPr="00BE4F40" w:rsidRDefault="008E2B73" w:rsidP="008125AB">
      <w:pPr>
        <w:pStyle w:val="ListParagraph"/>
        <w:numPr>
          <w:ilvl w:val="0"/>
          <w:numId w:val="14"/>
        </w:numPr>
        <w:ind w:left="426" w:hanging="426"/>
        <w:jc w:val="both"/>
        <w:rPr>
          <w:rFonts w:cs="Arial"/>
          <w:bCs/>
          <w:i/>
          <w:iCs/>
          <w:sz w:val="22"/>
        </w:rPr>
      </w:pPr>
      <w:r w:rsidRPr="002D6C29">
        <w:rPr>
          <w:rFonts w:cs="Arial"/>
          <w:bCs/>
          <w:sz w:val="22"/>
        </w:rPr>
        <w:t xml:space="preserve">Scenario 4 takes into account other rented accommodation such as </w:t>
      </w:r>
      <w:proofErr w:type="gramStart"/>
      <w:r w:rsidRPr="002D6C29">
        <w:rPr>
          <w:rFonts w:cs="Arial"/>
          <w:bCs/>
          <w:sz w:val="22"/>
        </w:rPr>
        <w:t>HMOs</w:t>
      </w:r>
      <w:proofErr w:type="gramEnd"/>
      <w:r w:rsidRPr="002D6C29">
        <w:rPr>
          <w:rFonts w:cs="Arial"/>
          <w:bCs/>
          <w:sz w:val="22"/>
        </w:rPr>
        <w:t xml:space="preserve"> but assessments of demand generally exclude these because they are not comparable to PBSA in terms of the type of accommodation</w:t>
      </w:r>
      <w:r w:rsidR="005C44C2" w:rsidRPr="002D6C29">
        <w:rPr>
          <w:rFonts w:cs="Arial"/>
          <w:bCs/>
          <w:sz w:val="22"/>
        </w:rPr>
        <w:t xml:space="preserve"> they provide</w:t>
      </w:r>
      <w:r w:rsidRPr="002D6C29">
        <w:rPr>
          <w:rFonts w:cs="Arial"/>
          <w:bCs/>
          <w:sz w:val="22"/>
        </w:rPr>
        <w:t xml:space="preserve">. Including them in the supply would </w:t>
      </w:r>
      <w:r w:rsidR="005C44C2" w:rsidRPr="002D6C29">
        <w:rPr>
          <w:rFonts w:cs="Arial"/>
          <w:bCs/>
          <w:sz w:val="22"/>
        </w:rPr>
        <w:t xml:space="preserve">also </w:t>
      </w:r>
      <w:r w:rsidRPr="002D6C29">
        <w:rPr>
          <w:rFonts w:cs="Arial"/>
          <w:bCs/>
          <w:sz w:val="22"/>
        </w:rPr>
        <w:t xml:space="preserve">suggest a reliance on </w:t>
      </w:r>
      <w:r w:rsidRPr="00BE4F40">
        <w:rPr>
          <w:rFonts w:cs="Arial"/>
          <w:bCs/>
          <w:sz w:val="22"/>
        </w:rPr>
        <w:t xml:space="preserve">HMOs. </w:t>
      </w:r>
      <w:r w:rsidR="008125AB" w:rsidRPr="00BE4F40">
        <w:rPr>
          <w:rFonts w:cs="Arial"/>
          <w:bCs/>
          <w:sz w:val="22"/>
        </w:rPr>
        <w:t xml:space="preserve">It is acknowledged that taking account of HMOs as a form of accommodation for students shows a significant surplus citywide and in the city centre.  If HMOs are </w:t>
      </w:r>
      <w:proofErr w:type="gramStart"/>
      <w:r w:rsidR="008125AB" w:rsidRPr="00BE4F40">
        <w:rPr>
          <w:rFonts w:cs="Arial"/>
          <w:bCs/>
          <w:sz w:val="22"/>
        </w:rPr>
        <w:t>taken into account</w:t>
      </w:r>
      <w:proofErr w:type="gramEnd"/>
      <w:r w:rsidR="008125AB" w:rsidRPr="00BE4F40">
        <w:rPr>
          <w:rFonts w:cs="Arial"/>
          <w:bCs/>
          <w:sz w:val="22"/>
        </w:rPr>
        <w:t xml:space="preserve"> (as shown in Scenario 4), then there would not be a shortfall. However, it is difficult to compare HMOs and PBSA because they provide a different kind of offer in terms of their quality and facilities for students at different stages within their academic careers. In addition, supplying more PBSA within the City Centre could help to address the imbalance and over-reliance on HMOs and diversify the accommodation offer in the area.</w:t>
      </w:r>
      <w:r w:rsidR="008125AB" w:rsidRPr="00BE4F40">
        <w:rPr>
          <w:rFonts w:cs="Arial"/>
          <w:bCs/>
          <w:i/>
          <w:iCs/>
          <w:sz w:val="22"/>
        </w:rPr>
        <w:t xml:space="preserve"> </w:t>
      </w:r>
    </w:p>
    <w:p w14:paraId="7823B674" w14:textId="77777777" w:rsidR="008E2B73" w:rsidRPr="00BE4F40" w:rsidRDefault="008E2B73" w:rsidP="00BE4F40">
      <w:pPr>
        <w:pStyle w:val="ListParagraph"/>
        <w:spacing w:after="0" w:line="240" w:lineRule="auto"/>
        <w:ind w:left="426"/>
        <w:jc w:val="both"/>
        <w:rPr>
          <w:rFonts w:cs="Arial"/>
          <w:bCs/>
          <w:sz w:val="22"/>
        </w:rPr>
      </w:pPr>
    </w:p>
    <w:p w14:paraId="0D1B83FA" w14:textId="77777777" w:rsidR="00BE442B" w:rsidRPr="00DF3FAF" w:rsidRDefault="008E2B73" w:rsidP="00BE442B">
      <w:pPr>
        <w:pStyle w:val="ListParagraph"/>
        <w:numPr>
          <w:ilvl w:val="0"/>
          <w:numId w:val="14"/>
        </w:numPr>
        <w:spacing w:after="0" w:line="240" w:lineRule="auto"/>
        <w:ind w:left="426" w:hanging="426"/>
        <w:jc w:val="both"/>
        <w:rPr>
          <w:rFonts w:cs="Arial"/>
          <w:bCs/>
          <w:sz w:val="22"/>
        </w:rPr>
      </w:pPr>
      <w:r w:rsidRPr="00DF3FAF">
        <w:rPr>
          <w:rFonts w:cs="Arial"/>
          <w:bCs/>
          <w:sz w:val="22"/>
        </w:rPr>
        <w:t xml:space="preserve">The most sensible scenarios to </w:t>
      </w:r>
      <w:r w:rsidR="005C44C2" w:rsidRPr="00DF3FAF">
        <w:rPr>
          <w:rFonts w:cs="Arial"/>
          <w:bCs/>
          <w:sz w:val="22"/>
        </w:rPr>
        <w:t xml:space="preserve">consider </w:t>
      </w:r>
      <w:r w:rsidRPr="00DF3FAF">
        <w:rPr>
          <w:rFonts w:cs="Arial"/>
          <w:bCs/>
          <w:sz w:val="22"/>
        </w:rPr>
        <w:t>are Scenario</w:t>
      </w:r>
      <w:r w:rsidR="005C44C2" w:rsidRPr="00DF3FAF">
        <w:rPr>
          <w:rFonts w:cs="Arial"/>
          <w:bCs/>
          <w:sz w:val="22"/>
        </w:rPr>
        <w:t>s</w:t>
      </w:r>
      <w:r w:rsidRPr="00DF3FAF">
        <w:rPr>
          <w:rFonts w:cs="Arial"/>
          <w:bCs/>
          <w:sz w:val="22"/>
        </w:rPr>
        <w:t xml:space="preserve"> 2 and 3.</w:t>
      </w:r>
      <w:r w:rsidR="00A15B72">
        <w:rPr>
          <w:rFonts w:cs="Arial"/>
          <w:bCs/>
          <w:sz w:val="22"/>
        </w:rPr>
        <w:t xml:space="preserve"> This is because Scenario 2 sets out the most up to date position in comparing future needs and supply as </w:t>
      </w:r>
      <w:proofErr w:type="gramStart"/>
      <w:r w:rsidR="00A15B72">
        <w:rPr>
          <w:rFonts w:cs="Arial"/>
          <w:bCs/>
          <w:sz w:val="22"/>
        </w:rPr>
        <w:t>at</w:t>
      </w:r>
      <w:proofErr w:type="gramEnd"/>
      <w:r w:rsidR="00A15B72">
        <w:rPr>
          <w:rFonts w:cs="Arial"/>
          <w:bCs/>
          <w:sz w:val="22"/>
        </w:rPr>
        <w:t xml:space="preserve"> April 2024 and Scenario 3 adds in further potential supply from PBSA planning applications that have been submitted since April 2024. Scenario 1 is not sensible to consider because it only identifies existing needs and not future needs. Scenario 4 is not sensible because HMOs and PBSA are not directly comparable, as explained above.</w:t>
      </w:r>
      <w:r w:rsidR="003344DB" w:rsidRPr="00DF3FAF">
        <w:rPr>
          <w:rFonts w:cs="Arial"/>
          <w:bCs/>
          <w:sz w:val="22"/>
        </w:rPr>
        <w:t xml:space="preserve"> </w:t>
      </w:r>
      <w:r w:rsidRPr="00DF3FAF">
        <w:rPr>
          <w:rFonts w:cs="Arial"/>
          <w:bCs/>
          <w:sz w:val="22"/>
        </w:rPr>
        <w:t xml:space="preserve">In Scenario 2 </w:t>
      </w:r>
      <w:r w:rsidR="005C44C2" w:rsidRPr="00DF3FAF">
        <w:rPr>
          <w:rFonts w:cs="Arial"/>
          <w:bCs/>
          <w:sz w:val="22"/>
        </w:rPr>
        <w:t>(</w:t>
      </w:r>
      <w:r w:rsidRPr="00DF3FAF">
        <w:rPr>
          <w:rFonts w:cs="Arial"/>
          <w:bCs/>
          <w:sz w:val="22"/>
        </w:rPr>
        <w:t xml:space="preserve">existing and </w:t>
      </w:r>
      <w:r w:rsidR="003344DB" w:rsidRPr="00DF3FAF">
        <w:rPr>
          <w:rFonts w:cs="Arial"/>
          <w:bCs/>
          <w:sz w:val="22"/>
        </w:rPr>
        <w:t>committed</w:t>
      </w:r>
      <w:r w:rsidRPr="00DF3FAF">
        <w:rPr>
          <w:rFonts w:cs="Arial"/>
          <w:bCs/>
          <w:sz w:val="22"/>
        </w:rPr>
        <w:t xml:space="preserve"> supply against future demand</w:t>
      </w:r>
      <w:r w:rsidR="005C44C2" w:rsidRPr="00DF3FAF">
        <w:rPr>
          <w:rFonts w:cs="Arial"/>
          <w:bCs/>
          <w:sz w:val="22"/>
        </w:rPr>
        <w:t>)</w:t>
      </w:r>
      <w:r w:rsidRPr="00DF3FAF">
        <w:rPr>
          <w:rFonts w:cs="Arial"/>
          <w:bCs/>
          <w:sz w:val="22"/>
        </w:rPr>
        <w:t xml:space="preserve">, there </w:t>
      </w:r>
      <w:r w:rsidR="008E6E30" w:rsidRPr="00DF3FAF">
        <w:rPr>
          <w:rFonts w:cs="Arial"/>
          <w:bCs/>
          <w:sz w:val="22"/>
        </w:rPr>
        <w:t>would be a</w:t>
      </w:r>
      <w:r w:rsidR="00863CFA" w:rsidRPr="00DF3FAF">
        <w:rPr>
          <w:rFonts w:cs="Arial"/>
          <w:bCs/>
          <w:sz w:val="22"/>
        </w:rPr>
        <w:t xml:space="preserve"> large </w:t>
      </w:r>
      <w:r w:rsidRPr="00DF3FAF">
        <w:rPr>
          <w:rFonts w:cs="Arial"/>
          <w:bCs/>
          <w:sz w:val="22"/>
        </w:rPr>
        <w:t xml:space="preserve">deficit </w:t>
      </w:r>
      <w:r w:rsidR="008E6E30" w:rsidRPr="00DF3FAF">
        <w:rPr>
          <w:rFonts w:cs="Arial"/>
          <w:bCs/>
          <w:sz w:val="22"/>
        </w:rPr>
        <w:t>of bedspaces</w:t>
      </w:r>
      <w:r w:rsidR="00863CFA" w:rsidRPr="00DF3FAF">
        <w:rPr>
          <w:rFonts w:cs="Arial"/>
          <w:bCs/>
          <w:sz w:val="22"/>
        </w:rPr>
        <w:t xml:space="preserve"> serving </w:t>
      </w:r>
      <w:r w:rsidR="008E6E30" w:rsidRPr="00DF3FAF">
        <w:rPr>
          <w:rFonts w:cs="Arial"/>
          <w:bCs/>
          <w:sz w:val="22"/>
        </w:rPr>
        <w:t xml:space="preserve">the </w:t>
      </w:r>
      <w:r w:rsidR="00863CFA" w:rsidRPr="00DF3FAF">
        <w:rPr>
          <w:rFonts w:cs="Arial"/>
          <w:bCs/>
          <w:sz w:val="22"/>
        </w:rPr>
        <w:t>U</w:t>
      </w:r>
      <w:r w:rsidR="00910263" w:rsidRPr="00DF3FAF">
        <w:rPr>
          <w:rFonts w:cs="Arial"/>
          <w:bCs/>
          <w:sz w:val="22"/>
        </w:rPr>
        <w:t xml:space="preserve">niversity of </w:t>
      </w:r>
      <w:r w:rsidR="00863CFA" w:rsidRPr="00DF3FAF">
        <w:rPr>
          <w:rFonts w:cs="Arial"/>
          <w:bCs/>
          <w:sz w:val="22"/>
        </w:rPr>
        <w:t>B</w:t>
      </w:r>
      <w:r w:rsidR="00910263" w:rsidRPr="00DF3FAF">
        <w:rPr>
          <w:rFonts w:cs="Arial"/>
          <w:bCs/>
          <w:sz w:val="22"/>
        </w:rPr>
        <w:t>irmingham</w:t>
      </w:r>
      <w:r w:rsidR="00863CFA" w:rsidRPr="00DF3FAF">
        <w:rPr>
          <w:rFonts w:cs="Arial"/>
          <w:bCs/>
          <w:sz w:val="22"/>
        </w:rPr>
        <w:t xml:space="preserve"> </w:t>
      </w:r>
      <w:r w:rsidR="008E6E30" w:rsidRPr="00DF3FAF">
        <w:rPr>
          <w:rFonts w:cs="Arial"/>
          <w:bCs/>
          <w:sz w:val="22"/>
        </w:rPr>
        <w:t>and</w:t>
      </w:r>
      <w:r w:rsidR="00863CFA" w:rsidRPr="00DF3FAF">
        <w:rPr>
          <w:rFonts w:cs="Arial"/>
          <w:bCs/>
          <w:sz w:val="22"/>
        </w:rPr>
        <w:t xml:space="preserve"> </w:t>
      </w:r>
      <w:r w:rsidR="008E6E30" w:rsidRPr="00DF3FAF">
        <w:rPr>
          <w:rFonts w:cs="Arial"/>
          <w:bCs/>
          <w:sz w:val="22"/>
        </w:rPr>
        <w:t xml:space="preserve">a smaller but still significant deficit serving </w:t>
      </w:r>
      <w:r w:rsidR="00EA071A" w:rsidRPr="00DF3FAF">
        <w:rPr>
          <w:rFonts w:cs="Arial"/>
          <w:bCs/>
          <w:sz w:val="22"/>
        </w:rPr>
        <w:t>the city centre universities.</w:t>
      </w:r>
    </w:p>
    <w:p w14:paraId="73A2D47A" w14:textId="77777777" w:rsidR="00BE442B" w:rsidRPr="00DF3FAF" w:rsidRDefault="00BE442B" w:rsidP="00BE442B">
      <w:pPr>
        <w:pStyle w:val="ListParagraph"/>
        <w:rPr>
          <w:rFonts w:cs="Arial"/>
          <w:bCs/>
          <w:sz w:val="22"/>
        </w:rPr>
      </w:pPr>
    </w:p>
    <w:p w14:paraId="48BE312C" w14:textId="77777777" w:rsidR="005066BA" w:rsidRPr="00DF3FAF" w:rsidRDefault="008E6E30" w:rsidP="00BE442B">
      <w:pPr>
        <w:pStyle w:val="ListParagraph"/>
        <w:numPr>
          <w:ilvl w:val="0"/>
          <w:numId w:val="14"/>
        </w:numPr>
        <w:spacing w:after="0" w:line="240" w:lineRule="auto"/>
        <w:ind w:left="426" w:hanging="426"/>
        <w:jc w:val="both"/>
        <w:rPr>
          <w:rFonts w:cs="Arial"/>
          <w:bCs/>
          <w:sz w:val="22"/>
        </w:rPr>
      </w:pPr>
      <w:r w:rsidRPr="00DF3FAF">
        <w:rPr>
          <w:rFonts w:cs="Arial"/>
          <w:bCs/>
          <w:sz w:val="22"/>
        </w:rPr>
        <w:t xml:space="preserve">Under </w:t>
      </w:r>
      <w:r w:rsidR="00EA071A" w:rsidRPr="00DF3FAF">
        <w:rPr>
          <w:rFonts w:cs="Arial"/>
          <w:bCs/>
          <w:sz w:val="22"/>
        </w:rPr>
        <w:t>Scenario 3</w:t>
      </w:r>
      <w:r w:rsidRPr="00DF3FAF">
        <w:rPr>
          <w:rFonts w:cs="Arial"/>
          <w:bCs/>
          <w:sz w:val="22"/>
        </w:rPr>
        <w:t xml:space="preserve">, assuming all current live applications (as </w:t>
      </w:r>
      <w:proofErr w:type="gramStart"/>
      <w:r w:rsidRPr="00DF3FAF">
        <w:rPr>
          <w:rFonts w:cs="Arial"/>
          <w:bCs/>
          <w:sz w:val="22"/>
        </w:rPr>
        <w:t>at</w:t>
      </w:r>
      <w:proofErr w:type="gramEnd"/>
      <w:r w:rsidRPr="00DF3FAF">
        <w:rPr>
          <w:rFonts w:cs="Arial"/>
          <w:bCs/>
          <w:sz w:val="22"/>
        </w:rPr>
        <w:t xml:space="preserve"> </w:t>
      </w:r>
      <w:r w:rsidR="00DF3FAF" w:rsidRPr="00DF3FAF">
        <w:rPr>
          <w:rFonts w:cs="Arial"/>
          <w:bCs/>
          <w:sz w:val="22"/>
        </w:rPr>
        <w:t>8</w:t>
      </w:r>
      <w:r w:rsidR="00DF3FAF" w:rsidRPr="00DF3FAF">
        <w:rPr>
          <w:rFonts w:cs="Arial"/>
          <w:bCs/>
          <w:sz w:val="22"/>
          <w:vertAlign w:val="superscript"/>
        </w:rPr>
        <w:t>th</w:t>
      </w:r>
      <w:r w:rsidR="00DF3FAF" w:rsidRPr="00DF3FAF">
        <w:rPr>
          <w:rFonts w:cs="Arial"/>
          <w:bCs/>
          <w:sz w:val="22"/>
        </w:rPr>
        <w:t xml:space="preserve"> November</w:t>
      </w:r>
      <w:r w:rsidR="00E348E3">
        <w:rPr>
          <w:rFonts w:cs="Arial"/>
          <w:bCs/>
          <w:sz w:val="22"/>
        </w:rPr>
        <w:t xml:space="preserve"> 2024</w:t>
      </w:r>
      <w:r w:rsidRPr="00DF3FAF">
        <w:rPr>
          <w:rFonts w:cs="Arial"/>
          <w:bCs/>
          <w:sz w:val="22"/>
        </w:rPr>
        <w:t xml:space="preserve">) were approved, there would </w:t>
      </w:r>
      <w:r w:rsidR="00DF3FAF" w:rsidRPr="00DF3FAF">
        <w:rPr>
          <w:rFonts w:cs="Arial"/>
          <w:bCs/>
          <w:sz w:val="22"/>
        </w:rPr>
        <w:t>be a small surplus of 8</w:t>
      </w:r>
      <w:r w:rsidR="00BB2FE0">
        <w:rPr>
          <w:rFonts w:cs="Arial"/>
          <w:bCs/>
          <w:sz w:val="22"/>
        </w:rPr>
        <w:t>1</w:t>
      </w:r>
      <w:r w:rsidR="00DF3FAF" w:rsidRPr="00DF3FAF">
        <w:rPr>
          <w:rFonts w:cs="Arial"/>
          <w:bCs/>
          <w:sz w:val="22"/>
        </w:rPr>
        <w:t>3</w:t>
      </w:r>
      <w:r w:rsidRPr="00DF3FAF">
        <w:rPr>
          <w:rFonts w:cs="Arial"/>
          <w:bCs/>
          <w:sz w:val="22"/>
        </w:rPr>
        <w:t xml:space="preserve"> bedspaces</w:t>
      </w:r>
      <w:r w:rsidR="008B25DE">
        <w:rPr>
          <w:rFonts w:cs="Arial"/>
          <w:bCs/>
          <w:sz w:val="22"/>
        </w:rPr>
        <w:t xml:space="preserve"> in the City Centre</w:t>
      </w:r>
      <w:r w:rsidRPr="00DF3FAF">
        <w:rPr>
          <w:rFonts w:cs="Arial"/>
          <w:bCs/>
          <w:sz w:val="22"/>
        </w:rPr>
        <w:t xml:space="preserve">. </w:t>
      </w:r>
      <w:r w:rsidR="00EA071A" w:rsidRPr="00DF3FAF">
        <w:rPr>
          <w:rFonts w:cs="Arial"/>
          <w:bCs/>
          <w:sz w:val="22"/>
        </w:rPr>
        <w:t xml:space="preserve"> </w:t>
      </w:r>
    </w:p>
    <w:p w14:paraId="437151B5" w14:textId="77777777" w:rsidR="008E6E30" w:rsidRPr="002D6C29" w:rsidRDefault="008E6E30" w:rsidP="002D6C29">
      <w:pPr>
        <w:pStyle w:val="ListParagraph"/>
        <w:spacing w:after="0" w:line="240" w:lineRule="auto"/>
        <w:jc w:val="both"/>
        <w:rPr>
          <w:rFonts w:cs="Arial"/>
          <w:sz w:val="22"/>
        </w:rPr>
      </w:pPr>
    </w:p>
    <w:p w14:paraId="6D5855BB" w14:textId="77777777" w:rsidR="002E630A" w:rsidRPr="002D6C29" w:rsidRDefault="004A74F5" w:rsidP="002D6C29">
      <w:pPr>
        <w:spacing w:after="0" w:line="240" w:lineRule="auto"/>
        <w:jc w:val="both"/>
        <w:rPr>
          <w:rFonts w:ascii="Arial" w:hAnsi="Arial" w:cs="Arial"/>
          <w:color w:val="4472C4"/>
        </w:rPr>
      </w:pPr>
      <w:r w:rsidRPr="002D6C29">
        <w:rPr>
          <w:rFonts w:ascii="Arial" w:hAnsi="Arial" w:cs="Arial"/>
          <w:b/>
          <w:bCs/>
        </w:rPr>
        <w:t xml:space="preserve">Table </w:t>
      </w:r>
      <w:r w:rsidR="00BE442B">
        <w:rPr>
          <w:rFonts w:ascii="Arial" w:hAnsi="Arial" w:cs="Arial"/>
          <w:b/>
          <w:bCs/>
        </w:rPr>
        <w:t>4</w:t>
      </w:r>
      <w:r w:rsidRPr="002D6C29">
        <w:rPr>
          <w:rFonts w:ascii="Arial" w:hAnsi="Arial" w:cs="Arial"/>
          <w:b/>
          <w:bCs/>
        </w:rPr>
        <w:t xml:space="preserve">: Demand/ supply </w:t>
      </w:r>
      <w:r w:rsidR="002E630A" w:rsidRPr="002D6C29">
        <w:rPr>
          <w:rFonts w:ascii="Arial" w:hAnsi="Arial" w:cs="Arial"/>
          <w:b/>
          <w:bCs/>
        </w:rPr>
        <w:t>analysis</w:t>
      </w:r>
      <w:r w:rsidR="00045FCD" w:rsidRPr="002D6C29">
        <w:rPr>
          <w:rFonts w:ascii="Arial" w:hAnsi="Arial" w:cs="Arial"/>
          <w:b/>
          <w:bCs/>
        </w:rPr>
        <w:tab/>
      </w:r>
      <w:r w:rsidR="00045FCD" w:rsidRPr="002D6C29">
        <w:rPr>
          <w:rFonts w:ascii="Arial" w:hAnsi="Arial" w:cs="Arial"/>
          <w:b/>
          <w:bCs/>
        </w:rPr>
        <w:tab/>
      </w:r>
      <w:r w:rsidR="00045FCD" w:rsidRPr="002D6C29">
        <w:rPr>
          <w:rFonts w:ascii="Arial" w:hAnsi="Arial" w:cs="Arial"/>
          <w:b/>
          <w:bCs/>
        </w:rPr>
        <w:tab/>
      </w:r>
      <w:r w:rsidR="00045FCD" w:rsidRPr="002D6C29">
        <w:rPr>
          <w:rFonts w:ascii="Arial" w:hAnsi="Arial" w:cs="Arial"/>
          <w:b/>
          <w:bCs/>
        </w:rPr>
        <w:tab/>
      </w:r>
      <w:r w:rsidR="00045FCD" w:rsidRPr="002D6C29">
        <w:rPr>
          <w:rFonts w:ascii="Arial" w:hAnsi="Arial" w:cs="Arial"/>
          <w:b/>
          <w:bCs/>
        </w:rPr>
        <w:tab/>
      </w:r>
      <w:r w:rsidR="00045FCD" w:rsidRPr="002D6C29">
        <w:rPr>
          <w:rFonts w:ascii="Arial" w:hAnsi="Arial" w:cs="Arial"/>
          <w:b/>
          <w:bCs/>
        </w:rPr>
        <w:tab/>
      </w:r>
      <w:r w:rsidR="00045FCD" w:rsidRPr="002D6C29">
        <w:rPr>
          <w:rFonts w:ascii="Arial" w:hAnsi="Arial" w:cs="Arial"/>
          <w:color w:val="4472C4"/>
        </w:rPr>
        <w:t>Blue = surplus</w:t>
      </w:r>
    </w:p>
    <w:p w14:paraId="70DDE3FC" w14:textId="77777777" w:rsidR="00045FCD" w:rsidRPr="002D6C29" w:rsidRDefault="00045FCD" w:rsidP="002D6C29">
      <w:pPr>
        <w:spacing w:after="0" w:line="240" w:lineRule="auto"/>
        <w:jc w:val="both"/>
        <w:rPr>
          <w:rFonts w:ascii="Arial" w:hAnsi="Arial" w:cs="Arial"/>
          <w:color w:val="FF0000"/>
        </w:rPr>
      </w:pPr>
      <w:r w:rsidRPr="002D6C29">
        <w:rPr>
          <w:rFonts w:ascii="Arial" w:hAnsi="Arial" w:cs="Arial"/>
          <w:color w:val="4472C4"/>
        </w:rPr>
        <w:tab/>
      </w:r>
      <w:r w:rsidRPr="002D6C29">
        <w:rPr>
          <w:rFonts w:ascii="Arial" w:hAnsi="Arial" w:cs="Arial"/>
          <w:color w:val="4472C4"/>
        </w:rPr>
        <w:tab/>
      </w:r>
      <w:r w:rsidRPr="002D6C29">
        <w:rPr>
          <w:rFonts w:ascii="Arial" w:hAnsi="Arial" w:cs="Arial"/>
          <w:color w:val="4472C4"/>
        </w:rPr>
        <w:tab/>
      </w:r>
      <w:r w:rsidRPr="002D6C29">
        <w:rPr>
          <w:rFonts w:ascii="Arial" w:hAnsi="Arial" w:cs="Arial"/>
          <w:color w:val="4472C4"/>
        </w:rPr>
        <w:tab/>
      </w:r>
      <w:r w:rsidRPr="002D6C29">
        <w:rPr>
          <w:rFonts w:ascii="Arial" w:hAnsi="Arial" w:cs="Arial"/>
          <w:color w:val="4472C4"/>
        </w:rPr>
        <w:tab/>
      </w:r>
      <w:r w:rsidRPr="002D6C29">
        <w:rPr>
          <w:rFonts w:ascii="Arial" w:hAnsi="Arial" w:cs="Arial"/>
          <w:color w:val="4472C4"/>
        </w:rPr>
        <w:tab/>
      </w:r>
      <w:r w:rsidRPr="002D6C29">
        <w:rPr>
          <w:rFonts w:ascii="Arial" w:hAnsi="Arial" w:cs="Arial"/>
          <w:color w:val="4472C4"/>
        </w:rPr>
        <w:tab/>
      </w:r>
      <w:r w:rsidRPr="002D6C29">
        <w:rPr>
          <w:rFonts w:ascii="Arial" w:hAnsi="Arial" w:cs="Arial"/>
          <w:color w:val="4472C4"/>
        </w:rPr>
        <w:tab/>
      </w:r>
      <w:r w:rsidRPr="002D6C29">
        <w:rPr>
          <w:rFonts w:ascii="Arial" w:hAnsi="Arial" w:cs="Arial"/>
          <w:color w:val="4472C4"/>
        </w:rPr>
        <w:tab/>
      </w:r>
      <w:r w:rsidRPr="002D6C29">
        <w:rPr>
          <w:rFonts w:ascii="Arial" w:hAnsi="Arial" w:cs="Arial"/>
          <w:color w:val="4472C4"/>
        </w:rPr>
        <w:tab/>
      </w:r>
      <w:r w:rsidRPr="002D6C29">
        <w:rPr>
          <w:rFonts w:ascii="Arial" w:hAnsi="Arial" w:cs="Arial"/>
          <w:color w:val="FF0000"/>
        </w:rPr>
        <w:t>Red - shortfall</w:t>
      </w:r>
    </w:p>
    <w:p w14:paraId="0B8040E6" w14:textId="77777777" w:rsidR="005066BA" w:rsidRPr="002D6C29" w:rsidRDefault="005066BA" w:rsidP="002D6C29">
      <w:pPr>
        <w:spacing w:after="0" w:line="240" w:lineRule="auto"/>
        <w:jc w:val="both"/>
        <w:rPr>
          <w:rFonts w:ascii="Arial" w:hAnsi="Arial" w:cs="Arial"/>
          <w:color w:val="FF0000"/>
        </w:rPr>
      </w:pPr>
    </w:p>
    <w:tbl>
      <w:tblPr>
        <w:tblW w:w="9156" w:type="dxa"/>
        <w:tblInd w:w="108" w:type="dxa"/>
        <w:tblCellMar>
          <w:left w:w="0" w:type="dxa"/>
          <w:right w:w="0" w:type="dxa"/>
        </w:tblCellMar>
        <w:tblLook w:val="04A0" w:firstRow="1" w:lastRow="0" w:firstColumn="1" w:lastColumn="0" w:noHBand="0" w:noVBand="1"/>
        <w:tblCaption w:val="Table 4: Demand/ supply analysis"/>
        <w:tblDescription w:val="Table setting out different scenarios for existing and potential future supply and demand for student bedspaces by area."/>
      </w:tblPr>
      <w:tblGrid>
        <w:gridCol w:w="3358"/>
        <w:gridCol w:w="1543"/>
        <w:gridCol w:w="1543"/>
        <w:gridCol w:w="1353"/>
        <w:gridCol w:w="1359"/>
      </w:tblGrid>
      <w:tr w:rsidR="002957B0" w:rsidRPr="002D6C29" w14:paraId="2426FE9C" w14:textId="77777777" w:rsidTr="00DA76B8">
        <w:trPr>
          <w:cantSplit/>
          <w:trHeight w:val="737"/>
          <w:tblHeader/>
        </w:trPr>
        <w:tc>
          <w:tcPr>
            <w:tcW w:w="335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2465EE4" w14:textId="77777777" w:rsidR="002957B0" w:rsidRPr="002D6C29" w:rsidRDefault="002957B0" w:rsidP="00AA6CC6">
            <w:pPr>
              <w:spacing w:after="0" w:line="240" w:lineRule="auto"/>
              <w:jc w:val="center"/>
              <w:rPr>
                <w:rFonts w:ascii="Arial" w:hAnsi="Arial" w:cs="Arial"/>
                <w:b/>
                <w:bCs/>
              </w:rPr>
            </w:pPr>
          </w:p>
        </w:tc>
        <w:tc>
          <w:tcPr>
            <w:tcW w:w="15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0B33887" w14:textId="77777777" w:rsidR="002957B0" w:rsidRPr="002D6C29" w:rsidRDefault="005066BA" w:rsidP="00AA6CC6">
            <w:pPr>
              <w:spacing w:after="0" w:line="240" w:lineRule="auto"/>
              <w:jc w:val="center"/>
              <w:rPr>
                <w:rFonts w:ascii="Arial" w:hAnsi="Arial" w:cs="Arial"/>
                <w:b/>
                <w:bCs/>
              </w:rPr>
            </w:pPr>
            <w:r w:rsidRPr="002D6C29">
              <w:rPr>
                <w:rFonts w:ascii="Arial" w:eastAsia="Times New Roman" w:hAnsi="Arial" w:cs="Arial"/>
                <w:b/>
                <w:bCs/>
                <w:color w:val="000000"/>
                <w:lang w:eastAsia="en-GB"/>
              </w:rPr>
              <w:t>Selly Oak/ Edgbaston</w:t>
            </w:r>
          </w:p>
        </w:tc>
        <w:tc>
          <w:tcPr>
            <w:tcW w:w="15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8C7BDF" w14:textId="77777777" w:rsidR="002957B0" w:rsidRPr="002D6C29" w:rsidRDefault="005066BA" w:rsidP="00AA6CC6">
            <w:pPr>
              <w:spacing w:after="0" w:line="240" w:lineRule="auto"/>
              <w:jc w:val="center"/>
              <w:rPr>
                <w:rFonts w:ascii="Arial" w:hAnsi="Arial" w:cs="Arial"/>
                <w:b/>
                <w:bCs/>
              </w:rPr>
            </w:pPr>
            <w:r w:rsidRPr="002D6C29">
              <w:rPr>
                <w:rFonts w:ascii="Arial" w:eastAsia="Times New Roman" w:hAnsi="Arial" w:cs="Arial"/>
                <w:b/>
                <w:bCs/>
                <w:color w:val="000000"/>
                <w:lang w:eastAsia="en-GB"/>
              </w:rPr>
              <w:t>City Centre</w:t>
            </w:r>
          </w:p>
        </w:tc>
        <w:tc>
          <w:tcPr>
            <w:tcW w:w="135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678D1FB" w14:textId="77777777" w:rsidR="002957B0" w:rsidRPr="002D6C29" w:rsidRDefault="005066BA" w:rsidP="00AA6CC6">
            <w:pPr>
              <w:spacing w:after="0" w:line="240" w:lineRule="auto"/>
              <w:jc w:val="center"/>
              <w:rPr>
                <w:rFonts w:ascii="Arial" w:eastAsia="Times New Roman" w:hAnsi="Arial" w:cs="Arial"/>
                <w:b/>
                <w:bCs/>
                <w:color w:val="000000"/>
                <w:lang w:eastAsia="en-GB"/>
              </w:rPr>
            </w:pPr>
            <w:r w:rsidRPr="002D6C29">
              <w:rPr>
                <w:rFonts w:ascii="Arial" w:eastAsia="Times New Roman" w:hAnsi="Arial" w:cs="Arial"/>
                <w:b/>
                <w:bCs/>
                <w:color w:val="000000"/>
                <w:lang w:eastAsia="en-GB"/>
              </w:rPr>
              <w:t>Bartley Green</w:t>
            </w:r>
          </w:p>
        </w:tc>
        <w:tc>
          <w:tcPr>
            <w:tcW w:w="13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41C7E53" w14:textId="77777777" w:rsidR="002957B0" w:rsidRPr="002D6C29" w:rsidRDefault="002957B0" w:rsidP="00AA6CC6">
            <w:pPr>
              <w:spacing w:after="0" w:line="240" w:lineRule="auto"/>
              <w:jc w:val="center"/>
              <w:rPr>
                <w:rFonts w:ascii="Arial" w:hAnsi="Arial" w:cs="Arial"/>
                <w:b/>
                <w:bCs/>
              </w:rPr>
            </w:pPr>
            <w:r w:rsidRPr="002D6C29">
              <w:rPr>
                <w:rFonts w:ascii="Arial" w:hAnsi="Arial" w:cs="Arial"/>
                <w:b/>
                <w:bCs/>
              </w:rPr>
              <w:t>City-wide</w:t>
            </w:r>
          </w:p>
        </w:tc>
      </w:tr>
      <w:tr w:rsidR="00DA76B8" w:rsidRPr="002D6C29" w14:paraId="463ADC9A" w14:textId="77777777" w:rsidTr="00DA76B8">
        <w:trPr>
          <w:cantSplit/>
          <w:trHeight w:val="482"/>
        </w:trPr>
        <w:tc>
          <w:tcPr>
            <w:tcW w:w="3358" w:type="dxa"/>
            <w:tcBorders>
              <w:top w:val="single" w:sz="8" w:space="0" w:color="auto"/>
              <w:left w:val="single" w:sz="8" w:space="0" w:color="auto"/>
              <w:bottom w:val="single" w:sz="8" w:space="0" w:color="auto"/>
            </w:tcBorders>
            <w:noWrap/>
            <w:tcMar>
              <w:top w:w="0" w:type="dxa"/>
              <w:left w:w="108" w:type="dxa"/>
              <w:bottom w:w="0" w:type="dxa"/>
              <w:right w:w="108" w:type="dxa"/>
            </w:tcMar>
            <w:vAlign w:val="center"/>
          </w:tcPr>
          <w:p w14:paraId="6C54A32A" w14:textId="2EDA2D7C" w:rsidR="00DA76B8" w:rsidRPr="00E24F1B" w:rsidRDefault="00DA76B8" w:rsidP="00AA6CC6">
            <w:pPr>
              <w:spacing w:after="0" w:line="240" w:lineRule="auto"/>
              <w:rPr>
                <w:rFonts w:ascii="Arial" w:hAnsi="Arial" w:cs="Arial"/>
              </w:rPr>
            </w:pPr>
            <w:r w:rsidRPr="002D6C29">
              <w:rPr>
                <w:rFonts w:ascii="Arial" w:hAnsi="Arial" w:cs="Arial"/>
                <w:b/>
                <w:bCs/>
              </w:rPr>
              <w:t>Scenario 1</w:t>
            </w:r>
          </w:p>
        </w:tc>
        <w:tc>
          <w:tcPr>
            <w:tcW w:w="1543" w:type="dxa"/>
            <w:tcBorders>
              <w:top w:val="single" w:sz="8" w:space="0" w:color="auto"/>
              <w:bottom w:val="single" w:sz="8" w:space="0" w:color="auto"/>
            </w:tcBorders>
            <w:noWrap/>
            <w:tcMar>
              <w:top w:w="0" w:type="dxa"/>
              <w:left w:w="108" w:type="dxa"/>
              <w:bottom w:w="0" w:type="dxa"/>
              <w:right w:w="108" w:type="dxa"/>
            </w:tcMar>
            <w:vAlign w:val="center"/>
          </w:tcPr>
          <w:p w14:paraId="06047AAC" w14:textId="77777777" w:rsidR="00DA76B8" w:rsidRDefault="00DA76B8" w:rsidP="00AA6CC6">
            <w:pPr>
              <w:spacing w:after="0" w:line="240" w:lineRule="auto"/>
              <w:jc w:val="center"/>
              <w:rPr>
                <w:rFonts w:ascii="Arial" w:hAnsi="Arial" w:cs="Arial"/>
              </w:rPr>
            </w:pPr>
          </w:p>
        </w:tc>
        <w:tc>
          <w:tcPr>
            <w:tcW w:w="1543" w:type="dxa"/>
            <w:tcBorders>
              <w:top w:val="single" w:sz="8" w:space="0" w:color="auto"/>
              <w:bottom w:val="single" w:sz="8" w:space="0" w:color="auto"/>
            </w:tcBorders>
            <w:noWrap/>
            <w:tcMar>
              <w:top w:w="0" w:type="dxa"/>
              <w:left w:w="108" w:type="dxa"/>
              <w:bottom w:w="0" w:type="dxa"/>
              <w:right w:w="108" w:type="dxa"/>
            </w:tcMar>
            <w:vAlign w:val="center"/>
          </w:tcPr>
          <w:p w14:paraId="74E2C810" w14:textId="77777777" w:rsidR="00DA76B8" w:rsidRDefault="00DA76B8" w:rsidP="00AA6CC6">
            <w:pPr>
              <w:spacing w:after="0" w:line="240" w:lineRule="auto"/>
              <w:jc w:val="center"/>
              <w:rPr>
                <w:rFonts w:ascii="Arial" w:hAnsi="Arial" w:cs="Arial"/>
              </w:rPr>
            </w:pPr>
          </w:p>
        </w:tc>
        <w:tc>
          <w:tcPr>
            <w:tcW w:w="1353" w:type="dxa"/>
            <w:tcBorders>
              <w:top w:val="single" w:sz="8" w:space="0" w:color="auto"/>
              <w:bottom w:val="single" w:sz="8" w:space="0" w:color="auto"/>
            </w:tcBorders>
            <w:noWrap/>
            <w:tcMar>
              <w:top w:w="0" w:type="dxa"/>
              <w:left w:w="108" w:type="dxa"/>
              <w:bottom w:w="0" w:type="dxa"/>
              <w:right w:w="108" w:type="dxa"/>
            </w:tcMar>
            <w:vAlign w:val="center"/>
          </w:tcPr>
          <w:p w14:paraId="3B21F4C4" w14:textId="77777777" w:rsidR="00DA76B8" w:rsidRDefault="00DA76B8" w:rsidP="00AA6CC6">
            <w:pPr>
              <w:spacing w:after="0" w:line="240" w:lineRule="auto"/>
              <w:jc w:val="center"/>
              <w:rPr>
                <w:rFonts w:ascii="Arial" w:hAnsi="Arial" w:cs="Arial"/>
              </w:rPr>
            </w:pPr>
          </w:p>
        </w:tc>
        <w:tc>
          <w:tcPr>
            <w:tcW w:w="1359" w:type="dxa"/>
            <w:tcBorders>
              <w:top w:val="single" w:sz="8" w:space="0" w:color="auto"/>
              <w:bottom w:val="single" w:sz="8" w:space="0" w:color="auto"/>
              <w:right w:val="single" w:sz="8" w:space="0" w:color="auto"/>
            </w:tcBorders>
            <w:noWrap/>
            <w:tcMar>
              <w:top w:w="0" w:type="dxa"/>
              <w:left w:w="108" w:type="dxa"/>
              <w:bottom w:w="0" w:type="dxa"/>
              <w:right w:w="108" w:type="dxa"/>
            </w:tcMar>
            <w:vAlign w:val="center"/>
          </w:tcPr>
          <w:p w14:paraId="20B7CCDC" w14:textId="77777777" w:rsidR="00DA76B8" w:rsidRDefault="00DA76B8" w:rsidP="00AA6CC6">
            <w:pPr>
              <w:spacing w:after="0" w:line="240" w:lineRule="auto"/>
              <w:jc w:val="center"/>
              <w:rPr>
                <w:rFonts w:ascii="Arial" w:hAnsi="Arial" w:cs="Arial"/>
              </w:rPr>
            </w:pPr>
          </w:p>
        </w:tc>
      </w:tr>
      <w:tr w:rsidR="002957B0" w:rsidRPr="002D6C29" w14:paraId="5D37E212" w14:textId="77777777" w:rsidTr="00DA76B8">
        <w:trPr>
          <w:cantSplit/>
          <w:trHeight w:val="482"/>
        </w:trPr>
        <w:tc>
          <w:tcPr>
            <w:tcW w:w="3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A04C85" w14:textId="77777777" w:rsidR="002957B0" w:rsidRPr="00E24F1B" w:rsidRDefault="002957B0" w:rsidP="00AA6CC6">
            <w:pPr>
              <w:spacing w:after="0" w:line="240" w:lineRule="auto"/>
              <w:rPr>
                <w:rFonts w:ascii="Arial" w:hAnsi="Arial" w:cs="Arial"/>
              </w:rPr>
            </w:pPr>
            <w:r w:rsidRPr="00E24F1B">
              <w:rPr>
                <w:rFonts w:ascii="Arial" w:hAnsi="Arial" w:cs="Arial"/>
              </w:rPr>
              <w:t xml:space="preserve">Existing demand </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A46176" w14:textId="77777777" w:rsidR="002957B0" w:rsidRPr="00E24F1B" w:rsidRDefault="00E24F1B" w:rsidP="00AA6CC6">
            <w:pPr>
              <w:spacing w:after="0" w:line="240" w:lineRule="auto"/>
              <w:jc w:val="center"/>
              <w:rPr>
                <w:rFonts w:ascii="Arial" w:hAnsi="Arial" w:cs="Arial"/>
              </w:rPr>
            </w:pPr>
            <w:r>
              <w:rPr>
                <w:rFonts w:ascii="Arial" w:hAnsi="Arial" w:cs="Arial"/>
              </w:rPr>
              <w:t>24,784</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3BA8DC" w14:textId="77777777" w:rsidR="002957B0" w:rsidRPr="00E24F1B" w:rsidRDefault="00E24F1B" w:rsidP="00AA6CC6">
            <w:pPr>
              <w:spacing w:after="0" w:line="240" w:lineRule="auto"/>
              <w:jc w:val="center"/>
              <w:rPr>
                <w:rFonts w:ascii="Arial" w:hAnsi="Arial" w:cs="Arial"/>
              </w:rPr>
            </w:pPr>
            <w:r>
              <w:rPr>
                <w:rFonts w:ascii="Arial" w:hAnsi="Arial" w:cs="Arial"/>
              </w:rPr>
              <w:t>22,413</w:t>
            </w:r>
          </w:p>
        </w:tc>
        <w:tc>
          <w:tcPr>
            <w:tcW w:w="13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C9D438" w14:textId="77777777" w:rsidR="002957B0" w:rsidRPr="00E24F1B" w:rsidRDefault="00E24F1B" w:rsidP="00AA6CC6">
            <w:pPr>
              <w:spacing w:after="0" w:line="240" w:lineRule="auto"/>
              <w:jc w:val="center"/>
              <w:rPr>
                <w:rFonts w:ascii="Arial" w:hAnsi="Arial" w:cs="Arial"/>
              </w:rPr>
            </w:pPr>
            <w:r>
              <w:rPr>
                <w:rFonts w:ascii="Arial" w:hAnsi="Arial" w:cs="Arial"/>
              </w:rPr>
              <w:t>237</w:t>
            </w:r>
          </w:p>
        </w:tc>
        <w:tc>
          <w:tcPr>
            <w:tcW w:w="13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DF2916" w14:textId="77777777" w:rsidR="002957B0" w:rsidRPr="002D6C29" w:rsidRDefault="00E24F1B" w:rsidP="00AA6CC6">
            <w:pPr>
              <w:spacing w:after="0" w:line="240" w:lineRule="auto"/>
              <w:jc w:val="center"/>
              <w:rPr>
                <w:rFonts w:ascii="Arial" w:hAnsi="Arial" w:cs="Arial"/>
              </w:rPr>
            </w:pPr>
            <w:r>
              <w:rPr>
                <w:rFonts w:ascii="Arial" w:hAnsi="Arial" w:cs="Arial"/>
              </w:rPr>
              <w:t>47,434</w:t>
            </w:r>
          </w:p>
        </w:tc>
      </w:tr>
      <w:tr w:rsidR="002957B0" w:rsidRPr="002D6C29" w14:paraId="1FA9D32D" w14:textId="77777777" w:rsidTr="00DA76B8">
        <w:trPr>
          <w:cantSplit/>
          <w:trHeight w:val="482"/>
        </w:trPr>
        <w:tc>
          <w:tcPr>
            <w:tcW w:w="3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3E8A567" w14:textId="77777777" w:rsidR="002957B0" w:rsidRPr="002D6C29" w:rsidRDefault="002957B0" w:rsidP="00AA6CC6">
            <w:pPr>
              <w:spacing w:after="0" w:line="240" w:lineRule="auto"/>
              <w:rPr>
                <w:rFonts w:ascii="Arial" w:hAnsi="Arial" w:cs="Arial"/>
              </w:rPr>
            </w:pPr>
            <w:r w:rsidRPr="002D6C29">
              <w:rPr>
                <w:rFonts w:ascii="Arial" w:hAnsi="Arial" w:cs="Arial"/>
              </w:rPr>
              <w:t xml:space="preserve">Existing </w:t>
            </w:r>
            <w:r w:rsidR="006F64D0" w:rsidRPr="002D6C29">
              <w:rPr>
                <w:rFonts w:ascii="Arial" w:hAnsi="Arial" w:cs="Arial"/>
              </w:rPr>
              <w:t xml:space="preserve">+ </w:t>
            </w:r>
            <w:r w:rsidRPr="002D6C29">
              <w:rPr>
                <w:rFonts w:ascii="Arial" w:hAnsi="Arial" w:cs="Arial"/>
              </w:rPr>
              <w:t xml:space="preserve">Committed Supply* </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1E4A97" w14:textId="77777777" w:rsidR="002957B0" w:rsidRPr="002D6C29" w:rsidRDefault="00E24F1B" w:rsidP="00AA6CC6">
            <w:pPr>
              <w:spacing w:after="0" w:line="240" w:lineRule="auto"/>
              <w:jc w:val="center"/>
              <w:rPr>
                <w:rFonts w:ascii="Arial" w:hAnsi="Arial" w:cs="Arial"/>
              </w:rPr>
            </w:pPr>
            <w:r>
              <w:rPr>
                <w:rFonts w:ascii="Arial" w:hAnsi="Arial" w:cs="Arial"/>
              </w:rPr>
              <w:t>11,249</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206B74" w14:textId="77777777" w:rsidR="002957B0" w:rsidRPr="002D6C29" w:rsidRDefault="00E24F1B" w:rsidP="00AA6CC6">
            <w:pPr>
              <w:spacing w:after="0" w:line="240" w:lineRule="auto"/>
              <w:jc w:val="center"/>
              <w:rPr>
                <w:rFonts w:ascii="Arial" w:hAnsi="Arial" w:cs="Arial"/>
              </w:rPr>
            </w:pPr>
            <w:r>
              <w:rPr>
                <w:rFonts w:ascii="Arial" w:hAnsi="Arial" w:cs="Arial"/>
              </w:rPr>
              <w:t>22,238</w:t>
            </w:r>
          </w:p>
        </w:tc>
        <w:tc>
          <w:tcPr>
            <w:tcW w:w="13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C730DB" w14:textId="77777777" w:rsidR="002957B0" w:rsidRPr="002D6C29" w:rsidRDefault="002957B0" w:rsidP="00AA6CC6">
            <w:pPr>
              <w:spacing w:after="0" w:line="240" w:lineRule="auto"/>
              <w:jc w:val="center"/>
              <w:rPr>
                <w:rFonts w:ascii="Arial" w:hAnsi="Arial" w:cs="Arial"/>
              </w:rPr>
            </w:pPr>
            <w:r w:rsidRPr="002D6C29">
              <w:rPr>
                <w:rFonts w:ascii="Arial" w:hAnsi="Arial" w:cs="Arial"/>
              </w:rPr>
              <w:t>306</w:t>
            </w:r>
          </w:p>
        </w:tc>
        <w:tc>
          <w:tcPr>
            <w:tcW w:w="13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AA3B17" w14:textId="77777777" w:rsidR="002957B0" w:rsidRPr="002D6C29" w:rsidRDefault="00E24F1B" w:rsidP="00AA6CC6">
            <w:pPr>
              <w:spacing w:after="0" w:line="240" w:lineRule="auto"/>
              <w:jc w:val="center"/>
              <w:rPr>
                <w:rFonts w:ascii="Arial" w:hAnsi="Arial" w:cs="Arial"/>
              </w:rPr>
            </w:pPr>
            <w:r>
              <w:rPr>
                <w:rFonts w:ascii="Arial" w:hAnsi="Arial" w:cs="Arial"/>
              </w:rPr>
              <w:t>33,79</w:t>
            </w:r>
            <w:r w:rsidR="00BB2FE0">
              <w:rPr>
                <w:rFonts w:ascii="Arial" w:hAnsi="Arial" w:cs="Arial"/>
              </w:rPr>
              <w:t>2</w:t>
            </w:r>
          </w:p>
        </w:tc>
      </w:tr>
      <w:tr w:rsidR="002957B0" w:rsidRPr="002D6C29" w14:paraId="1E69218F" w14:textId="77777777" w:rsidTr="00DA76B8">
        <w:trPr>
          <w:cantSplit/>
          <w:trHeight w:val="482"/>
        </w:trPr>
        <w:tc>
          <w:tcPr>
            <w:tcW w:w="3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171573" w14:textId="77777777" w:rsidR="002957B0" w:rsidRPr="00CA21A3" w:rsidRDefault="002957B0" w:rsidP="00AA6CC6">
            <w:pPr>
              <w:spacing w:after="0" w:line="240" w:lineRule="auto"/>
              <w:rPr>
                <w:rFonts w:ascii="Arial" w:hAnsi="Arial" w:cs="Arial"/>
              </w:rPr>
            </w:pPr>
            <w:r w:rsidRPr="00CA21A3">
              <w:rPr>
                <w:rFonts w:ascii="Arial" w:hAnsi="Arial" w:cs="Arial"/>
              </w:rPr>
              <w:t xml:space="preserve">Shortfall/ surplus </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9ECE24" w14:textId="77777777" w:rsidR="002957B0" w:rsidRPr="00CA21A3" w:rsidRDefault="00CA21A3" w:rsidP="00AA6CC6">
            <w:pPr>
              <w:spacing w:after="0" w:line="240" w:lineRule="auto"/>
              <w:jc w:val="center"/>
              <w:rPr>
                <w:rFonts w:ascii="Arial" w:hAnsi="Arial" w:cs="Arial"/>
              </w:rPr>
            </w:pPr>
            <w:r>
              <w:rPr>
                <w:rFonts w:ascii="Arial" w:hAnsi="Arial" w:cs="Arial"/>
                <w:color w:val="FF0000"/>
              </w:rPr>
              <w:t>-13,536</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573476" w14:textId="77777777" w:rsidR="002957B0" w:rsidRPr="00CA21A3" w:rsidRDefault="00CA21A3" w:rsidP="00AA6CC6">
            <w:pPr>
              <w:spacing w:after="0" w:line="240" w:lineRule="auto"/>
              <w:jc w:val="center"/>
              <w:rPr>
                <w:rFonts w:ascii="Arial" w:hAnsi="Arial" w:cs="Arial"/>
                <w:color w:val="FF0000"/>
              </w:rPr>
            </w:pPr>
            <w:r>
              <w:rPr>
                <w:rFonts w:ascii="Arial" w:hAnsi="Arial" w:cs="Arial"/>
                <w:color w:val="FF0000"/>
              </w:rPr>
              <w:t>-176</w:t>
            </w:r>
          </w:p>
        </w:tc>
        <w:tc>
          <w:tcPr>
            <w:tcW w:w="13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847699" w14:textId="77777777" w:rsidR="002957B0" w:rsidRPr="00CA21A3" w:rsidRDefault="00CA21A3" w:rsidP="00AA6CC6">
            <w:pPr>
              <w:spacing w:after="0" w:line="240" w:lineRule="auto"/>
              <w:jc w:val="center"/>
              <w:rPr>
                <w:rFonts w:ascii="Arial" w:hAnsi="Arial" w:cs="Arial"/>
                <w:color w:val="4472C4"/>
              </w:rPr>
            </w:pPr>
            <w:r>
              <w:rPr>
                <w:rFonts w:ascii="Arial" w:hAnsi="Arial" w:cs="Arial"/>
                <w:color w:val="4472C4"/>
              </w:rPr>
              <w:t>69</w:t>
            </w:r>
          </w:p>
        </w:tc>
        <w:tc>
          <w:tcPr>
            <w:tcW w:w="13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C69C5B" w14:textId="77777777" w:rsidR="002957B0" w:rsidRPr="002D6C29" w:rsidRDefault="00CA21A3" w:rsidP="00AA6CC6">
            <w:pPr>
              <w:spacing w:after="0" w:line="240" w:lineRule="auto"/>
              <w:jc w:val="center"/>
              <w:rPr>
                <w:rFonts w:ascii="Arial" w:hAnsi="Arial" w:cs="Arial"/>
                <w:color w:val="FF0000"/>
              </w:rPr>
            </w:pPr>
            <w:r>
              <w:rPr>
                <w:rFonts w:ascii="Arial" w:hAnsi="Arial" w:cs="Arial"/>
                <w:color w:val="FF0000"/>
              </w:rPr>
              <w:t>-13,642</w:t>
            </w:r>
          </w:p>
        </w:tc>
      </w:tr>
      <w:tr w:rsidR="00DA76B8" w:rsidRPr="002D6C29" w14:paraId="3A374623" w14:textId="77777777" w:rsidTr="00DA76B8">
        <w:trPr>
          <w:cantSplit/>
          <w:trHeight w:val="482"/>
        </w:trPr>
        <w:tc>
          <w:tcPr>
            <w:tcW w:w="3358" w:type="dxa"/>
            <w:tcBorders>
              <w:top w:val="single" w:sz="8" w:space="0" w:color="auto"/>
              <w:left w:val="single" w:sz="8" w:space="0" w:color="auto"/>
              <w:bottom w:val="single" w:sz="8" w:space="0" w:color="auto"/>
            </w:tcBorders>
            <w:noWrap/>
            <w:tcMar>
              <w:top w:w="0" w:type="dxa"/>
              <w:left w:w="108" w:type="dxa"/>
              <w:bottom w:w="0" w:type="dxa"/>
              <w:right w:w="108" w:type="dxa"/>
            </w:tcMar>
            <w:vAlign w:val="center"/>
          </w:tcPr>
          <w:p w14:paraId="7AB54B7E" w14:textId="26AB88C0" w:rsidR="00DA76B8" w:rsidRPr="00E24F1B" w:rsidRDefault="00DA76B8" w:rsidP="00775935">
            <w:pPr>
              <w:spacing w:after="0" w:line="240" w:lineRule="auto"/>
              <w:rPr>
                <w:rFonts w:ascii="Arial" w:hAnsi="Arial" w:cs="Arial"/>
              </w:rPr>
            </w:pPr>
            <w:r w:rsidRPr="002D6C29">
              <w:rPr>
                <w:rFonts w:ascii="Arial" w:hAnsi="Arial" w:cs="Arial"/>
                <w:b/>
                <w:bCs/>
              </w:rPr>
              <w:t xml:space="preserve">Scenario </w:t>
            </w:r>
            <w:r>
              <w:rPr>
                <w:rFonts w:ascii="Arial" w:hAnsi="Arial" w:cs="Arial"/>
                <w:b/>
                <w:bCs/>
              </w:rPr>
              <w:t>2</w:t>
            </w:r>
          </w:p>
        </w:tc>
        <w:tc>
          <w:tcPr>
            <w:tcW w:w="1543" w:type="dxa"/>
            <w:tcBorders>
              <w:top w:val="single" w:sz="8" w:space="0" w:color="auto"/>
              <w:bottom w:val="single" w:sz="8" w:space="0" w:color="auto"/>
            </w:tcBorders>
            <w:noWrap/>
            <w:tcMar>
              <w:top w:w="0" w:type="dxa"/>
              <w:left w:w="108" w:type="dxa"/>
              <w:bottom w:w="0" w:type="dxa"/>
              <w:right w:w="108" w:type="dxa"/>
            </w:tcMar>
            <w:vAlign w:val="center"/>
          </w:tcPr>
          <w:p w14:paraId="181E2BC5" w14:textId="77777777" w:rsidR="00DA76B8" w:rsidRDefault="00DA76B8" w:rsidP="00775935">
            <w:pPr>
              <w:spacing w:after="0" w:line="240" w:lineRule="auto"/>
              <w:jc w:val="center"/>
              <w:rPr>
                <w:rFonts w:ascii="Arial" w:hAnsi="Arial" w:cs="Arial"/>
              </w:rPr>
            </w:pPr>
          </w:p>
        </w:tc>
        <w:tc>
          <w:tcPr>
            <w:tcW w:w="1543" w:type="dxa"/>
            <w:tcBorders>
              <w:top w:val="single" w:sz="8" w:space="0" w:color="auto"/>
              <w:bottom w:val="single" w:sz="8" w:space="0" w:color="auto"/>
            </w:tcBorders>
            <w:noWrap/>
            <w:tcMar>
              <w:top w:w="0" w:type="dxa"/>
              <w:left w:w="108" w:type="dxa"/>
              <w:bottom w:w="0" w:type="dxa"/>
              <w:right w:w="108" w:type="dxa"/>
            </w:tcMar>
            <w:vAlign w:val="center"/>
          </w:tcPr>
          <w:p w14:paraId="5881D5F1" w14:textId="77777777" w:rsidR="00DA76B8" w:rsidRDefault="00DA76B8" w:rsidP="00775935">
            <w:pPr>
              <w:spacing w:after="0" w:line="240" w:lineRule="auto"/>
              <w:jc w:val="center"/>
              <w:rPr>
                <w:rFonts w:ascii="Arial" w:hAnsi="Arial" w:cs="Arial"/>
              </w:rPr>
            </w:pPr>
          </w:p>
        </w:tc>
        <w:tc>
          <w:tcPr>
            <w:tcW w:w="1353" w:type="dxa"/>
            <w:tcBorders>
              <w:top w:val="single" w:sz="8" w:space="0" w:color="auto"/>
              <w:bottom w:val="single" w:sz="8" w:space="0" w:color="auto"/>
            </w:tcBorders>
            <w:noWrap/>
            <w:tcMar>
              <w:top w:w="0" w:type="dxa"/>
              <w:left w:w="108" w:type="dxa"/>
              <w:bottom w:w="0" w:type="dxa"/>
              <w:right w:w="108" w:type="dxa"/>
            </w:tcMar>
            <w:vAlign w:val="center"/>
          </w:tcPr>
          <w:p w14:paraId="07F9734B" w14:textId="77777777" w:rsidR="00DA76B8" w:rsidRDefault="00DA76B8" w:rsidP="00775935">
            <w:pPr>
              <w:spacing w:after="0" w:line="240" w:lineRule="auto"/>
              <w:jc w:val="center"/>
              <w:rPr>
                <w:rFonts w:ascii="Arial" w:hAnsi="Arial" w:cs="Arial"/>
              </w:rPr>
            </w:pPr>
          </w:p>
        </w:tc>
        <w:tc>
          <w:tcPr>
            <w:tcW w:w="1359" w:type="dxa"/>
            <w:tcBorders>
              <w:top w:val="single" w:sz="8" w:space="0" w:color="auto"/>
              <w:bottom w:val="single" w:sz="8" w:space="0" w:color="auto"/>
              <w:right w:val="single" w:sz="8" w:space="0" w:color="auto"/>
            </w:tcBorders>
            <w:noWrap/>
            <w:tcMar>
              <w:top w:w="0" w:type="dxa"/>
              <w:left w:w="108" w:type="dxa"/>
              <w:bottom w:w="0" w:type="dxa"/>
              <w:right w:w="108" w:type="dxa"/>
            </w:tcMar>
            <w:vAlign w:val="center"/>
          </w:tcPr>
          <w:p w14:paraId="07C8B793" w14:textId="77777777" w:rsidR="00DA76B8" w:rsidRDefault="00DA76B8" w:rsidP="00775935">
            <w:pPr>
              <w:spacing w:after="0" w:line="240" w:lineRule="auto"/>
              <w:jc w:val="center"/>
              <w:rPr>
                <w:rFonts w:ascii="Arial" w:hAnsi="Arial" w:cs="Arial"/>
              </w:rPr>
            </w:pPr>
          </w:p>
        </w:tc>
      </w:tr>
      <w:tr w:rsidR="002957B0" w:rsidRPr="002D6C29" w14:paraId="0715950A" w14:textId="77777777" w:rsidTr="00DA76B8">
        <w:trPr>
          <w:cantSplit/>
          <w:trHeight w:val="482"/>
        </w:trPr>
        <w:tc>
          <w:tcPr>
            <w:tcW w:w="3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8A0438" w14:textId="77777777" w:rsidR="002957B0" w:rsidRPr="002D6C29" w:rsidRDefault="002957B0" w:rsidP="00AA6CC6">
            <w:pPr>
              <w:spacing w:after="0" w:line="240" w:lineRule="auto"/>
              <w:rPr>
                <w:rFonts w:ascii="Arial" w:hAnsi="Arial" w:cs="Arial"/>
              </w:rPr>
            </w:pPr>
            <w:r w:rsidRPr="002D6C29">
              <w:rPr>
                <w:rFonts w:ascii="Arial" w:hAnsi="Arial" w:cs="Arial"/>
              </w:rPr>
              <w:t xml:space="preserve">Potential future demand </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D0CA4F" w14:textId="77777777" w:rsidR="002957B0" w:rsidRPr="002D6C29" w:rsidRDefault="00CA21A3" w:rsidP="00AA6CC6">
            <w:pPr>
              <w:spacing w:after="0" w:line="240" w:lineRule="auto"/>
              <w:jc w:val="center"/>
              <w:rPr>
                <w:rFonts w:ascii="Arial" w:hAnsi="Arial" w:cs="Arial"/>
              </w:rPr>
            </w:pPr>
            <w:r>
              <w:rPr>
                <w:rFonts w:ascii="Arial" w:hAnsi="Arial" w:cs="Arial"/>
              </w:rPr>
              <w:t>26,184</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EE1D1B" w14:textId="77777777" w:rsidR="002957B0" w:rsidRPr="002D6C29" w:rsidRDefault="00CA21A3" w:rsidP="00AA6CC6">
            <w:pPr>
              <w:spacing w:after="0" w:line="240" w:lineRule="auto"/>
              <w:jc w:val="center"/>
              <w:rPr>
                <w:rFonts w:ascii="Arial" w:hAnsi="Arial" w:cs="Arial"/>
              </w:rPr>
            </w:pPr>
            <w:r>
              <w:rPr>
                <w:rFonts w:ascii="Arial" w:hAnsi="Arial" w:cs="Arial"/>
              </w:rPr>
              <w:t>27,016</w:t>
            </w:r>
          </w:p>
        </w:tc>
        <w:tc>
          <w:tcPr>
            <w:tcW w:w="13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DF5791" w14:textId="77777777" w:rsidR="002957B0" w:rsidRPr="002D6C29" w:rsidRDefault="00CA21A3" w:rsidP="00AA6CC6">
            <w:pPr>
              <w:spacing w:after="0" w:line="240" w:lineRule="auto"/>
              <w:jc w:val="center"/>
              <w:rPr>
                <w:rFonts w:ascii="Arial" w:hAnsi="Arial" w:cs="Arial"/>
              </w:rPr>
            </w:pPr>
            <w:r>
              <w:rPr>
                <w:rFonts w:ascii="Arial" w:hAnsi="Arial" w:cs="Arial"/>
              </w:rPr>
              <w:t>276</w:t>
            </w:r>
          </w:p>
        </w:tc>
        <w:tc>
          <w:tcPr>
            <w:tcW w:w="13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2F4FCF" w14:textId="77777777" w:rsidR="002957B0" w:rsidRPr="002D6C29" w:rsidRDefault="00CA21A3" w:rsidP="00AA6CC6">
            <w:pPr>
              <w:spacing w:after="0" w:line="240" w:lineRule="auto"/>
              <w:jc w:val="center"/>
              <w:rPr>
                <w:rFonts w:ascii="Arial" w:hAnsi="Arial" w:cs="Arial"/>
              </w:rPr>
            </w:pPr>
            <w:r>
              <w:rPr>
                <w:rFonts w:ascii="Arial" w:hAnsi="Arial" w:cs="Arial"/>
              </w:rPr>
              <w:t>53,476</w:t>
            </w:r>
          </w:p>
        </w:tc>
      </w:tr>
      <w:tr w:rsidR="00CA21A3" w:rsidRPr="002D6C29" w14:paraId="76067166" w14:textId="77777777" w:rsidTr="00DA76B8">
        <w:trPr>
          <w:cantSplit/>
          <w:trHeight w:val="482"/>
        </w:trPr>
        <w:tc>
          <w:tcPr>
            <w:tcW w:w="3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035621" w14:textId="77777777" w:rsidR="00CA21A3" w:rsidRPr="002D6C29" w:rsidRDefault="00CA21A3" w:rsidP="00AA6CC6">
            <w:pPr>
              <w:spacing w:after="0" w:line="240" w:lineRule="auto"/>
              <w:rPr>
                <w:rFonts w:ascii="Arial" w:hAnsi="Arial" w:cs="Arial"/>
              </w:rPr>
            </w:pPr>
            <w:r w:rsidRPr="002D6C29">
              <w:rPr>
                <w:rFonts w:ascii="Arial" w:hAnsi="Arial" w:cs="Arial"/>
              </w:rPr>
              <w:t>Existing + Committed Supply*</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0C245A" w14:textId="77777777" w:rsidR="00CA21A3" w:rsidRPr="002D6C29" w:rsidRDefault="00CA21A3" w:rsidP="00AA6CC6">
            <w:pPr>
              <w:spacing w:after="0" w:line="240" w:lineRule="auto"/>
              <w:jc w:val="center"/>
              <w:rPr>
                <w:rFonts w:ascii="Arial" w:hAnsi="Arial" w:cs="Arial"/>
              </w:rPr>
            </w:pPr>
            <w:r>
              <w:rPr>
                <w:rFonts w:ascii="Arial" w:hAnsi="Arial" w:cs="Arial"/>
              </w:rPr>
              <w:t>11,249</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DB6DE8" w14:textId="77777777" w:rsidR="00CA21A3" w:rsidRPr="002D6C29" w:rsidRDefault="00CA21A3" w:rsidP="00AA6CC6">
            <w:pPr>
              <w:spacing w:after="0" w:line="240" w:lineRule="auto"/>
              <w:jc w:val="center"/>
              <w:rPr>
                <w:rFonts w:ascii="Arial" w:hAnsi="Arial" w:cs="Arial"/>
              </w:rPr>
            </w:pPr>
            <w:r>
              <w:rPr>
                <w:rFonts w:ascii="Arial" w:hAnsi="Arial" w:cs="Arial"/>
              </w:rPr>
              <w:t>22,238</w:t>
            </w:r>
          </w:p>
        </w:tc>
        <w:tc>
          <w:tcPr>
            <w:tcW w:w="13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14359F" w14:textId="77777777" w:rsidR="00CA21A3" w:rsidRPr="002D6C29" w:rsidRDefault="00CA21A3" w:rsidP="00AA6CC6">
            <w:pPr>
              <w:spacing w:after="0" w:line="240" w:lineRule="auto"/>
              <w:jc w:val="center"/>
              <w:rPr>
                <w:rFonts w:ascii="Arial" w:hAnsi="Arial" w:cs="Arial"/>
              </w:rPr>
            </w:pPr>
            <w:r w:rsidRPr="002D6C29">
              <w:rPr>
                <w:rFonts w:ascii="Arial" w:hAnsi="Arial" w:cs="Arial"/>
              </w:rPr>
              <w:t>306</w:t>
            </w:r>
          </w:p>
        </w:tc>
        <w:tc>
          <w:tcPr>
            <w:tcW w:w="13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59F485" w14:textId="77777777" w:rsidR="00CA21A3" w:rsidRPr="002D6C29" w:rsidRDefault="00CA21A3" w:rsidP="00AA6CC6">
            <w:pPr>
              <w:spacing w:after="0" w:line="240" w:lineRule="auto"/>
              <w:jc w:val="center"/>
              <w:rPr>
                <w:rFonts w:ascii="Arial" w:hAnsi="Arial" w:cs="Arial"/>
              </w:rPr>
            </w:pPr>
            <w:r>
              <w:rPr>
                <w:rFonts w:ascii="Arial" w:hAnsi="Arial" w:cs="Arial"/>
              </w:rPr>
              <w:t>33,79</w:t>
            </w:r>
            <w:r w:rsidR="00BB2FE0">
              <w:rPr>
                <w:rFonts w:ascii="Arial" w:hAnsi="Arial" w:cs="Arial"/>
              </w:rPr>
              <w:t>2</w:t>
            </w:r>
          </w:p>
        </w:tc>
      </w:tr>
      <w:tr w:rsidR="002957B0" w:rsidRPr="002D6C29" w14:paraId="2614F32B" w14:textId="77777777" w:rsidTr="00DA76B8">
        <w:trPr>
          <w:cantSplit/>
          <w:trHeight w:val="482"/>
        </w:trPr>
        <w:tc>
          <w:tcPr>
            <w:tcW w:w="3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394326" w14:textId="77777777" w:rsidR="002957B0" w:rsidRPr="00F838B8" w:rsidRDefault="002957B0" w:rsidP="00AA6CC6">
            <w:pPr>
              <w:spacing w:after="0" w:line="240" w:lineRule="auto"/>
              <w:rPr>
                <w:rFonts w:ascii="Arial" w:hAnsi="Arial" w:cs="Arial"/>
              </w:rPr>
            </w:pPr>
            <w:r w:rsidRPr="00F838B8">
              <w:rPr>
                <w:rFonts w:ascii="Arial" w:hAnsi="Arial" w:cs="Arial"/>
              </w:rPr>
              <w:t xml:space="preserve">Shortfall/ surplus </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D1F4A0" w14:textId="77777777" w:rsidR="002957B0" w:rsidRPr="00F838B8" w:rsidRDefault="00CA21A3" w:rsidP="00AA6CC6">
            <w:pPr>
              <w:spacing w:after="0" w:line="240" w:lineRule="auto"/>
              <w:jc w:val="center"/>
              <w:rPr>
                <w:rFonts w:ascii="Arial" w:hAnsi="Arial" w:cs="Arial"/>
                <w:color w:val="FF0000"/>
              </w:rPr>
            </w:pPr>
            <w:r>
              <w:rPr>
                <w:rFonts w:ascii="Arial" w:hAnsi="Arial" w:cs="Arial"/>
                <w:color w:val="FF0000"/>
              </w:rPr>
              <w:t>-14,936</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A286A7" w14:textId="77777777" w:rsidR="002957B0" w:rsidRPr="00F838B8" w:rsidRDefault="00CA21A3" w:rsidP="00AA6CC6">
            <w:pPr>
              <w:spacing w:after="0" w:line="240" w:lineRule="auto"/>
              <w:jc w:val="center"/>
              <w:rPr>
                <w:rFonts w:ascii="Arial" w:hAnsi="Arial" w:cs="Arial"/>
                <w:color w:val="FF0000"/>
              </w:rPr>
            </w:pPr>
            <w:r>
              <w:rPr>
                <w:rFonts w:ascii="Arial" w:hAnsi="Arial" w:cs="Arial"/>
                <w:color w:val="FF0000"/>
              </w:rPr>
              <w:t>-4,779</w:t>
            </w:r>
          </w:p>
        </w:tc>
        <w:tc>
          <w:tcPr>
            <w:tcW w:w="13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14770E" w14:textId="77777777" w:rsidR="002957B0" w:rsidRPr="00CA21A3" w:rsidRDefault="00CA21A3" w:rsidP="00AA6CC6">
            <w:pPr>
              <w:spacing w:after="0" w:line="240" w:lineRule="auto"/>
              <w:jc w:val="center"/>
              <w:rPr>
                <w:rFonts w:ascii="Arial" w:hAnsi="Arial" w:cs="Arial"/>
                <w:color w:val="4472C4"/>
              </w:rPr>
            </w:pPr>
            <w:r w:rsidRPr="00CA21A3">
              <w:rPr>
                <w:rFonts w:ascii="Arial" w:hAnsi="Arial" w:cs="Arial"/>
                <w:color w:val="4472C4"/>
              </w:rPr>
              <w:t>30</w:t>
            </w:r>
          </w:p>
        </w:tc>
        <w:tc>
          <w:tcPr>
            <w:tcW w:w="13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282B61" w14:textId="77777777" w:rsidR="002957B0" w:rsidRPr="002D6C29" w:rsidRDefault="00CA21A3" w:rsidP="00AA6CC6">
            <w:pPr>
              <w:spacing w:after="0" w:line="240" w:lineRule="auto"/>
              <w:jc w:val="center"/>
              <w:rPr>
                <w:rFonts w:ascii="Arial" w:hAnsi="Arial" w:cs="Arial"/>
                <w:color w:val="FF0000"/>
              </w:rPr>
            </w:pPr>
            <w:r>
              <w:rPr>
                <w:rFonts w:ascii="Arial" w:hAnsi="Arial" w:cs="Arial"/>
                <w:color w:val="FF0000"/>
              </w:rPr>
              <w:t>-1</w:t>
            </w:r>
            <w:r w:rsidR="00BB2FE0">
              <w:rPr>
                <w:rFonts w:ascii="Arial" w:hAnsi="Arial" w:cs="Arial"/>
                <w:color w:val="FF0000"/>
              </w:rPr>
              <w:t>9,684</w:t>
            </w:r>
          </w:p>
        </w:tc>
      </w:tr>
      <w:tr w:rsidR="00DA76B8" w:rsidRPr="002D6C29" w14:paraId="51033C83" w14:textId="77777777" w:rsidTr="00DA76B8">
        <w:trPr>
          <w:cantSplit/>
          <w:trHeight w:val="482"/>
        </w:trPr>
        <w:tc>
          <w:tcPr>
            <w:tcW w:w="3358" w:type="dxa"/>
            <w:tcBorders>
              <w:top w:val="single" w:sz="8" w:space="0" w:color="auto"/>
              <w:left w:val="single" w:sz="8" w:space="0" w:color="auto"/>
              <w:bottom w:val="single" w:sz="8" w:space="0" w:color="auto"/>
            </w:tcBorders>
            <w:noWrap/>
            <w:tcMar>
              <w:top w:w="0" w:type="dxa"/>
              <w:left w:w="108" w:type="dxa"/>
              <w:bottom w:w="0" w:type="dxa"/>
              <w:right w:w="108" w:type="dxa"/>
            </w:tcMar>
            <w:vAlign w:val="center"/>
          </w:tcPr>
          <w:p w14:paraId="66C51BDA" w14:textId="77BFC6BC" w:rsidR="00DA76B8" w:rsidRPr="00E24F1B" w:rsidRDefault="00DA76B8" w:rsidP="00775935">
            <w:pPr>
              <w:spacing w:after="0" w:line="240" w:lineRule="auto"/>
              <w:rPr>
                <w:rFonts w:ascii="Arial" w:hAnsi="Arial" w:cs="Arial"/>
              </w:rPr>
            </w:pPr>
            <w:r w:rsidRPr="002D6C29">
              <w:rPr>
                <w:rFonts w:ascii="Arial" w:hAnsi="Arial" w:cs="Arial"/>
                <w:b/>
                <w:bCs/>
              </w:rPr>
              <w:t xml:space="preserve">Scenario </w:t>
            </w:r>
            <w:r>
              <w:rPr>
                <w:rFonts w:ascii="Arial" w:hAnsi="Arial" w:cs="Arial"/>
                <w:b/>
                <w:bCs/>
              </w:rPr>
              <w:t>3</w:t>
            </w:r>
          </w:p>
        </w:tc>
        <w:tc>
          <w:tcPr>
            <w:tcW w:w="1543" w:type="dxa"/>
            <w:tcBorders>
              <w:top w:val="single" w:sz="8" w:space="0" w:color="auto"/>
              <w:bottom w:val="single" w:sz="8" w:space="0" w:color="auto"/>
            </w:tcBorders>
            <w:noWrap/>
            <w:tcMar>
              <w:top w:w="0" w:type="dxa"/>
              <w:left w:w="108" w:type="dxa"/>
              <w:bottom w:w="0" w:type="dxa"/>
              <w:right w:w="108" w:type="dxa"/>
            </w:tcMar>
            <w:vAlign w:val="center"/>
          </w:tcPr>
          <w:p w14:paraId="32CA60EC" w14:textId="77777777" w:rsidR="00DA76B8" w:rsidRDefault="00DA76B8" w:rsidP="00775935">
            <w:pPr>
              <w:spacing w:after="0" w:line="240" w:lineRule="auto"/>
              <w:jc w:val="center"/>
              <w:rPr>
                <w:rFonts w:ascii="Arial" w:hAnsi="Arial" w:cs="Arial"/>
              </w:rPr>
            </w:pPr>
          </w:p>
        </w:tc>
        <w:tc>
          <w:tcPr>
            <w:tcW w:w="1543" w:type="dxa"/>
            <w:tcBorders>
              <w:top w:val="single" w:sz="8" w:space="0" w:color="auto"/>
              <w:bottom w:val="single" w:sz="8" w:space="0" w:color="auto"/>
            </w:tcBorders>
            <w:noWrap/>
            <w:tcMar>
              <w:top w:w="0" w:type="dxa"/>
              <w:left w:w="108" w:type="dxa"/>
              <w:bottom w:w="0" w:type="dxa"/>
              <w:right w:w="108" w:type="dxa"/>
            </w:tcMar>
            <w:vAlign w:val="center"/>
          </w:tcPr>
          <w:p w14:paraId="18F518B3" w14:textId="77777777" w:rsidR="00DA76B8" w:rsidRDefault="00DA76B8" w:rsidP="00775935">
            <w:pPr>
              <w:spacing w:after="0" w:line="240" w:lineRule="auto"/>
              <w:jc w:val="center"/>
              <w:rPr>
                <w:rFonts w:ascii="Arial" w:hAnsi="Arial" w:cs="Arial"/>
              </w:rPr>
            </w:pPr>
          </w:p>
        </w:tc>
        <w:tc>
          <w:tcPr>
            <w:tcW w:w="1353" w:type="dxa"/>
            <w:tcBorders>
              <w:top w:val="single" w:sz="8" w:space="0" w:color="auto"/>
              <w:bottom w:val="single" w:sz="8" w:space="0" w:color="auto"/>
            </w:tcBorders>
            <w:noWrap/>
            <w:tcMar>
              <w:top w:w="0" w:type="dxa"/>
              <w:left w:w="108" w:type="dxa"/>
              <w:bottom w:w="0" w:type="dxa"/>
              <w:right w:w="108" w:type="dxa"/>
            </w:tcMar>
            <w:vAlign w:val="center"/>
          </w:tcPr>
          <w:p w14:paraId="0DC15223" w14:textId="77777777" w:rsidR="00DA76B8" w:rsidRDefault="00DA76B8" w:rsidP="00775935">
            <w:pPr>
              <w:spacing w:after="0" w:line="240" w:lineRule="auto"/>
              <w:jc w:val="center"/>
              <w:rPr>
                <w:rFonts w:ascii="Arial" w:hAnsi="Arial" w:cs="Arial"/>
              </w:rPr>
            </w:pPr>
          </w:p>
        </w:tc>
        <w:tc>
          <w:tcPr>
            <w:tcW w:w="1359" w:type="dxa"/>
            <w:tcBorders>
              <w:top w:val="single" w:sz="8" w:space="0" w:color="auto"/>
              <w:bottom w:val="single" w:sz="8" w:space="0" w:color="auto"/>
              <w:right w:val="single" w:sz="8" w:space="0" w:color="auto"/>
            </w:tcBorders>
            <w:noWrap/>
            <w:tcMar>
              <w:top w:w="0" w:type="dxa"/>
              <w:left w:w="108" w:type="dxa"/>
              <w:bottom w:w="0" w:type="dxa"/>
              <w:right w:w="108" w:type="dxa"/>
            </w:tcMar>
            <w:vAlign w:val="center"/>
          </w:tcPr>
          <w:p w14:paraId="4C78CAA7" w14:textId="77777777" w:rsidR="00DA76B8" w:rsidRDefault="00DA76B8" w:rsidP="00775935">
            <w:pPr>
              <w:spacing w:after="0" w:line="240" w:lineRule="auto"/>
              <w:jc w:val="center"/>
              <w:rPr>
                <w:rFonts w:ascii="Arial" w:hAnsi="Arial" w:cs="Arial"/>
              </w:rPr>
            </w:pPr>
          </w:p>
        </w:tc>
      </w:tr>
      <w:tr w:rsidR="00CA21A3" w:rsidRPr="002D6C29" w14:paraId="5660289A" w14:textId="77777777" w:rsidTr="00DA76B8">
        <w:trPr>
          <w:cantSplit/>
          <w:trHeight w:val="482"/>
        </w:trPr>
        <w:tc>
          <w:tcPr>
            <w:tcW w:w="3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5F8DA5" w14:textId="77777777" w:rsidR="00CA21A3" w:rsidRPr="002D6C29" w:rsidRDefault="00CA21A3" w:rsidP="00AA6CC6">
            <w:pPr>
              <w:spacing w:after="0" w:line="240" w:lineRule="auto"/>
              <w:rPr>
                <w:rFonts w:ascii="Arial" w:hAnsi="Arial" w:cs="Arial"/>
              </w:rPr>
            </w:pPr>
            <w:r w:rsidRPr="002D6C29">
              <w:rPr>
                <w:rFonts w:ascii="Arial" w:hAnsi="Arial" w:cs="Arial"/>
              </w:rPr>
              <w:t xml:space="preserve">Potential future demand </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C9A2AC" w14:textId="77777777" w:rsidR="00CA21A3" w:rsidRPr="002D6C29" w:rsidRDefault="00CA21A3" w:rsidP="00AA6CC6">
            <w:pPr>
              <w:spacing w:after="0" w:line="240" w:lineRule="auto"/>
              <w:jc w:val="center"/>
              <w:rPr>
                <w:rFonts w:ascii="Arial" w:hAnsi="Arial" w:cs="Arial"/>
              </w:rPr>
            </w:pPr>
            <w:r>
              <w:rPr>
                <w:rFonts w:ascii="Arial" w:hAnsi="Arial" w:cs="Arial"/>
              </w:rPr>
              <w:t>26,184</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726F02" w14:textId="77777777" w:rsidR="00CA21A3" w:rsidRPr="002D6C29" w:rsidRDefault="00CA21A3" w:rsidP="00AA6CC6">
            <w:pPr>
              <w:spacing w:after="0" w:line="240" w:lineRule="auto"/>
              <w:jc w:val="center"/>
              <w:rPr>
                <w:rFonts w:ascii="Arial" w:hAnsi="Arial" w:cs="Arial"/>
              </w:rPr>
            </w:pPr>
            <w:r>
              <w:rPr>
                <w:rFonts w:ascii="Arial" w:hAnsi="Arial" w:cs="Arial"/>
              </w:rPr>
              <w:t>27,016</w:t>
            </w:r>
          </w:p>
        </w:tc>
        <w:tc>
          <w:tcPr>
            <w:tcW w:w="13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19875A" w14:textId="77777777" w:rsidR="00CA21A3" w:rsidRPr="002D6C29" w:rsidRDefault="00CA21A3" w:rsidP="00AA6CC6">
            <w:pPr>
              <w:spacing w:after="0" w:line="240" w:lineRule="auto"/>
              <w:jc w:val="center"/>
              <w:rPr>
                <w:rFonts w:ascii="Arial" w:hAnsi="Arial" w:cs="Arial"/>
              </w:rPr>
            </w:pPr>
            <w:r>
              <w:rPr>
                <w:rFonts w:ascii="Arial" w:hAnsi="Arial" w:cs="Arial"/>
              </w:rPr>
              <w:t>276</w:t>
            </w:r>
          </w:p>
        </w:tc>
        <w:tc>
          <w:tcPr>
            <w:tcW w:w="13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6A698D" w14:textId="77777777" w:rsidR="00CA21A3" w:rsidRPr="002D6C29" w:rsidRDefault="00CA21A3" w:rsidP="00AA6CC6">
            <w:pPr>
              <w:spacing w:after="0" w:line="240" w:lineRule="auto"/>
              <w:jc w:val="center"/>
              <w:rPr>
                <w:rFonts w:ascii="Arial" w:hAnsi="Arial" w:cs="Arial"/>
              </w:rPr>
            </w:pPr>
            <w:r>
              <w:rPr>
                <w:rFonts w:ascii="Arial" w:hAnsi="Arial" w:cs="Arial"/>
              </w:rPr>
              <w:t>53,476</w:t>
            </w:r>
          </w:p>
        </w:tc>
      </w:tr>
      <w:tr w:rsidR="00CA21A3" w:rsidRPr="002D6C29" w14:paraId="495D8F32" w14:textId="77777777" w:rsidTr="00DA76B8">
        <w:trPr>
          <w:cantSplit/>
          <w:trHeight w:val="482"/>
        </w:trPr>
        <w:tc>
          <w:tcPr>
            <w:tcW w:w="3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0288BE" w14:textId="77777777" w:rsidR="00CA21A3" w:rsidRPr="002D6C29" w:rsidRDefault="00CA21A3" w:rsidP="00AA6CC6">
            <w:pPr>
              <w:spacing w:after="0" w:line="240" w:lineRule="auto"/>
              <w:rPr>
                <w:rFonts w:ascii="Arial" w:hAnsi="Arial" w:cs="Arial"/>
              </w:rPr>
            </w:pPr>
            <w:r w:rsidRPr="002D6C29">
              <w:rPr>
                <w:rFonts w:ascii="Arial" w:hAnsi="Arial" w:cs="Arial"/>
              </w:rPr>
              <w:t>Existing + Committed supply + Current applications</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44B0F8" w14:textId="77777777" w:rsidR="00CA21A3" w:rsidRPr="002D6C29" w:rsidRDefault="00CA21A3" w:rsidP="00AA6CC6">
            <w:pPr>
              <w:spacing w:after="0" w:line="240" w:lineRule="auto"/>
              <w:jc w:val="center"/>
              <w:rPr>
                <w:rFonts w:ascii="Arial" w:hAnsi="Arial" w:cs="Arial"/>
              </w:rPr>
            </w:pPr>
            <w:r>
              <w:rPr>
                <w:rFonts w:ascii="Arial" w:hAnsi="Arial" w:cs="Arial"/>
              </w:rPr>
              <w:t>11,249</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461307" w14:textId="77777777" w:rsidR="00CA21A3" w:rsidRPr="002D6C29" w:rsidRDefault="00CA21A3" w:rsidP="00AA6CC6">
            <w:pPr>
              <w:spacing w:after="0" w:line="240" w:lineRule="auto"/>
              <w:jc w:val="center"/>
              <w:rPr>
                <w:rFonts w:ascii="Arial" w:hAnsi="Arial" w:cs="Arial"/>
              </w:rPr>
            </w:pPr>
            <w:r>
              <w:rPr>
                <w:rFonts w:ascii="Arial" w:hAnsi="Arial" w:cs="Arial"/>
              </w:rPr>
              <w:t>27,8</w:t>
            </w:r>
            <w:r w:rsidR="00BB2FE0">
              <w:rPr>
                <w:rFonts w:ascii="Arial" w:hAnsi="Arial" w:cs="Arial"/>
              </w:rPr>
              <w:t>2</w:t>
            </w:r>
            <w:r>
              <w:rPr>
                <w:rFonts w:ascii="Arial" w:hAnsi="Arial" w:cs="Arial"/>
              </w:rPr>
              <w:t>9</w:t>
            </w:r>
          </w:p>
        </w:tc>
        <w:tc>
          <w:tcPr>
            <w:tcW w:w="13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54D3FA" w14:textId="77777777" w:rsidR="00CA21A3" w:rsidRPr="002D6C29" w:rsidRDefault="00CA21A3" w:rsidP="00AA6CC6">
            <w:pPr>
              <w:spacing w:after="0" w:line="240" w:lineRule="auto"/>
              <w:jc w:val="center"/>
              <w:rPr>
                <w:rFonts w:ascii="Arial" w:hAnsi="Arial" w:cs="Arial"/>
              </w:rPr>
            </w:pPr>
            <w:r w:rsidRPr="002D6C29">
              <w:rPr>
                <w:rFonts w:ascii="Arial" w:hAnsi="Arial" w:cs="Arial"/>
              </w:rPr>
              <w:t>306</w:t>
            </w:r>
          </w:p>
        </w:tc>
        <w:tc>
          <w:tcPr>
            <w:tcW w:w="13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54EEE6" w14:textId="77777777" w:rsidR="00CA21A3" w:rsidRPr="002D6C29" w:rsidRDefault="00CA21A3" w:rsidP="00AA6CC6">
            <w:pPr>
              <w:spacing w:after="0" w:line="240" w:lineRule="auto"/>
              <w:jc w:val="center"/>
              <w:rPr>
                <w:rFonts w:ascii="Arial" w:hAnsi="Arial" w:cs="Arial"/>
              </w:rPr>
            </w:pPr>
            <w:r>
              <w:rPr>
                <w:rFonts w:ascii="Arial" w:hAnsi="Arial" w:cs="Arial"/>
              </w:rPr>
              <w:t>39,</w:t>
            </w:r>
            <w:r w:rsidR="00BB2FE0">
              <w:rPr>
                <w:rFonts w:ascii="Arial" w:hAnsi="Arial" w:cs="Arial"/>
              </w:rPr>
              <w:t>38</w:t>
            </w:r>
            <w:r>
              <w:rPr>
                <w:rFonts w:ascii="Arial" w:hAnsi="Arial" w:cs="Arial"/>
              </w:rPr>
              <w:t>3</w:t>
            </w:r>
          </w:p>
        </w:tc>
      </w:tr>
      <w:tr w:rsidR="002957B0" w:rsidRPr="002D6C29" w14:paraId="04AE7D37" w14:textId="77777777" w:rsidTr="00DA76B8">
        <w:trPr>
          <w:cantSplit/>
          <w:trHeight w:val="482"/>
        </w:trPr>
        <w:tc>
          <w:tcPr>
            <w:tcW w:w="3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4B605C" w14:textId="77777777" w:rsidR="002957B0" w:rsidRPr="002D6C29" w:rsidRDefault="002957B0" w:rsidP="00AA6CC6">
            <w:pPr>
              <w:spacing w:after="0" w:line="240" w:lineRule="auto"/>
              <w:rPr>
                <w:rFonts w:ascii="Arial" w:hAnsi="Arial" w:cs="Arial"/>
              </w:rPr>
            </w:pPr>
            <w:r w:rsidRPr="002D6C29">
              <w:rPr>
                <w:rFonts w:ascii="Arial" w:hAnsi="Arial" w:cs="Arial"/>
              </w:rPr>
              <w:lastRenderedPageBreak/>
              <w:t xml:space="preserve">Shortfall/ surplus </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BC722D" w14:textId="77777777" w:rsidR="002957B0" w:rsidRPr="002D6C29" w:rsidRDefault="00CA21A3" w:rsidP="00AA6CC6">
            <w:pPr>
              <w:spacing w:after="0" w:line="240" w:lineRule="auto"/>
              <w:jc w:val="center"/>
              <w:rPr>
                <w:rFonts w:ascii="Arial" w:hAnsi="Arial" w:cs="Arial"/>
              </w:rPr>
            </w:pPr>
            <w:r>
              <w:rPr>
                <w:rFonts w:ascii="Arial" w:hAnsi="Arial" w:cs="Arial"/>
                <w:color w:val="FF0000"/>
              </w:rPr>
              <w:t>-14,936</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75107F" w14:textId="77777777" w:rsidR="002957B0" w:rsidRPr="002D6C29" w:rsidRDefault="00CA21A3" w:rsidP="00AA6CC6">
            <w:pPr>
              <w:spacing w:after="0" w:line="240" w:lineRule="auto"/>
              <w:jc w:val="center"/>
              <w:rPr>
                <w:rFonts w:ascii="Arial" w:hAnsi="Arial" w:cs="Arial"/>
                <w:color w:val="FF0000"/>
              </w:rPr>
            </w:pPr>
            <w:r w:rsidRPr="00CA21A3">
              <w:rPr>
                <w:rFonts w:ascii="Arial" w:hAnsi="Arial" w:cs="Arial"/>
                <w:color w:val="4472C4"/>
              </w:rPr>
              <w:t>8</w:t>
            </w:r>
            <w:r w:rsidR="005D21E2">
              <w:rPr>
                <w:rFonts w:ascii="Arial" w:hAnsi="Arial" w:cs="Arial"/>
                <w:color w:val="4472C4"/>
              </w:rPr>
              <w:t>1</w:t>
            </w:r>
            <w:r w:rsidRPr="00CA21A3">
              <w:rPr>
                <w:rFonts w:ascii="Arial" w:hAnsi="Arial" w:cs="Arial"/>
                <w:color w:val="4472C4"/>
              </w:rPr>
              <w:t>3</w:t>
            </w:r>
          </w:p>
        </w:tc>
        <w:tc>
          <w:tcPr>
            <w:tcW w:w="13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06C468" w14:textId="77777777" w:rsidR="002957B0" w:rsidRPr="002D6C29" w:rsidRDefault="00CA21A3" w:rsidP="00AA6CC6">
            <w:pPr>
              <w:spacing w:after="0" w:line="240" w:lineRule="auto"/>
              <w:jc w:val="center"/>
              <w:rPr>
                <w:rFonts w:ascii="Arial" w:hAnsi="Arial" w:cs="Arial"/>
                <w:color w:val="FF0000"/>
              </w:rPr>
            </w:pPr>
            <w:r w:rsidRPr="00CA21A3">
              <w:rPr>
                <w:rFonts w:ascii="Arial" w:hAnsi="Arial" w:cs="Arial"/>
                <w:color w:val="4472C4"/>
              </w:rPr>
              <w:t>30</w:t>
            </w:r>
          </w:p>
        </w:tc>
        <w:tc>
          <w:tcPr>
            <w:tcW w:w="13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A9B5C1" w14:textId="77777777" w:rsidR="002957B0" w:rsidRPr="002D6C29" w:rsidRDefault="00CA21A3" w:rsidP="00AA6CC6">
            <w:pPr>
              <w:spacing w:after="0" w:line="240" w:lineRule="auto"/>
              <w:jc w:val="center"/>
              <w:rPr>
                <w:rFonts w:ascii="Arial" w:hAnsi="Arial" w:cs="Arial"/>
                <w:color w:val="FF0000"/>
              </w:rPr>
            </w:pPr>
            <w:r>
              <w:rPr>
                <w:rFonts w:ascii="Arial" w:hAnsi="Arial" w:cs="Arial"/>
                <w:color w:val="FF0000"/>
              </w:rPr>
              <w:t>-14,0</w:t>
            </w:r>
            <w:r w:rsidR="005D21E2">
              <w:rPr>
                <w:rFonts w:ascii="Arial" w:hAnsi="Arial" w:cs="Arial"/>
                <w:color w:val="FF0000"/>
              </w:rPr>
              <w:t>9</w:t>
            </w:r>
            <w:r>
              <w:rPr>
                <w:rFonts w:ascii="Arial" w:hAnsi="Arial" w:cs="Arial"/>
                <w:color w:val="FF0000"/>
              </w:rPr>
              <w:t>3</w:t>
            </w:r>
          </w:p>
        </w:tc>
      </w:tr>
      <w:tr w:rsidR="00DA76B8" w:rsidRPr="002D6C29" w14:paraId="3566FAAF" w14:textId="77777777" w:rsidTr="00DA76B8">
        <w:trPr>
          <w:cantSplit/>
          <w:trHeight w:val="482"/>
        </w:trPr>
        <w:tc>
          <w:tcPr>
            <w:tcW w:w="3358" w:type="dxa"/>
            <w:tcBorders>
              <w:top w:val="single" w:sz="8" w:space="0" w:color="auto"/>
              <w:left w:val="single" w:sz="8" w:space="0" w:color="auto"/>
              <w:bottom w:val="single" w:sz="8" w:space="0" w:color="auto"/>
            </w:tcBorders>
            <w:noWrap/>
            <w:tcMar>
              <w:top w:w="0" w:type="dxa"/>
              <w:left w:w="108" w:type="dxa"/>
              <w:bottom w:w="0" w:type="dxa"/>
              <w:right w:w="108" w:type="dxa"/>
            </w:tcMar>
            <w:vAlign w:val="center"/>
            <w:hideMark/>
          </w:tcPr>
          <w:p w14:paraId="07F296BA" w14:textId="17C2721A" w:rsidR="00DA76B8" w:rsidRPr="00DA76B8" w:rsidRDefault="00DA76B8" w:rsidP="00775935">
            <w:pPr>
              <w:spacing w:after="0" w:line="240" w:lineRule="auto"/>
              <w:rPr>
                <w:rFonts w:ascii="Arial" w:hAnsi="Arial" w:cs="Arial"/>
                <w:b/>
                <w:bCs/>
              </w:rPr>
            </w:pPr>
            <w:r w:rsidRPr="002D6C29">
              <w:rPr>
                <w:rFonts w:ascii="Arial" w:hAnsi="Arial" w:cs="Arial"/>
                <w:b/>
                <w:bCs/>
              </w:rPr>
              <w:t xml:space="preserve">Scenario </w:t>
            </w:r>
            <w:r>
              <w:rPr>
                <w:rFonts w:ascii="Arial" w:hAnsi="Arial" w:cs="Arial"/>
                <w:b/>
                <w:bCs/>
              </w:rPr>
              <w:t>4</w:t>
            </w:r>
          </w:p>
        </w:tc>
        <w:tc>
          <w:tcPr>
            <w:tcW w:w="1543" w:type="dxa"/>
            <w:tcBorders>
              <w:top w:val="single" w:sz="8" w:space="0" w:color="auto"/>
              <w:bottom w:val="single" w:sz="8" w:space="0" w:color="auto"/>
            </w:tcBorders>
            <w:noWrap/>
            <w:tcMar>
              <w:top w:w="0" w:type="dxa"/>
              <w:left w:w="108" w:type="dxa"/>
              <w:bottom w:w="0" w:type="dxa"/>
              <w:right w:w="108" w:type="dxa"/>
            </w:tcMar>
            <w:vAlign w:val="center"/>
            <w:hideMark/>
          </w:tcPr>
          <w:p w14:paraId="008D188B" w14:textId="77777777" w:rsidR="00DA76B8" w:rsidRPr="00DA76B8" w:rsidRDefault="00DA76B8" w:rsidP="00775935">
            <w:pPr>
              <w:spacing w:after="0" w:line="240" w:lineRule="auto"/>
              <w:jc w:val="center"/>
              <w:rPr>
                <w:rFonts w:ascii="Arial" w:hAnsi="Arial" w:cs="Arial"/>
                <w:b/>
                <w:bCs/>
              </w:rPr>
            </w:pPr>
          </w:p>
        </w:tc>
        <w:tc>
          <w:tcPr>
            <w:tcW w:w="1543" w:type="dxa"/>
            <w:tcBorders>
              <w:top w:val="single" w:sz="8" w:space="0" w:color="auto"/>
              <w:bottom w:val="single" w:sz="8" w:space="0" w:color="auto"/>
            </w:tcBorders>
            <w:noWrap/>
            <w:tcMar>
              <w:top w:w="0" w:type="dxa"/>
              <w:left w:w="108" w:type="dxa"/>
              <w:bottom w:w="0" w:type="dxa"/>
              <w:right w:w="108" w:type="dxa"/>
            </w:tcMar>
            <w:vAlign w:val="center"/>
            <w:hideMark/>
          </w:tcPr>
          <w:p w14:paraId="3FF33E19" w14:textId="77777777" w:rsidR="00DA76B8" w:rsidRPr="00DA76B8" w:rsidRDefault="00DA76B8" w:rsidP="00775935">
            <w:pPr>
              <w:spacing w:after="0" w:line="240" w:lineRule="auto"/>
              <w:jc w:val="center"/>
              <w:rPr>
                <w:rFonts w:ascii="Arial" w:eastAsia="Times New Roman" w:hAnsi="Arial" w:cs="Arial"/>
                <w:lang w:eastAsia="en-GB"/>
              </w:rPr>
            </w:pPr>
          </w:p>
        </w:tc>
        <w:tc>
          <w:tcPr>
            <w:tcW w:w="1353" w:type="dxa"/>
            <w:tcBorders>
              <w:top w:val="single" w:sz="8" w:space="0" w:color="auto"/>
              <w:bottom w:val="single" w:sz="8" w:space="0" w:color="auto"/>
            </w:tcBorders>
            <w:noWrap/>
            <w:tcMar>
              <w:top w:w="0" w:type="dxa"/>
              <w:left w:w="108" w:type="dxa"/>
              <w:bottom w:w="0" w:type="dxa"/>
              <w:right w:w="108" w:type="dxa"/>
            </w:tcMar>
            <w:vAlign w:val="center"/>
            <w:hideMark/>
          </w:tcPr>
          <w:p w14:paraId="71A2285C" w14:textId="77777777" w:rsidR="00DA76B8" w:rsidRPr="00DA76B8" w:rsidRDefault="00DA76B8" w:rsidP="00775935">
            <w:pPr>
              <w:spacing w:after="0" w:line="240" w:lineRule="auto"/>
              <w:jc w:val="center"/>
              <w:rPr>
                <w:rFonts w:ascii="Arial" w:eastAsia="Times New Roman" w:hAnsi="Arial" w:cs="Arial"/>
                <w:lang w:eastAsia="en-GB"/>
              </w:rPr>
            </w:pPr>
          </w:p>
        </w:tc>
        <w:tc>
          <w:tcPr>
            <w:tcW w:w="1359" w:type="dxa"/>
            <w:tcBorders>
              <w:top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4F35093" w14:textId="77777777" w:rsidR="00DA76B8" w:rsidRPr="00DA76B8" w:rsidRDefault="00DA76B8" w:rsidP="00775935">
            <w:pPr>
              <w:spacing w:after="0" w:line="240" w:lineRule="auto"/>
              <w:jc w:val="center"/>
              <w:rPr>
                <w:rFonts w:ascii="Arial" w:eastAsia="Times New Roman" w:hAnsi="Arial" w:cs="Arial"/>
                <w:lang w:eastAsia="en-GB"/>
              </w:rPr>
            </w:pPr>
          </w:p>
        </w:tc>
      </w:tr>
      <w:tr w:rsidR="006A17A6" w:rsidRPr="002D6C29" w14:paraId="1618793D" w14:textId="77777777" w:rsidTr="00DA76B8">
        <w:trPr>
          <w:cantSplit/>
          <w:trHeight w:val="482"/>
        </w:trPr>
        <w:tc>
          <w:tcPr>
            <w:tcW w:w="3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7F0BB6C" w14:textId="77777777" w:rsidR="006A17A6" w:rsidRPr="002D6C29" w:rsidRDefault="006A17A6" w:rsidP="00AA6CC6">
            <w:pPr>
              <w:spacing w:after="0" w:line="240" w:lineRule="auto"/>
              <w:rPr>
                <w:rFonts w:ascii="Arial" w:hAnsi="Arial" w:cs="Arial"/>
              </w:rPr>
            </w:pPr>
            <w:r w:rsidRPr="002D6C29">
              <w:rPr>
                <w:rFonts w:ascii="Arial" w:hAnsi="Arial" w:cs="Arial"/>
              </w:rPr>
              <w:t>Potential future demand</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52D24F" w14:textId="77777777" w:rsidR="006A17A6" w:rsidRPr="002D6C29" w:rsidRDefault="006A17A6" w:rsidP="00AA6CC6">
            <w:pPr>
              <w:spacing w:after="0" w:line="240" w:lineRule="auto"/>
              <w:jc w:val="center"/>
              <w:rPr>
                <w:rFonts w:ascii="Arial" w:hAnsi="Arial" w:cs="Arial"/>
              </w:rPr>
            </w:pPr>
            <w:r>
              <w:rPr>
                <w:rFonts w:ascii="Arial" w:hAnsi="Arial" w:cs="Arial"/>
              </w:rPr>
              <w:t>26,184</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5B03C1" w14:textId="77777777" w:rsidR="006A17A6" w:rsidRPr="002D6C29" w:rsidRDefault="006A17A6" w:rsidP="00AA6CC6">
            <w:pPr>
              <w:spacing w:after="0" w:line="240" w:lineRule="auto"/>
              <w:jc w:val="center"/>
              <w:rPr>
                <w:rFonts w:ascii="Arial" w:hAnsi="Arial" w:cs="Arial"/>
              </w:rPr>
            </w:pPr>
            <w:r>
              <w:rPr>
                <w:rFonts w:ascii="Arial" w:hAnsi="Arial" w:cs="Arial"/>
              </w:rPr>
              <w:t>27,016</w:t>
            </w:r>
          </w:p>
        </w:tc>
        <w:tc>
          <w:tcPr>
            <w:tcW w:w="13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ABE1E5" w14:textId="77777777" w:rsidR="006A17A6" w:rsidRPr="002D6C29" w:rsidRDefault="006A17A6" w:rsidP="00AA6CC6">
            <w:pPr>
              <w:spacing w:after="0" w:line="240" w:lineRule="auto"/>
              <w:jc w:val="center"/>
              <w:rPr>
                <w:rFonts w:ascii="Arial" w:hAnsi="Arial" w:cs="Arial"/>
              </w:rPr>
            </w:pPr>
            <w:r>
              <w:rPr>
                <w:rFonts w:ascii="Arial" w:hAnsi="Arial" w:cs="Arial"/>
              </w:rPr>
              <w:t>276</w:t>
            </w:r>
          </w:p>
        </w:tc>
        <w:tc>
          <w:tcPr>
            <w:tcW w:w="13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0605C7" w14:textId="77777777" w:rsidR="006A17A6" w:rsidRPr="002D6C29" w:rsidRDefault="006A17A6" w:rsidP="00AA6CC6">
            <w:pPr>
              <w:spacing w:after="0" w:line="240" w:lineRule="auto"/>
              <w:jc w:val="center"/>
              <w:rPr>
                <w:rFonts w:ascii="Arial" w:hAnsi="Arial" w:cs="Arial"/>
              </w:rPr>
            </w:pPr>
            <w:r>
              <w:rPr>
                <w:rFonts w:ascii="Arial" w:hAnsi="Arial" w:cs="Arial"/>
              </w:rPr>
              <w:t>53,476</w:t>
            </w:r>
          </w:p>
        </w:tc>
      </w:tr>
      <w:tr w:rsidR="002957B0" w:rsidRPr="002D6C29" w14:paraId="5458B867" w14:textId="77777777" w:rsidTr="00DA76B8">
        <w:trPr>
          <w:cantSplit/>
          <w:trHeight w:val="482"/>
        </w:trPr>
        <w:tc>
          <w:tcPr>
            <w:tcW w:w="3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3EFD9C0" w14:textId="77777777" w:rsidR="002957B0" w:rsidRPr="002D6C29" w:rsidRDefault="002957B0" w:rsidP="00AA6CC6">
            <w:pPr>
              <w:spacing w:after="0" w:line="240" w:lineRule="auto"/>
              <w:rPr>
                <w:rFonts w:ascii="Arial" w:hAnsi="Arial" w:cs="Arial"/>
              </w:rPr>
            </w:pPr>
            <w:r w:rsidRPr="002D6C29">
              <w:rPr>
                <w:rFonts w:ascii="Arial" w:hAnsi="Arial" w:cs="Arial"/>
              </w:rPr>
              <w:t>Existing + Committed supply + Current applications + HMOs</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16441" w14:textId="77777777" w:rsidR="002957B0" w:rsidRPr="002D6C29" w:rsidRDefault="006A17A6" w:rsidP="00AA6CC6">
            <w:pPr>
              <w:spacing w:after="0" w:line="240" w:lineRule="auto"/>
              <w:jc w:val="center"/>
              <w:rPr>
                <w:rFonts w:ascii="Arial" w:hAnsi="Arial" w:cs="Arial"/>
              </w:rPr>
            </w:pPr>
            <w:r>
              <w:rPr>
                <w:rFonts w:ascii="Arial" w:hAnsi="Arial" w:cs="Arial"/>
              </w:rPr>
              <w:t>25,727</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EFF2B8" w14:textId="77777777" w:rsidR="002957B0" w:rsidRPr="002D6C29" w:rsidRDefault="006A17A6" w:rsidP="00AA6CC6">
            <w:pPr>
              <w:spacing w:after="0" w:line="240" w:lineRule="auto"/>
              <w:jc w:val="center"/>
              <w:rPr>
                <w:rFonts w:ascii="Arial" w:hAnsi="Arial" w:cs="Arial"/>
              </w:rPr>
            </w:pPr>
            <w:r>
              <w:rPr>
                <w:rFonts w:ascii="Arial" w:hAnsi="Arial" w:cs="Arial"/>
              </w:rPr>
              <w:t>39,1</w:t>
            </w:r>
            <w:r w:rsidR="005D21E2">
              <w:rPr>
                <w:rFonts w:ascii="Arial" w:hAnsi="Arial" w:cs="Arial"/>
              </w:rPr>
              <w:t>4</w:t>
            </w:r>
            <w:r>
              <w:rPr>
                <w:rFonts w:ascii="Arial" w:hAnsi="Arial" w:cs="Arial"/>
              </w:rPr>
              <w:t>8</w:t>
            </w:r>
          </w:p>
        </w:tc>
        <w:tc>
          <w:tcPr>
            <w:tcW w:w="13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3F6645" w14:textId="77777777" w:rsidR="002957B0" w:rsidRPr="002D6C29" w:rsidRDefault="006A17A6" w:rsidP="00AA6CC6">
            <w:pPr>
              <w:spacing w:after="0" w:line="240" w:lineRule="auto"/>
              <w:jc w:val="center"/>
              <w:rPr>
                <w:rFonts w:ascii="Arial" w:hAnsi="Arial" w:cs="Arial"/>
              </w:rPr>
            </w:pPr>
            <w:r>
              <w:rPr>
                <w:rFonts w:ascii="Arial" w:hAnsi="Arial" w:cs="Arial"/>
              </w:rPr>
              <w:t>311</w:t>
            </w:r>
          </w:p>
        </w:tc>
        <w:tc>
          <w:tcPr>
            <w:tcW w:w="13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432E6C" w14:textId="77777777" w:rsidR="002957B0" w:rsidRPr="002D6C29" w:rsidRDefault="006A17A6" w:rsidP="00AA6CC6">
            <w:pPr>
              <w:spacing w:after="0" w:line="240" w:lineRule="auto"/>
              <w:jc w:val="center"/>
              <w:rPr>
                <w:rFonts w:ascii="Arial" w:hAnsi="Arial" w:cs="Arial"/>
              </w:rPr>
            </w:pPr>
            <w:r>
              <w:rPr>
                <w:rFonts w:ascii="Arial" w:hAnsi="Arial" w:cs="Arial"/>
              </w:rPr>
              <w:t>65,</w:t>
            </w:r>
            <w:r w:rsidR="005D21E2">
              <w:rPr>
                <w:rFonts w:ascii="Arial" w:hAnsi="Arial" w:cs="Arial"/>
              </w:rPr>
              <w:t>185</w:t>
            </w:r>
          </w:p>
        </w:tc>
      </w:tr>
      <w:tr w:rsidR="002957B0" w:rsidRPr="002D6C29" w14:paraId="2265535B" w14:textId="77777777" w:rsidTr="00DA76B8">
        <w:trPr>
          <w:cantSplit/>
          <w:trHeight w:val="482"/>
        </w:trPr>
        <w:tc>
          <w:tcPr>
            <w:tcW w:w="3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A73915" w14:textId="77777777" w:rsidR="002957B0" w:rsidRPr="002D6C29" w:rsidRDefault="002957B0" w:rsidP="00AA6CC6">
            <w:pPr>
              <w:spacing w:after="0" w:line="240" w:lineRule="auto"/>
              <w:rPr>
                <w:rFonts w:ascii="Arial" w:hAnsi="Arial" w:cs="Arial"/>
              </w:rPr>
            </w:pPr>
            <w:r w:rsidRPr="002D6C29">
              <w:rPr>
                <w:rFonts w:ascii="Arial" w:hAnsi="Arial" w:cs="Arial"/>
              </w:rPr>
              <w:t xml:space="preserve">Shortfall/ surplus </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45C986" w14:textId="77777777" w:rsidR="002957B0" w:rsidRPr="00E348E3" w:rsidRDefault="006A17A6" w:rsidP="00AA6CC6">
            <w:pPr>
              <w:spacing w:after="0" w:line="240" w:lineRule="auto"/>
              <w:jc w:val="center"/>
              <w:rPr>
                <w:rFonts w:ascii="Arial" w:hAnsi="Arial" w:cs="Arial"/>
                <w:color w:val="4472C4"/>
              </w:rPr>
            </w:pPr>
            <w:r w:rsidRPr="00E348E3">
              <w:rPr>
                <w:rFonts w:ascii="Arial" w:hAnsi="Arial" w:cs="Arial"/>
                <w:color w:val="4472C4"/>
              </w:rPr>
              <w:t>14,021</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50ECEE" w14:textId="77777777" w:rsidR="002957B0" w:rsidRPr="006A17A6" w:rsidRDefault="006A17A6" w:rsidP="00AA6CC6">
            <w:pPr>
              <w:spacing w:after="0" w:line="240" w:lineRule="auto"/>
              <w:jc w:val="center"/>
              <w:rPr>
                <w:rFonts w:ascii="Arial" w:hAnsi="Arial" w:cs="Arial"/>
                <w:color w:val="4472C4"/>
              </w:rPr>
            </w:pPr>
            <w:r w:rsidRPr="006A17A6">
              <w:rPr>
                <w:rFonts w:ascii="Arial" w:hAnsi="Arial" w:cs="Arial"/>
                <w:color w:val="4472C4"/>
              </w:rPr>
              <w:t>23,4</w:t>
            </w:r>
            <w:r w:rsidR="005D21E2">
              <w:rPr>
                <w:rFonts w:ascii="Arial" w:hAnsi="Arial" w:cs="Arial"/>
                <w:color w:val="4472C4"/>
              </w:rPr>
              <w:t>5</w:t>
            </w:r>
            <w:r w:rsidRPr="006A17A6">
              <w:rPr>
                <w:rFonts w:ascii="Arial" w:hAnsi="Arial" w:cs="Arial"/>
                <w:color w:val="4472C4"/>
              </w:rPr>
              <w:t>1</w:t>
            </w:r>
          </w:p>
        </w:tc>
        <w:tc>
          <w:tcPr>
            <w:tcW w:w="13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9E125F" w14:textId="77777777" w:rsidR="002957B0" w:rsidRPr="006A17A6" w:rsidRDefault="006A17A6" w:rsidP="00AA6CC6">
            <w:pPr>
              <w:spacing w:after="0" w:line="240" w:lineRule="auto"/>
              <w:jc w:val="center"/>
              <w:rPr>
                <w:rFonts w:ascii="Arial" w:hAnsi="Arial" w:cs="Arial"/>
                <w:color w:val="4472C4"/>
              </w:rPr>
            </w:pPr>
            <w:r w:rsidRPr="006A17A6">
              <w:rPr>
                <w:rFonts w:ascii="Arial" w:hAnsi="Arial" w:cs="Arial"/>
                <w:color w:val="4472C4"/>
              </w:rPr>
              <w:t>40</w:t>
            </w:r>
          </w:p>
        </w:tc>
        <w:tc>
          <w:tcPr>
            <w:tcW w:w="13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338AEC" w14:textId="77777777" w:rsidR="002957B0" w:rsidRPr="006A17A6" w:rsidRDefault="006A17A6" w:rsidP="00AA6CC6">
            <w:pPr>
              <w:spacing w:after="0" w:line="240" w:lineRule="auto"/>
              <w:jc w:val="center"/>
              <w:rPr>
                <w:rFonts w:ascii="Arial" w:hAnsi="Arial" w:cs="Arial"/>
                <w:color w:val="4472C4"/>
              </w:rPr>
            </w:pPr>
            <w:r w:rsidRPr="006A17A6">
              <w:rPr>
                <w:rFonts w:ascii="Arial" w:hAnsi="Arial" w:cs="Arial"/>
                <w:color w:val="4472C4"/>
              </w:rPr>
              <w:t>37,5</w:t>
            </w:r>
            <w:r w:rsidR="005D21E2">
              <w:rPr>
                <w:rFonts w:ascii="Arial" w:hAnsi="Arial" w:cs="Arial"/>
                <w:color w:val="4472C4"/>
              </w:rPr>
              <w:t>1</w:t>
            </w:r>
            <w:r w:rsidRPr="006A17A6">
              <w:rPr>
                <w:rFonts w:ascii="Arial" w:hAnsi="Arial" w:cs="Arial"/>
                <w:color w:val="4472C4"/>
              </w:rPr>
              <w:t>1</w:t>
            </w:r>
          </w:p>
        </w:tc>
      </w:tr>
    </w:tbl>
    <w:p w14:paraId="243B98CF" w14:textId="77777777" w:rsidR="00846053" w:rsidRPr="002D6C29" w:rsidRDefault="00846053" w:rsidP="002D6C29">
      <w:pPr>
        <w:pStyle w:val="ListParagraph"/>
        <w:spacing w:after="0" w:line="240" w:lineRule="auto"/>
        <w:ind w:left="0"/>
        <w:jc w:val="both"/>
        <w:rPr>
          <w:rFonts w:cs="Arial"/>
          <w:sz w:val="22"/>
        </w:rPr>
      </w:pPr>
    </w:p>
    <w:p w14:paraId="1D62135F" w14:textId="77777777" w:rsidR="0052515A" w:rsidRPr="00BE442B" w:rsidRDefault="0052515A" w:rsidP="00E95E77">
      <w:pPr>
        <w:pStyle w:val="Heading1"/>
        <w:ind w:firstLine="426"/>
      </w:pPr>
      <w:r w:rsidRPr="00BE442B">
        <w:t>Conclusions</w:t>
      </w:r>
    </w:p>
    <w:p w14:paraId="568DD2A4" w14:textId="77777777" w:rsidR="0052515A" w:rsidRPr="002D6C29" w:rsidRDefault="0052515A" w:rsidP="002D6C29">
      <w:pPr>
        <w:pStyle w:val="ListParagraph"/>
        <w:spacing w:after="0" w:line="240" w:lineRule="auto"/>
        <w:ind w:hanging="720"/>
        <w:jc w:val="both"/>
        <w:rPr>
          <w:rFonts w:cs="Arial"/>
          <w:sz w:val="22"/>
        </w:rPr>
      </w:pPr>
    </w:p>
    <w:p w14:paraId="19D6C116" w14:textId="0DEC6845" w:rsidR="002A1235" w:rsidRPr="00E95E77" w:rsidRDefault="002A1235" w:rsidP="00E95E77">
      <w:pPr>
        <w:pStyle w:val="ListParagraph"/>
        <w:numPr>
          <w:ilvl w:val="0"/>
          <w:numId w:val="14"/>
        </w:numPr>
        <w:spacing w:after="0" w:line="240" w:lineRule="auto"/>
        <w:ind w:left="426" w:hanging="426"/>
        <w:jc w:val="both"/>
        <w:rPr>
          <w:rFonts w:cs="Arial"/>
          <w:bCs/>
          <w:sz w:val="22"/>
        </w:rPr>
      </w:pPr>
      <w:r w:rsidRPr="00E95E77">
        <w:rPr>
          <w:rFonts w:cs="Arial"/>
          <w:bCs/>
          <w:sz w:val="22"/>
        </w:rPr>
        <w:t xml:space="preserve">Selly Oak/ Edgbaston </w:t>
      </w:r>
      <w:r w:rsidR="00743B24" w:rsidRPr="00E95E77">
        <w:rPr>
          <w:rFonts w:cs="Arial"/>
          <w:bCs/>
          <w:sz w:val="22"/>
        </w:rPr>
        <w:t>–</w:t>
      </w:r>
      <w:r w:rsidRPr="00E95E77">
        <w:rPr>
          <w:rFonts w:cs="Arial"/>
          <w:bCs/>
          <w:sz w:val="22"/>
        </w:rPr>
        <w:t xml:space="preserve"> </w:t>
      </w:r>
      <w:r w:rsidR="00743B24" w:rsidRPr="00E95E77">
        <w:rPr>
          <w:rFonts w:cs="Arial"/>
          <w:bCs/>
          <w:sz w:val="22"/>
        </w:rPr>
        <w:t xml:space="preserve">has </w:t>
      </w:r>
      <w:r w:rsidR="000B35C5" w:rsidRPr="00E95E77">
        <w:rPr>
          <w:rFonts w:cs="Arial"/>
          <w:bCs/>
          <w:sz w:val="22"/>
        </w:rPr>
        <w:t xml:space="preserve">the </w:t>
      </w:r>
      <w:r w:rsidR="00DB4125" w:rsidRPr="00E95E77">
        <w:rPr>
          <w:rFonts w:cs="Arial"/>
          <w:bCs/>
          <w:sz w:val="22"/>
        </w:rPr>
        <w:t xml:space="preserve">largest </w:t>
      </w:r>
      <w:r w:rsidR="000B35C5" w:rsidRPr="00E95E77">
        <w:rPr>
          <w:rFonts w:cs="Arial"/>
          <w:bCs/>
          <w:sz w:val="22"/>
        </w:rPr>
        <w:t xml:space="preserve">shortfall in accommodation due to </w:t>
      </w:r>
      <w:r w:rsidR="008A5CDC" w:rsidRPr="00E95E77">
        <w:rPr>
          <w:rFonts w:cs="Arial"/>
          <w:bCs/>
          <w:sz w:val="22"/>
        </w:rPr>
        <w:t xml:space="preserve">current and future </w:t>
      </w:r>
      <w:r w:rsidR="000B35C5" w:rsidRPr="00E95E77">
        <w:rPr>
          <w:rFonts w:cs="Arial"/>
          <w:bCs/>
          <w:sz w:val="22"/>
        </w:rPr>
        <w:t>unmet demand aris</w:t>
      </w:r>
      <w:r w:rsidR="00B84A84" w:rsidRPr="00E95E77">
        <w:rPr>
          <w:rFonts w:cs="Arial"/>
          <w:bCs/>
          <w:sz w:val="22"/>
        </w:rPr>
        <w:t>es</w:t>
      </w:r>
      <w:r w:rsidR="000B35C5" w:rsidRPr="00E95E77">
        <w:rPr>
          <w:rFonts w:cs="Arial"/>
          <w:bCs/>
          <w:sz w:val="22"/>
        </w:rPr>
        <w:t xml:space="preserve"> from the University of Birmingham.</w:t>
      </w:r>
      <w:r w:rsidRPr="00E95E77">
        <w:rPr>
          <w:rFonts w:cs="Arial"/>
          <w:bCs/>
          <w:sz w:val="22"/>
        </w:rPr>
        <w:t xml:space="preserve"> </w:t>
      </w:r>
      <w:r w:rsidR="00595225" w:rsidRPr="00E95E77">
        <w:rPr>
          <w:rFonts w:cs="Arial"/>
          <w:bCs/>
          <w:sz w:val="22"/>
        </w:rPr>
        <w:t xml:space="preserve">There are </w:t>
      </w:r>
      <w:r w:rsidR="00CA039A" w:rsidRPr="00E95E77">
        <w:rPr>
          <w:rFonts w:cs="Arial"/>
          <w:bCs/>
          <w:sz w:val="22"/>
        </w:rPr>
        <w:t xml:space="preserve">just over </w:t>
      </w:r>
      <w:r w:rsidR="00DF3FAF" w:rsidRPr="00E95E77">
        <w:rPr>
          <w:rFonts w:cs="Arial"/>
          <w:bCs/>
          <w:sz w:val="22"/>
        </w:rPr>
        <w:t>8,</w:t>
      </w:r>
      <w:r w:rsidR="00CA039A" w:rsidRPr="00E95E77">
        <w:rPr>
          <w:rFonts w:cs="Arial"/>
          <w:bCs/>
          <w:sz w:val="22"/>
        </w:rPr>
        <w:t>800</w:t>
      </w:r>
      <w:r w:rsidR="008A5CDC" w:rsidRPr="00E95E77">
        <w:rPr>
          <w:rFonts w:cs="Arial"/>
          <w:bCs/>
          <w:sz w:val="22"/>
        </w:rPr>
        <w:t xml:space="preserve"> </w:t>
      </w:r>
      <w:r w:rsidR="00595225" w:rsidRPr="00E95E77">
        <w:rPr>
          <w:rFonts w:cs="Arial"/>
          <w:bCs/>
          <w:sz w:val="22"/>
        </w:rPr>
        <w:t>existing</w:t>
      </w:r>
      <w:r w:rsidR="00FF2721" w:rsidRPr="00E95E77">
        <w:rPr>
          <w:rFonts w:cs="Arial"/>
          <w:bCs/>
          <w:sz w:val="22"/>
        </w:rPr>
        <w:t xml:space="preserve"> </w:t>
      </w:r>
      <w:r w:rsidR="008A5CDC" w:rsidRPr="00E95E77">
        <w:rPr>
          <w:rFonts w:cs="Arial"/>
          <w:bCs/>
          <w:sz w:val="22"/>
        </w:rPr>
        <w:t xml:space="preserve">PBSA </w:t>
      </w:r>
      <w:r w:rsidR="00595225" w:rsidRPr="00E95E77">
        <w:rPr>
          <w:rFonts w:cs="Arial"/>
          <w:bCs/>
          <w:sz w:val="22"/>
        </w:rPr>
        <w:t xml:space="preserve">bedspaces </w:t>
      </w:r>
      <w:r w:rsidR="008A5CDC" w:rsidRPr="00E95E77">
        <w:rPr>
          <w:rFonts w:cs="Arial"/>
          <w:bCs/>
          <w:sz w:val="22"/>
        </w:rPr>
        <w:t xml:space="preserve">(private and University-owned) </w:t>
      </w:r>
      <w:r w:rsidR="00595225" w:rsidRPr="00E95E77">
        <w:rPr>
          <w:rFonts w:cs="Arial"/>
          <w:bCs/>
          <w:sz w:val="22"/>
        </w:rPr>
        <w:t>in the Selly Oak/ Edgbaston area</w:t>
      </w:r>
      <w:r w:rsidR="00CA039A" w:rsidRPr="00E95E77">
        <w:rPr>
          <w:rFonts w:cs="Arial"/>
          <w:bCs/>
          <w:sz w:val="22"/>
        </w:rPr>
        <w:t>, 752 under construction</w:t>
      </w:r>
      <w:r w:rsidR="00595225" w:rsidRPr="00E95E77">
        <w:rPr>
          <w:rFonts w:cs="Arial"/>
          <w:bCs/>
          <w:sz w:val="22"/>
        </w:rPr>
        <w:t xml:space="preserve"> and </w:t>
      </w:r>
      <w:r w:rsidR="002D2C57" w:rsidRPr="00E95E77">
        <w:rPr>
          <w:rFonts w:cs="Arial"/>
          <w:bCs/>
          <w:sz w:val="22"/>
        </w:rPr>
        <w:t>a further</w:t>
      </w:r>
      <w:r w:rsidR="001A48F6" w:rsidRPr="00E95E77">
        <w:rPr>
          <w:rFonts w:cs="Arial"/>
          <w:bCs/>
          <w:sz w:val="22"/>
        </w:rPr>
        <w:t xml:space="preserve"> </w:t>
      </w:r>
      <w:r w:rsidR="00CA039A" w:rsidRPr="00E95E77">
        <w:rPr>
          <w:rFonts w:cs="Arial"/>
          <w:bCs/>
          <w:sz w:val="22"/>
        </w:rPr>
        <w:t>1,692</w:t>
      </w:r>
      <w:r w:rsidR="008A5CDC" w:rsidRPr="00E95E77">
        <w:rPr>
          <w:rFonts w:cs="Arial"/>
          <w:bCs/>
          <w:sz w:val="22"/>
        </w:rPr>
        <w:t xml:space="preserve"> </w:t>
      </w:r>
      <w:r w:rsidR="00595225" w:rsidRPr="00E95E77">
        <w:rPr>
          <w:rFonts w:cs="Arial"/>
          <w:bCs/>
          <w:sz w:val="22"/>
        </w:rPr>
        <w:t>consented but not yet started</w:t>
      </w:r>
      <w:r w:rsidR="002D2C57" w:rsidRPr="00E95E77">
        <w:rPr>
          <w:rFonts w:cs="Arial"/>
          <w:bCs/>
          <w:sz w:val="22"/>
        </w:rPr>
        <w:t>,</w:t>
      </w:r>
      <w:r w:rsidR="00CA039A" w:rsidRPr="00E95E77">
        <w:rPr>
          <w:rFonts w:cs="Arial"/>
          <w:bCs/>
          <w:sz w:val="22"/>
        </w:rPr>
        <w:t xml:space="preserve"> totalling 11,249 bedspaces,</w:t>
      </w:r>
      <w:r w:rsidR="00595225" w:rsidRPr="00E95E77">
        <w:rPr>
          <w:rFonts w:cs="Arial"/>
          <w:bCs/>
          <w:sz w:val="22"/>
        </w:rPr>
        <w:t xml:space="preserve"> </w:t>
      </w:r>
      <w:r w:rsidR="00CA039A" w:rsidRPr="00E95E77">
        <w:rPr>
          <w:rFonts w:cs="Arial"/>
          <w:bCs/>
          <w:sz w:val="22"/>
        </w:rPr>
        <w:t xml:space="preserve">compared with </w:t>
      </w:r>
      <w:r w:rsidR="00B87C0F" w:rsidRPr="00E95E77">
        <w:rPr>
          <w:rFonts w:cs="Arial"/>
          <w:bCs/>
          <w:sz w:val="22"/>
        </w:rPr>
        <w:t xml:space="preserve">a current need of </w:t>
      </w:r>
      <w:r w:rsidR="00CA039A" w:rsidRPr="00E95E77">
        <w:rPr>
          <w:rFonts w:cs="Arial"/>
          <w:bCs/>
          <w:sz w:val="22"/>
        </w:rPr>
        <w:t>24,784</w:t>
      </w:r>
      <w:r w:rsidR="0061703E" w:rsidRPr="00E95E77">
        <w:rPr>
          <w:rFonts w:cs="Arial"/>
          <w:bCs/>
          <w:sz w:val="22"/>
        </w:rPr>
        <w:t xml:space="preserve"> </w:t>
      </w:r>
      <w:r w:rsidR="00B87C0F" w:rsidRPr="00E95E77">
        <w:rPr>
          <w:rFonts w:cs="Arial"/>
          <w:bCs/>
          <w:sz w:val="22"/>
        </w:rPr>
        <w:t xml:space="preserve">and future need of </w:t>
      </w:r>
      <w:r w:rsidR="00CA039A" w:rsidRPr="00E95E77">
        <w:rPr>
          <w:rFonts w:cs="Arial"/>
          <w:bCs/>
          <w:sz w:val="22"/>
        </w:rPr>
        <w:t>26,184</w:t>
      </w:r>
      <w:r w:rsidR="00B87C0F" w:rsidRPr="00E95E77">
        <w:rPr>
          <w:rFonts w:cs="Arial"/>
          <w:bCs/>
          <w:sz w:val="22"/>
        </w:rPr>
        <w:t xml:space="preserve"> </w:t>
      </w:r>
      <w:r w:rsidR="002D2C57" w:rsidRPr="00E95E77">
        <w:rPr>
          <w:rFonts w:cs="Arial"/>
          <w:bCs/>
          <w:sz w:val="22"/>
        </w:rPr>
        <w:t>bedspaces</w:t>
      </w:r>
      <w:r w:rsidR="00B87C0F" w:rsidRPr="00E95E77">
        <w:rPr>
          <w:rFonts w:cs="Arial"/>
          <w:bCs/>
          <w:sz w:val="22"/>
        </w:rPr>
        <w:t>.</w:t>
      </w:r>
    </w:p>
    <w:p w14:paraId="5EBA24DC" w14:textId="77777777" w:rsidR="0052515A" w:rsidRPr="00DF3FAF" w:rsidRDefault="0052515A" w:rsidP="002D6C29">
      <w:pPr>
        <w:pStyle w:val="ListParagraph"/>
        <w:spacing w:after="0" w:line="240" w:lineRule="auto"/>
        <w:ind w:left="0"/>
        <w:jc w:val="both"/>
        <w:rPr>
          <w:rFonts w:cs="Arial"/>
          <w:sz w:val="22"/>
        </w:rPr>
      </w:pPr>
    </w:p>
    <w:p w14:paraId="2624EAC8" w14:textId="66DCE0BF" w:rsidR="00803A4D" w:rsidRPr="002D6C29" w:rsidRDefault="002A1235" w:rsidP="00E95E77">
      <w:pPr>
        <w:pStyle w:val="ListParagraph"/>
        <w:numPr>
          <w:ilvl w:val="0"/>
          <w:numId w:val="14"/>
        </w:numPr>
        <w:spacing w:after="0" w:line="240" w:lineRule="auto"/>
        <w:ind w:left="426" w:hanging="426"/>
        <w:jc w:val="both"/>
        <w:rPr>
          <w:rFonts w:cs="Arial"/>
          <w:bCs/>
          <w:sz w:val="22"/>
        </w:rPr>
      </w:pPr>
      <w:r w:rsidRPr="00E95E77">
        <w:rPr>
          <w:rFonts w:cs="Arial"/>
          <w:bCs/>
          <w:sz w:val="22"/>
        </w:rPr>
        <w:t xml:space="preserve">City Centre – </w:t>
      </w:r>
      <w:r w:rsidR="00B84A84" w:rsidRPr="00E95E77">
        <w:rPr>
          <w:rFonts w:cs="Arial"/>
          <w:bCs/>
          <w:sz w:val="22"/>
        </w:rPr>
        <w:t xml:space="preserve">existing PBSA in the city centre is </w:t>
      </w:r>
      <w:r w:rsidR="00F409B5" w:rsidRPr="00E95E77">
        <w:rPr>
          <w:rFonts w:cs="Arial"/>
          <w:bCs/>
          <w:sz w:val="22"/>
        </w:rPr>
        <w:t>in</w:t>
      </w:r>
      <w:r w:rsidR="00B84A84" w:rsidRPr="00E95E77">
        <w:rPr>
          <w:rFonts w:cs="Arial"/>
          <w:bCs/>
          <w:sz w:val="22"/>
        </w:rPr>
        <w:t xml:space="preserve">sufficient to serve the existing level of need (Scenario 2) with </w:t>
      </w:r>
      <w:r w:rsidR="00CA039A" w:rsidRPr="00E95E77">
        <w:rPr>
          <w:rFonts w:cs="Arial"/>
          <w:bCs/>
          <w:sz w:val="22"/>
        </w:rPr>
        <w:t>a</w:t>
      </w:r>
      <w:r w:rsidR="00B84A84" w:rsidRPr="00E95E77">
        <w:rPr>
          <w:rFonts w:cs="Arial"/>
          <w:bCs/>
          <w:sz w:val="22"/>
        </w:rPr>
        <w:t xml:space="preserve"> deficit of around </w:t>
      </w:r>
      <w:r w:rsidR="00CA039A" w:rsidRPr="00E95E77">
        <w:rPr>
          <w:rFonts w:cs="Arial"/>
          <w:bCs/>
          <w:sz w:val="22"/>
        </w:rPr>
        <w:t xml:space="preserve">4,800 </w:t>
      </w:r>
      <w:r w:rsidR="00B84A84" w:rsidRPr="00E95E77">
        <w:rPr>
          <w:rFonts w:cs="Arial"/>
          <w:bCs/>
          <w:sz w:val="22"/>
        </w:rPr>
        <w:t>bedspaces.</w:t>
      </w:r>
      <w:r w:rsidR="00F409B5" w:rsidRPr="00E95E77">
        <w:rPr>
          <w:rFonts w:cs="Arial"/>
          <w:bCs/>
          <w:sz w:val="22"/>
        </w:rPr>
        <w:t xml:space="preserve"> This is a large increase on last year’s report due to much larger student numbers being recorded for the City Centre’s </w:t>
      </w:r>
      <w:r w:rsidR="008B25DE" w:rsidRPr="00E95E77">
        <w:rPr>
          <w:rFonts w:cs="Arial"/>
          <w:bCs/>
          <w:sz w:val="22"/>
        </w:rPr>
        <w:t xml:space="preserve">main </w:t>
      </w:r>
      <w:r w:rsidR="00F409B5" w:rsidRPr="00E95E77">
        <w:rPr>
          <w:rFonts w:cs="Arial"/>
          <w:bCs/>
          <w:sz w:val="22"/>
        </w:rPr>
        <w:t>universities in the HESA 2022/23 data.</w:t>
      </w:r>
      <w:r w:rsidR="00B84A84" w:rsidRPr="00E95E77">
        <w:rPr>
          <w:rFonts w:cs="Arial"/>
          <w:bCs/>
          <w:sz w:val="22"/>
        </w:rPr>
        <w:t xml:space="preserve"> </w:t>
      </w:r>
      <w:r w:rsidR="00F409B5" w:rsidRPr="00E95E77">
        <w:rPr>
          <w:rFonts w:cs="Arial"/>
          <w:bCs/>
          <w:sz w:val="22"/>
        </w:rPr>
        <w:t>This large increase</w:t>
      </w:r>
      <w:r w:rsidR="005D21E2" w:rsidRPr="00E95E77">
        <w:rPr>
          <w:rFonts w:cs="Arial"/>
          <w:bCs/>
          <w:sz w:val="22"/>
        </w:rPr>
        <w:t xml:space="preserve"> in demand</w:t>
      </w:r>
      <w:r w:rsidR="00F409B5" w:rsidRPr="00E95E77">
        <w:rPr>
          <w:rFonts w:cs="Arial"/>
          <w:bCs/>
          <w:sz w:val="22"/>
        </w:rPr>
        <w:t xml:space="preserve"> is also likely reflected by the increased number of planning applications for new PBSA development schemes being submitted in the City Centre in the past year. There are </w:t>
      </w:r>
      <w:r w:rsidR="005D21E2" w:rsidRPr="00E95E77">
        <w:rPr>
          <w:rFonts w:cs="Arial"/>
          <w:bCs/>
          <w:sz w:val="22"/>
        </w:rPr>
        <w:t>almost</w:t>
      </w:r>
      <w:r w:rsidR="00F409B5" w:rsidRPr="00E95E77">
        <w:rPr>
          <w:rFonts w:cs="Arial"/>
          <w:bCs/>
          <w:sz w:val="22"/>
        </w:rPr>
        <w:t xml:space="preserve"> 5,600 bedspaces across 10 individual </w:t>
      </w:r>
      <w:r w:rsidR="008B25DE" w:rsidRPr="00E95E77">
        <w:rPr>
          <w:rFonts w:cs="Arial"/>
          <w:bCs/>
          <w:sz w:val="22"/>
        </w:rPr>
        <w:t xml:space="preserve">planning applications currently being considered </w:t>
      </w:r>
      <w:r w:rsidR="00F409B5" w:rsidRPr="00E95E77">
        <w:rPr>
          <w:rFonts w:cs="Arial"/>
          <w:bCs/>
          <w:sz w:val="22"/>
        </w:rPr>
        <w:t>in the City Centre</w:t>
      </w:r>
      <w:r w:rsidR="008B25DE" w:rsidRPr="00E95E77">
        <w:rPr>
          <w:rFonts w:cs="Arial"/>
          <w:bCs/>
          <w:sz w:val="22"/>
        </w:rPr>
        <w:t xml:space="preserve"> (see Appendix 2)</w:t>
      </w:r>
      <w:r w:rsidR="00F409B5" w:rsidRPr="00E95E77">
        <w:rPr>
          <w:rFonts w:cs="Arial"/>
          <w:bCs/>
          <w:sz w:val="22"/>
        </w:rPr>
        <w:t xml:space="preserve">. If all of these were to be approved and </w:t>
      </w:r>
      <w:proofErr w:type="gramStart"/>
      <w:r w:rsidR="00F409B5" w:rsidRPr="00E95E77">
        <w:rPr>
          <w:rFonts w:cs="Arial"/>
          <w:bCs/>
          <w:sz w:val="22"/>
        </w:rPr>
        <w:t>implemented</w:t>
      </w:r>
      <w:proofErr w:type="gramEnd"/>
      <w:r w:rsidR="00F409B5" w:rsidRPr="00E95E77">
        <w:rPr>
          <w:rFonts w:cs="Arial"/>
          <w:bCs/>
          <w:sz w:val="22"/>
        </w:rPr>
        <w:t xml:space="preserve"> then there would be a surplus of 8</w:t>
      </w:r>
      <w:r w:rsidR="005D21E2" w:rsidRPr="00E95E77">
        <w:rPr>
          <w:rFonts w:cs="Arial"/>
          <w:bCs/>
          <w:sz w:val="22"/>
        </w:rPr>
        <w:t>1</w:t>
      </w:r>
      <w:r w:rsidR="00F409B5" w:rsidRPr="00E95E77">
        <w:rPr>
          <w:rFonts w:cs="Arial"/>
          <w:bCs/>
          <w:sz w:val="22"/>
        </w:rPr>
        <w:t xml:space="preserve">3 bedspaces when considered against the future demands resulting from the growth aspirations of the city’s main universities to 2028.  </w:t>
      </w:r>
    </w:p>
    <w:p w14:paraId="714FD2D8" w14:textId="77777777" w:rsidR="004C06DE" w:rsidRPr="002D6C29" w:rsidRDefault="004C06DE" w:rsidP="002D6C29">
      <w:pPr>
        <w:pStyle w:val="ListParagraph"/>
        <w:spacing w:after="0" w:line="240" w:lineRule="auto"/>
        <w:ind w:left="0"/>
        <w:jc w:val="both"/>
        <w:rPr>
          <w:rFonts w:cs="Arial"/>
          <w:sz w:val="22"/>
        </w:rPr>
      </w:pPr>
      <w:bookmarkStart w:id="2" w:name="_Hlk24211906"/>
    </w:p>
    <w:p w14:paraId="1E58A0A8" w14:textId="77777777" w:rsidR="00703D84" w:rsidRPr="00BE442B" w:rsidRDefault="00703D84" w:rsidP="00E95E77">
      <w:pPr>
        <w:pStyle w:val="Heading1"/>
        <w:ind w:firstLine="426"/>
      </w:pPr>
      <w:r w:rsidRPr="00BE442B">
        <w:t>Data limitation and assumptions</w:t>
      </w:r>
    </w:p>
    <w:p w14:paraId="49180DFE" w14:textId="77777777" w:rsidR="00703D84" w:rsidRPr="002D6C29" w:rsidRDefault="00703D84" w:rsidP="002D6C29">
      <w:pPr>
        <w:pStyle w:val="ListParagraph"/>
        <w:spacing w:after="0" w:line="240" w:lineRule="auto"/>
        <w:jc w:val="both"/>
        <w:rPr>
          <w:rFonts w:cs="Arial"/>
          <w:sz w:val="22"/>
        </w:rPr>
      </w:pPr>
    </w:p>
    <w:p w14:paraId="3ADDB59F" w14:textId="634445E3" w:rsidR="00B20C7C" w:rsidRPr="00E95E77" w:rsidRDefault="003D7E2D" w:rsidP="00E95E77">
      <w:pPr>
        <w:pStyle w:val="ListParagraph"/>
        <w:numPr>
          <w:ilvl w:val="0"/>
          <w:numId w:val="14"/>
        </w:numPr>
        <w:spacing w:after="0" w:line="240" w:lineRule="auto"/>
        <w:ind w:left="426" w:hanging="426"/>
        <w:jc w:val="both"/>
        <w:rPr>
          <w:rFonts w:cs="Arial"/>
          <w:bCs/>
          <w:sz w:val="22"/>
        </w:rPr>
      </w:pPr>
      <w:bookmarkStart w:id="3" w:name="_Hlk24210545"/>
      <w:bookmarkEnd w:id="2"/>
      <w:r w:rsidRPr="00E95E77">
        <w:rPr>
          <w:rFonts w:cs="Arial"/>
          <w:bCs/>
          <w:sz w:val="22"/>
        </w:rPr>
        <w:t xml:space="preserve">It </w:t>
      </w:r>
      <w:r w:rsidR="00703D84" w:rsidRPr="00E95E77">
        <w:rPr>
          <w:rFonts w:cs="Arial"/>
          <w:bCs/>
          <w:sz w:val="22"/>
        </w:rPr>
        <w:t>is important to note that</w:t>
      </w:r>
      <w:r w:rsidR="00F409B5" w:rsidRPr="00E95E77">
        <w:rPr>
          <w:rFonts w:cs="Arial"/>
          <w:bCs/>
          <w:sz w:val="22"/>
        </w:rPr>
        <w:t xml:space="preserve"> future</w:t>
      </w:r>
      <w:r w:rsidR="00703D84" w:rsidRPr="00E95E77">
        <w:rPr>
          <w:rFonts w:cs="Arial"/>
          <w:bCs/>
          <w:sz w:val="22"/>
        </w:rPr>
        <w:t xml:space="preserve"> </w:t>
      </w:r>
      <w:r w:rsidRPr="00E95E77">
        <w:rPr>
          <w:rFonts w:cs="Arial"/>
          <w:bCs/>
          <w:sz w:val="22"/>
        </w:rPr>
        <w:t xml:space="preserve">demand from alternative providers and further education colleges </w:t>
      </w:r>
      <w:r w:rsidR="00703D84" w:rsidRPr="00E95E77">
        <w:rPr>
          <w:rFonts w:cs="Arial"/>
          <w:bCs/>
          <w:sz w:val="22"/>
        </w:rPr>
        <w:t>has</w:t>
      </w:r>
      <w:r w:rsidRPr="00E95E77">
        <w:rPr>
          <w:rFonts w:cs="Arial"/>
          <w:bCs/>
          <w:sz w:val="22"/>
        </w:rPr>
        <w:t xml:space="preserve"> not </w:t>
      </w:r>
      <w:r w:rsidR="00703D84" w:rsidRPr="00E95E77">
        <w:rPr>
          <w:rFonts w:cs="Arial"/>
          <w:bCs/>
          <w:sz w:val="22"/>
        </w:rPr>
        <w:t xml:space="preserve">been </w:t>
      </w:r>
      <w:r w:rsidRPr="00E95E77">
        <w:rPr>
          <w:rFonts w:cs="Arial"/>
          <w:bCs/>
          <w:sz w:val="22"/>
        </w:rPr>
        <w:t>quantified and</w:t>
      </w:r>
      <w:r w:rsidR="00F409B5" w:rsidRPr="00E95E77">
        <w:rPr>
          <w:rFonts w:cs="Arial"/>
          <w:bCs/>
          <w:sz w:val="22"/>
        </w:rPr>
        <w:t xml:space="preserve"> so</w:t>
      </w:r>
      <w:r w:rsidRPr="00E95E77">
        <w:rPr>
          <w:rFonts w:cs="Arial"/>
          <w:bCs/>
          <w:sz w:val="22"/>
        </w:rPr>
        <w:t xml:space="preserve"> </w:t>
      </w:r>
      <w:r w:rsidR="006377B5" w:rsidRPr="00E95E77">
        <w:rPr>
          <w:rFonts w:cs="Arial"/>
          <w:bCs/>
          <w:sz w:val="22"/>
        </w:rPr>
        <w:t>th</w:t>
      </w:r>
      <w:r w:rsidR="0052515A" w:rsidRPr="00E95E77">
        <w:rPr>
          <w:rFonts w:cs="Arial"/>
          <w:bCs/>
          <w:sz w:val="22"/>
        </w:rPr>
        <w:t xml:space="preserve">ere </w:t>
      </w:r>
      <w:r w:rsidR="008B25DE" w:rsidRPr="00E95E77">
        <w:rPr>
          <w:rFonts w:cs="Arial"/>
          <w:bCs/>
          <w:sz w:val="22"/>
        </w:rPr>
        <w:t>will be some further</w:t>
      </w:r>
      <w:r w:rsidR="0052515A" w:rsidRPr="00E95E77">
        <w:rPr>
          <w:rFonts w:cs="Arial"/>
          <w:bCs/>
          <w:sz w:val="22"/>
        </w:rPr>
        <w:t xml:space="preserve"> </w:t>
      </w:r>
      <w:r w:rsidRPr="00E95E77">
        <w:rPr>
          <w:rFonts w:cs="Arial"/>
          <w:bCs/>
          <w:sz w:val="22"/>
        </w:rPr>
        <w:t>demand aris</w:t>
      </w:r>
      <w:r w:rsidR="0052515A" w:rsidRPr="00E95E77">
        <w:rPr>
          <w:rFonts w:cs="Arial"/>
          <w:bCs/>
          <w:sz w:val="22"/>
        </w:rPr>
        <w:t>ing</w:t>
      </w:r>
      <w:r w:rsidRPr="00E95E77">
        <w:rPr>
          <w:rFonts w:cs="Arial"/>
          <w:bCs/>
          <w:sz w:val="22"/>
        </w:rPr>
        <w:t xml:space="preserve"> from these</w:t>
      </w:r>
      <w:r w:rsidR="00703D84" w:rsidRPr="00E95E77">
        <w:rPr>
          <w:rFonts w:cs="Arial"/>
          <w:bCs/>
          <w:sz w:val="22"/>
        </w:rPr>
        <w:t xml:space="preserve">. </w:t>
      </w:r>
    </w:p>
    <w:p w14:paraId="668D6143" w14:textId="77777777" w:rsidR="00703D84" w:rsidRPr="00E95E77" w:rsidRDefault="00703D84" w:rsidP="00E95E77">
      <w:pPr>
        <w:pStyle w:val="ListParagraph"/>
        <w:spacing w:after="0" w:line="240" w:lineRule="auto"/>
        <w:ind w:left="426"/>
        <w:jc w:val="both"/>
        <w:rPr>
          <w:rFonts w:cs="Arial"/>
          <w:bCs/>
          <w:sz w:val="22"/>
        </w:rPr>
      </w:pPr>
    </w:p>
    <w:p w14:paraId="58D932A3" w14:textId="27244FD3" w:rsidR="007A6161" w:rsidRPr="00E95E77" w:rsidRDefault="00703D84" w:rsidP="00E95E77">
      <w:pPr>
        <w:pStyle w:val="ListParagraph"/>
        <w:numPr>
          <w:ilvl w:val="0"/>
          <w:numId w:val="14"/>
        </w:numPr>
        <w:spacing w:after="0" w:line="240" w:lineRule="auto"/>
        <w:ind w:left="426" w:hanging="426"/>
        <w:jc w:val="both"/>
        <w:rPr>
          <w:rFonts w:cs="Arial"/>
          <w:bCs/>
          <w:sz w:val="22"/>
        </w:rPr>
      </w:pPr>
      <w:r w:rsidRPr="00E95E77">
        <w:rPr>
          <w:rFonts w:cs="Arial"/>
          <w:bCs/>
          <w:sz w:val="22"/>
        </w:rPr>
        <w:t>The estimated demand assumes that all students requiring accommodation would want to live in PBSA.</w:t>
      </w:r>
    </w:p>
    <w:p w14:paraId="1F787541" w14:textId="77777777" w:rsidR="0017016F" w:rsidRPr="00E95E77" w:rsidRDefault="0017016F" w:rsidP="00E95E77">
      <w:pPr>
        <w:pStyle w:val="ListParagraph"/>
        <w:spacing w:after="0" w:line="240" w:lineRule="auto"/>
        <w:ind w:left="426"/>
        <w:jc w:val="both"/>
        <w:rPr>
          <w:rFonts w:cs="Arial"/>
          <w:bCs/>
          <w:sz w:val="22"/>
        </w:rPr>
      </w:pPr>
    </w:p>
    <w:p w14:paraId="1B15EC4E" w14:textId="639C19BD" w:rsidR="00F409B5" w:rsidRPr="00E95E77" w:rsidRDefault="0052515A" w:rsidP="00E95E77">
      <w:pPr>
        <w:pStyle w:val="ListParagraph"/>
        <w:numPr>
          <w:ilvl w:val="0"/>
          <w:numId w:val="14"/>
        </w:numPr>
        <w:spacing w:after="0" w:line="240" w:lineRule="auto"/>
        <w:ind w:left="426" w:hanging="426"/>
        <w:jc w:val="both"/>
        <w:rPr>
          <w:rFonts w:cs="Arial"/>
          <w:bCs/>
          <w:sz w:val="22"/>
        </w:rPr>
        <w:sectPr w:rsidR="00F409B5" w:rsidRPr="00E95E77" w:rsidSect="000D78A7">
          <w:pgSz w:w="11906" w:h="16838"/>
          <w:pgMar w:top="851" w:right="1440" w:bottom="709" w:left="1418" w:header="708" w:footer="708" w:gutter="0"/>
          <w:cols w:space="708"/>
          <w:docGrid w:linePitch="360"/>
        </w:sectPr>
      </w:pPr>
      <w:r w:rsidRPr="00E95E77">
        <w:rPr>
          <w:rFonts w:cs="Arial"/>
          <w:bCs/>
          <w:sz w:val="22"/>
        </w:rPr>
        <w:t>It is</w:t>
      </w:r>
      <w:r w:rsidR="00703D84" w:rsidRPr="00E95E77">
        <w:rPr>
          <w:rFonts w:cs="Arial"/>
          <w:bCs/>
          <w:sz w:val="22"/>
        </w:rPr>
        <w:t xml:space="preserve"> assumed that all completed schemes will remain as available supply</w:t>
      </w:r>
      <w:r w:rsidR="00E3521E" w:rsidRPr="00E95E77">
        <w:rPr>
          <w:rFonts w:cs="Arial"/>
          <w:bCs/>
          <w:sz w:val="22"/>
        </w:rPr>
        <w:t xml:space="preserve"> and</w:t>
      </w:r>
      <w:bookmarkEnd w:id="3"/>
      <w:r w:rsidR="00E3521E" w:rsidRPr="00E95E77">
        <w:rPr>
          <w:rFonts w:cs="Arial"/>
          <w:bCs/>
          <w:sz w:val="22"/>
        </w:rPr>
        <w:t xml:space="preserve"> </w:t>
      </w:r>
      <w:r w:rsidRPr="002D6C29">
        <w:rPr>
          <w:rFonts w:cs="Arial"/>
          <w:bCs/>
          <w:sz w:val="22"/>
        </w:rPr>
        <w:t>that all permissions are built out</w:t>
      </w:r>
      <w:r w:rsidR="00E3521E" w:rsidRPr="002D6C29">
        <w:rPr>
          <w:rFonts w:cs="Arial"/>
          <w:bCs/>
          <w:sz w:val="22"/>
        </w:rPr>
        <w:t>.</w:t>
      </w:r>
    </w:p>
    <w:p w14:paraId="331739AA" w14:textId="77777777" w:rsidR="00A80C19" w:rsidRPr="002D6C29" w:rsidRDefault="00A80C19" w:rsidP="00E95E77">
      <w:pPr>
        <w:pStyle w:val="Heading1"/>
        <w:ind w:firstLine="0"/>
      </w:pPr>
      <w:r w:rsidRPr="002D6C29">
        <w:lastRenderedPageBreak/>
        <w:t>Appendix 1: Future Need for Student Accommodation to 2027/28</w:t>
      </w:r>
    </w:p>
    <w:p w14:paraId="1D0BF39F" w14:textId="77777777" w:rsidR="00A80C19" w:rsidRPr="002D6C29" w:rsidRDefault="00A80C19" w:rsidP="002D6C29">
      <w:pPr>
        <w:spacing w:after="0" w:line="240" w:lineRule="auto"/>
        <w:rPr>
          <w:rFonts w:ascii="Arial" w:hAnsi="Arial" w:cs="Arial"/>
          <w:b/>
          <w:bCs/>
        </w:rPr>
      </w:pPr>
      <w:r w:rsidRPr="002D6C29">
        <w:rPr>
          <w:rFonts w:ascii="Arial" w:hAnsi="Arial" w:cs="Arial"/>
          <w:b/>
          <w:bCs/>
        </w:rPr>
        <w:t>Based on information collected from the universities</w:t>
      </w:r>
    </w:p>
    <w:p w14:paraId="6E8DCB76" w14:textId="77777777" w:rsidR="00A80C19" w:rsidRPr="002D6C29" w:rsidRDefault="00A80C19" w:rsidP="002D6C29">
      <w:pPr>
        <w:spacing w:after="0" w:line="240" w:lineRule="auto"/>
        <w:rPr>
          <w:rFonts w:ascii="Arial" w:hAnsi="Arial" w:cs="Arial"/>
          <w:b/>
          <w:bCs/>
        </w:rPr>
      </w:pPr>
    </w:p>
    <w:p w14:paraId="50C3709E" w14:textId="29DF4EC4" w:rsidR="00A80C19" w:rsidRPr="002D6C29" w:rsidRDefault="00112E4F" w:rsidP="002D6C29">
      <w:pPr>
        <w:spacing w:after="0" w:line="240" w:lineRule="auto"/>
        <w:rPr>
          <w:rFonts w:ascii="Arial" w:hAnsi="Arial" w:cs="Arial"/>
          <w:b/>
          <w:bCs/>
        </w:rPr>
      </w:pPr>
      <w:r w:rsidRPr="002D6C29">
        <w:rPr>
          <w:rFonts w:ascii="Arial" w:hAnsi="Arial" w:cs="Arial"/>
          <w:noProof/>
        </w:rPr>
        <mc:AlternateContent>
          <mc:Choice Requires="wps">
            <w:drawing>
              <wp:anchor distT="4294967295" distB="4294967295" distL="114300" distR="114300" simplePos="0" relativeHeight="251658242" behindDoc="0" locked="0" layoutInCell="1" allowOverlap="1" wp14:anchorId="6006EE85" wp14:editId="67F14F52">
                <wp:simplePos x="0" y="0"/>
                <wp:positionH relativeFrom="column">
                  <wp:posOffset>0</wp:posOffset>
                </wp:positionH>
                <wp:positionV relativeFrom="paragraph">
                  <wp:posOffset>-1</wp:posOffset>
                </wp:positionV>
                <wp:extent cx="5994400" cy="0"/>
                <wp:effectExtent l="0" t="0" r="0" b="0"/>
                <wp:wrapNone/>
                <wp:docPr id="1086172092"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44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6183A2" id="Straight Connector 5" o:spid="_x0000_s1026" alt="&quot;&quot;"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" strokecolor="#4472c4" strokeweight=".5pt">
                <v:stroke joinstyle="miter"/>
                <o:lock v:ext="edit" shapetype="f"/>
              </v:line>
            </w:pict>
          </mc:Fallback>
        </mc:AlternateContent>
      </w:r>
    </w:p>
    <w:p w14:paraId="74C435E3" w14:textId="77777777" w:rsidR="00A80C19" w:rsidRPr="002D6C29" w:rsidRDefault="00A80C19" w:rsidP="002D6C29">
      <w:pPr>
        <w:spacing w:line="240" w:lineRule="auto"/>
        <w:rPr>
          <w:rFonts w:ascii="Arial" w:hAnsi="Arial" w:cs="Arial"/>
          <w:b/>
          <w:bCs/>
        </w:rPr>
      </w:pPr>
      <w:bookmarkStart w:id="4" w:name="_Hlk181971971"/>
      <w:r w:rsidRPr="002D6C29">
        <w:rPr>
          <w:rFonts w:ascii="Arial" w:hAnsi="Arial" w:cs="Arial"/>
          <w:b/>
          <w:bCs/>
        </w:rPr>
        <w:t xml:space="preserve">ASTON UNIVERSITY </w:t>
      </w:r>
    </w:p>
    <w:p w14:paraId="26543329" w14:textId="77777777" w:rsidR="00A80C19" w:rsidRPr="002D6C29" w:rsidRDefault="00A80C19" w:rsidP="002D6C29">
      <w:pPr>
        <w:spacing w:line="240" w:lineRule="auto"/>
        <w:rPr>
          <w:rFonts w:ascii="Arial" w:hAnsi="Arial" w:cs="Arial"/>
        </w:rPr>
      </w:pPr>
      <w:r w:rsidRPr="002D6C29">
        <w:rPr>
          <w:rFonts w:ascii="Arial" w:hAnsi="Arial" w:cs="Arial"/>
        </w:rPr>
        <w:t xml:space="preserve">Aston University informed the Council that there were 18,750 full and part time students in 2021/22. HESA </w:t>
      </w:r>
      <w:r w:rsidR="00F773E8">
        <w:rPr>
          <w:rFonts w:ascii="Arial" w:hAnsi="Arial" w:cs="Arial"/>
        </w:rPr>
        <w:t>2022/23</w:t>
      </w:r>
      <w:r w:rsidRPr="002D6C29">
        <w:rPr>
          <w:rFonts w:ascii="Arial" w:hAnsi="Arial" w:cs="Arial"/>
        </w:rPr>
        <w:t xml:space="preserve"> data </w:t>
      </w:r>
      <w:proofErr w:type="gramStart"/>
      <w:r w:rsidRPr="002D6C29">
        <w:rPr>
          <w:rFonts w:ascii="Arial" w:hAnsi="Arial" w:cs="Arial"/>
        </w:rPr>
        <w:t>shows</w:t>
      </w:r>
      <w:proofErr w:type="gramEnd"/>
      <w:r w:rsidRPr="002D6C29">
        <w:rPr>
          <w:rFonts w:ascii="Arial" w:hAnsi="Arial" w:cs="Arial"/>
        </w:rPr>
        <w:t xml:space="preserve"> </w:t>
      </w:r>
      <w:r w:rsidR="00F773E8">
        <w:rPr>
          <w:rFonts w:ascii="Arial" w:hAnsi="Arial" w:cs="Arial"/>
        </w:rPr>
        <w:t>19,210</w:t>
      </w:r>
      <w:r w:rsidRPr="002D6C29">
        <w:rPr>
          <w:rFonts w:ascii="Arial" w:hAnsi="Arial" w:cs="Arial"/>
        </w:rPr>
        <w:t xml:space="preserve"> which indicates </w:t>
      </w:r>
      <w:r w:rsidR="00F773E8">
        <w:rPr>
          <w:rFonts w:ascii="Arial" w:hAnsi="Arial" w:cs="Arial"/>
        </w:rPr>
        <w:t>an increase</w:t>
      </w:r>
      <w:r w:rsidRPr="002D6C29">
        <w:rPr>
          <w:rFonts w:ascii="Arial" w:hAnsi="Arial" w:cs="Arial"/>
        </w:rPr>
        <w:t xml:space="preserve"> of </w:t>
      </w:r>
      <w:r w:rsidR="00F773E8">
        <w:rPr>
          <w:rFonts w:ascii="Arial" w:hAnsi="Arial" w:cs="Arial"/>
        </w:rPr>
        <w:t>460</w:t>
      </w:r>
      <w:r w:rsidRPr="002D6C29">
        <w:rPr>
          <w:rFonts w:ascii="Arial" w:hAnsi="Arial" w:cs="Arial"/>
        </w:rPr>
        <w:t xml:space="preserve"> students</w:t>
      </w:r>
      <w:r w:rsidR="00F773E8">
        <w:rPr>
          <w:rFonts w:ascii="Arial" w:hAnsi="Arial" w:cs="Arial"/>
        </w:rPr>
        <w:t xml:space="preserve"> for the next academic year</w:t>
      </w:r>
      <w:r w:rsidRPr="002D6C29">
        <w:rPr>
          <w:rFonts w:ascii="Arial" w:hAnsi="Arial" w:cs="Arial"/>
        </w:rPr>
        <w:t xml:space="preserve">. </w:t>
      </w:r>
    </w:p>
    <w:p w14:paraId="073B82BD" w14:textId="77777777" w:rsidR="00A80C19" w:rsidRPr="002D6C29" w:rsidRDefault="00A80C19" w:rsidP="002D6C29">
      <w:pPr>
        <w:spacing w:line="240" w:lineRule="auto"/>
        <w:rPr>
          <w:rFonts w:ascii="Arial" w:hAnsi="Arial" w:cs="Arial"/>
        </w:rPr>
      </w:pPr>
      <w:r w:rsidRPr="002D6C29">
        <w:rPr>
          <w:rFonts w:ascii="Arial" w:hAnsi="Arial" w:cs="Arial"/>
        </w:rPr>
        <w:t xml:space="preserve">Aston University predicts that overall student number will increase to 25,000 by 2030/31. This would result in an additional </w:t>
      </w:r>
      <w:r w:rsidR="00F773E8">
        <w:rPr>
          <w:rFonts w:ascii="Arial" w:hAnsi="Arial" w:cs="Arial"/>
        </w:rPr>
        <w:t>5,790</w:t>
      </w:r>
      <w:r w:rsidRPr="002D6C29">
        <w:rPr>
          <w:rFonts w:ascii="Arial" w:hAnsi="Arial" w:cs="Arial"/>
        </w:rPr>
        <w:t xml:space="preserve"> students</w:t>
      </w:r>
      <w:r w:rsidR="00F773E8">
        <w:rPr>
          <w:rFonts w:ascii="Arial" w:hAnsi="Arial" w:cs="Arial"/>
        </w:rPr>
        <w:t xml:space="preserve"> from the HESA 2022/23 figure</w:t>
      </w:r>
      <w:r w:rsidRPr="002D6C29">
        <w:rPr>
          <w:rFonts w:ascii="Arial" w:hAnsi="Arial" w:cs="Arial"/>
        </w:rPr>
        <w:t xml:space="preserve">. </w:t>
      </w:r>
    </w:p>
    <w:p w14:paraId="11135425" w14:textId="77777777" w:rsidR="00A80C19" w:rsidRPr="002D6C29" w:rsidRDefault="00A80C19" w:rsidP="002D6C29">
      <w:pPr>
        <w:spacing w:line="240" w:lineRule="auto"/>
        <w:rPr>
          <w:rFonts w:ascii="Arial" w:hAnsi="Arial" w:cs="Arial"/>
        </w:rPr>
      </w:pPr>
      <w:r w:rsidRPr="002D6C29">
        <w:rPr>
          <w:rFonts w:ascii="Arial" w:hAnsi="Arial" w:cs="Arial"/>
        </w:rPr>
        <w:t xml:space="preserve">Applying the current ratio of </w:t>
      </w:r>
      <w:proofErr w:type="gramStart"/>
      <w:r w:rsidRPr="002D6C29">
        <w:rPr>
          <w:rFonts w:ascii="Arial" w:hAnsi="Arial" w:cs="Arial"/>
        </w:rPr>
        <w:t>part and full time</w:t>
      </w:r>
      <w:proofErr w:type="gramEnd"/>
      <w:r w:rsidRPr="002D6C29">
        <w:rPr>
          <w:rFonts w:ascii="Arial" w:hAnsi="Arial" w:cs="Arial"/>
        </w:rPr>
        <w:t xml:space="preserve"> students to the 25,000 figure would give 5,000 part time students and 20,000 full time students</w:t>
      </w:r>
      <w:r w:rsidR="00F773E8">
        <w:rPr>
          <w:rFonts w:ascii="Arial" w:hAnsi="Arial" w:cs="Arial"/>
        </w:rPr>
        <w:t xml:space="preserve"> (rounded figures)</w:t>
      </w:r>
      <w:r w:rsidRPr="002D6C29">
        <w:rPr>
          <w:rFonts w:ascii="Arial" w:hAnsi="Arial" w:cs="Arial"/>
        </w:rPr>
        <w:t>.</w:t>
      </w:r>
    </w:p>
    <w:p w14:paraId="2D8FCDDC" w14:textId="77777777" w:rsidR="00A80C19" w:rsidRPr="002D6C29" w:rsidRDefault="00A80C19" w:rsidP="002D6C29">
      <w:pPr>
        <w:spacing w:line="240" w:lineRule="auto"/>
        <w:rPr>
          <w:rFonts w:ascii="Arial" w:hAnsi="Arial" w:cs="Arial"/>
        </w:rPr>
      </w:pPr>
      <w:bookmarkStart w:id="5" w:name="_Hlk152693772"/>
      <w:r w:rsidRPr="002D6C29">
        <w:rPr>
          <w:rFonts w:ascii="Arial" w:hAnsi="Arial" w:cs="Arial"/>
        </w:rPr>
        <w:t>Of the 20,000 full time students, Aston University has indicated that the home / international ratio is anticipated to be 75:25 by 2030/31. Currently it is 83:17.</w:t>
      </w:r>
    </w:p>
    <w:p w14:paraId="00D9302A" w14:textId="77777777" w:rsidR="00A80C19" w:rsidRPr="002D6C29" w:rsidRDefault="00A80C19" w:rsidP="002D6C29">
      <w:pPr>
        <w:spacing w:line="240" w:lineRule="auto"/>
        <w:rPr>
          <w:rFonts w:ascii="Arial" w:hAnsi="Arial" w:cs="Arial"/>
        </w:rPr>
      </w:pPr>
      <w:r w:rsidRPr="002D6C29">
        <w:rPr>
          <w:rFonts w:ascii="Arial" w:hAnsi="Arial" w:cs="Arial"/>
        </w:rPr>
        <w:t>Assuming all international students require accommodation, this would equate to 5,000 students.</w:t>
      </w:r>
    </w:p>
    <w:p w14:paraId="27197A6D" w14:textId="77777777" w:rsidR="00A80C19" w:rsidRPr="002D6C29" w:rsidRDefault="00A80C19" w:rsidP="002D6C29">
      <w:pPr>
        <w:spacing w:line="240" w:lineRule="auto"/>
        <w:rPr>
          <w:rFonts w:ascii="Arial" w:hAnsi="Arial" w:cs="Arial"/>
        </w:rPr>
      </w:pPr>
      <w:r w:rsidRPr="002D6C29">
        <w:rPr>
          <w:rFonts w:ascii="Arial" w:hAnsi="Arial" w:cs="Arial"/>
        </w:rPr>
        <w:t xml:space="preserve">The local WM/ national student ratio is currently 60:40 and anticipated to move to 50:50. This would result in a total 15,000 home students by 2030/31 which would be apportioned 7,500 local WM: 7,500 national UK. </w:t>
      </w:r>
    </w:p>
    <w:p w14:paraId="177A5FCC" w14:textId="77777777" w:rsidR="00A80C19" w:rsidRPr="002D6C29" w:rsidRDefault="00A80C19" w:rsidP="002D6C29">
      <w:pPr>
        <w:spacing w:line="240" w:lineRule="auto"/>
        <w:rPr>
          <w:rFonts w:ascii="Arial" w:hAnsi="Arial" w:cs="Arial"/>
        </w:rPr>
      </w:pPr>
      <w:r w:rsidRPr="002D6C29">
        <w:rPr>
          <w:rFonts w:ascii="Arial" w:hAnsi="Arial" w:cs="Arial"/>
        </w:rPr>
        <w:t>Based on this above, there would be a demand for 7,500 student bedspaces from national UK students.</w:t>
      </w:r>
    </w:p>
    <w:p w14:paraId="4CB9DCED" w14:textId="77777777" w:rsidR="00A80C19" w:rsidRPr="002D6C29" w:rsidRDefault="00A80C19" w:rsidP="002D6C29">
      <w:pPr>
        <w:spacing w:line="240" w:lineRule="auto"/>
        <w:rPr>
          <w:rFonts w:ascii="Arial" w:hAnsi="Arial" w:cs="Arial"/>
        </w:rPr>
      </w:pPr>
      <w:r w:rsidRPr="002D6C29">
        <w:rPr>
          <w:rFonts w:ascii="Arial" w:hAnsi="Arial" w:cs="Arial"/>
        </w:rPr>
        <w:t xml:space="preserve">When international students are added, the overall demand for accommodation by 2030/31 is expected to be 12,500 bedspaces. The current demand is </w:t>
      </w:r>
      <w:r w:rsidR="00F773E8">
        <w:rPr>
          <w:rFonts w:ascii="Arial" w:hAnsi="Arial" w:cs="Arial"/>
        </w:rPr>
        <w:t>7,312</w:t>
      </w:r>
      <w:r w:rsidRPr="002D6C29">
        <w:rPr>
          <w:rFonts w:ascii="Arial" w:hAnsi="Arial" w:cs="Arial"/>
        </w:rPr>
        <w:t xml:space="preserve"> (based on HESA data </w:t>
      </w:r>
      <w:r w:rsidR="00F773E8">
        <w:rPr>
          <w:rFonts w:ascii="Arial" w:hAnsi="Arial" w:cs="Arial"/>
        </w:rPr>
        <w:t>2022/23</w:t>
      </w:r>
      <w:r w:rsidRPr="002D6C29">
        <w:rPr>
          <w:rFonts w:ascii="Arial" w:hAnsi="Arial" w:cs="Arial"/>
        </w:rPr>
        <w:t xml:space="preserve">). This represents a growth of </w:t>
      </w:r>
      <w:r w:rsidR="00F773E8">
        <w:rPr>
          <w:rFonts w:ascii="Arial" w:hAnsi="Arial" w:cs="Arial"/>
        </w:rPr>
        <w:t>5,188</w:t>
      </w:r>
      <w:r w:rsidRPr="002D6C29">
        <w:rPr>
          <w:rFonts w:ascii="Arial" w:hAnsi="Arial" w:cs="Arial"/>
        </w:rPr>
        <w:t xml:space="preserve"> bedspaces or </w:t>
      </w:r>
      <w:r w:rsidR="00F773E8">
        <w:rPr>
          <w:rFonts w:ascii="Arial" w:hAnsi="Arial" w:cs="Arial"/>
        </w:rPr>
        <w:t>649</w:t>
      </w:r>
      <w:r w:rsidR="00F773E8" w:rsidRPr="002D6C29">
        <w:rPr>
          <w:rFonts w:ascii="Arial" w:hAnsi="Arial" w:cs="Arial"/>
        </w:rPr>
        <w:t xml:space="preserve"> </w:t>
      </w:r>
      <w:r w:rsidRPr="002D6C29">
        <w:rPr>
          <w:rFonts w:ascii="Arial" w:hAnsi="Arial" w:cs="Arial"/>
        </w:rPr>
        <w:t>bedspaces per annum between 2022/23 and 2030/31.</w:t>
      </w:r>
    </w:p>
    <w:bookmarkEnd w:id="5"/>
    <w:p w14:paraId="115D610E" w14:textId="77777777" w:rsidR="00A80C19" w:rsidRPr="002D6C29" w:rsidRDefault="00A80C19" w:rsidP="002D6C29">
      <w:pPr>
        <w:spacing w:line="240" w:lineRule="auto"/>
        <w:rPr>
          <w:rFonts w:ascii="Arial" w:hAnsi="Arial" w:cs="Arial"/>
        </w:rPr>
      </w:pPr>
      <w:r w:rsidRPr="002D6C29">
        <w:rPr>
          <w:rFonts w:ascii="Arial" w:hAnsi="Arial" w:cs="Arial"/>
        </w:rPr>
        <w:t xml:space="preserve">Applying the </w:t>
      </w:r>
      <w:r w:rsidR="00F773E8">
        <w:rPr>
          <w:rFonts w:ascii="Arial" w:hAnsi="Arial" w:cs="Arial"/>
        </w:rPr>
        <w:t>649</w:t>
      </w:r>
      <w:r w:rsidR="00F773E8" w:rsidRPr="002D6C29">
        <w:rPr>
          <w:rFonts w:ascii="Arial" w:hAnsi="Arial" w:cs="Arial"/>
        </w:rPr>
        <w:t xml:space="preserve"> </w:t>
      </w:r>
      <w:r w:rsidRPr="002D6C29">
        <w:rPr>
          <w:rFonts w:ascii="Arial" w:hAnsi="Arial" w:cs="Arial"/>
        </w:rPr>
        <w:t xml:space="preserve">per annum rate for the period between 2022/23 and 2027/28 (6 years) gives an additional need of </w:t>
      </w:r>
      <w:r w:rsidR="00F773E8">
        <w:rPr>
          <w:rFonts w:ascii="Arial" w:hAnsi="Arial" w:cs="Arial"/>
        </w:rPr>
        <w:t>3,891</w:t>
      </w:r>
      <w:r w:rsidRPr="002D6C29">
        <w:rPr>
          <w:rFonts w:ascii="Arial" w:hAnsi="Arial" w:cs="Arial"/>
        </w:rPr>
        <w:t xml:space="preserve"> bedspaces.</w:t>
      </w:r>
    </w:p>
    <w:p w14:paraId="466115ED" w14:textId="77777777" w:rsidR="00A80C19" w:rsidRPr="002D6C29" w:rsidRDefault="00A80C19" w:rsidP="00E95E77">
      <w:pPr>
        <w:spacing w:after="120" w:line="240" w:lineRule="auto"/>
        <w:rPr>
          <w:rFonts w:ascii="Arial" w:hAnsi="Arial" w:cs="Arial"/>
          <w:b/>
          <w:bCs/>
        </w:rPr>
      </w:pPr>
      <w:r w:rsidRPr="002D6C29">
        <w:rPr>
          <w:rFonts w:ascii="Arial" w:hAnsi="Arial" w:cs="Arial"/>
          <w:b/>
          <w:bCs/>
        </w:rPr>
        <w:t xml:space="preserve">Summary: Additional need of </w:t>
      </w:r>
      <w:r w:rsidR="00AF5170">
        <w:rPr>
          <w:rFonts w:ascii="Arial" w:hAnsi="Arial" w:cs="Arial"/>
          <w:b/>
          <w:bCs/>
        </w:rPr>
        <w:t>3,891</w:t>
      </w:r>
      <w:r w:rsidRPr="002D6C29">
        <w:rPr>
          <w:rFonts w:ascii="Arial" w:hAnsi="Arial" w:cs="Arial"/>
          <w:b/>
          <w:bCs/>
        </w:rPr>
        <w:t xml:space="preserve"> bedspaces by 2027/28</w:t>
      </w:r>
    </w:p>
    <w:p w14:paraId="1592F5A6" w14:textId="4B08F935" w:rsidR="00A80C19" w:rsidRPr="002D6C29" w:rsidRDefault="00112E4F" w:rsidP="00E95E77">
      <w:pPr>
        <w:spacing w:after="120" w:line="240" w:lineRule="auto"/>
        <w:rPr>
          <w:rFonts w:ascii="Arial" w:hAnsi="Arial" w:cs="Arial"/>
          <w:b/>
          <w:bCs/>
        </w:rPr>
      </w:pPr>
      <w:r w:rsidRPr="002D6C29">
        <w:rPr>
          <w:rFonts w:ascii="Arial" w:hAnsi="Arial" w:cs="Arial"/>
          <w:noProof/>
        </w:rPr>
        <mc:AlternateContent>
          <mc:Choice Requires="wps">
            <w:drawing>
              <wp:anchor distT="4294967295" distB="4294967295" distL="114300" distR="114300" simplePos="0" relativeHeight="251658241" behindDoc="0" locked="0" layoutInCell="1" allowOverlap="1" wp14:anchorId="04F958C2" wp14:editId="435034D1">
                <wp:simplePos x="0" y="0"/>
                <wp:positionH relativeFrom="column">
                  <wp:posOffset>-6350</wp:posOffset>
                </wp:positionH>
                <wp:positionV relativeFrom="paragraph">
                  <wp:posOffset>82549</wp:posOffset>
                </wp:positionV>
                <wp:extent cx="5994400" cy="0"/>
                <wp:effectExtent l="0" t="0" r="0" b="0"/>
                <wp:wrapNone/>
                <wp:docPr id="549258337"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44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9AC5E3" id="Straight Connector 4"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6.5pt" to="47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" strokecolor="#4472c4" strokeweight=".5pt">
                <v:stroke joinstyle="miter"/>
                <o:lock v:ext="edit" shapetype="f"/>
              </v:line>
            </w:pict>
          </mc:Fallback>
        </mc:AlternateContent>
      </w:r>
    </w:p>
    <w:p w14:paraId="41E69EE5" w14:textId="77777777" w:rsidR="00A80C19" w:rsidRPr="002D6C29" w:rsidRDefault="00A80C19" w:rsidP="002D6C29">
      <w:pPr>
        <w:spacing w:line="240" w:lineRule="auto"/>
        <w:rPr>
          <w:rFonts w:ascii="Arial" w:hAnsi="Arial" w:cs="Arial"/>
          <w:b/>
          <w:bCs/>
        </w:rPr>
      </w:pPr>
      <w:r w:rsidRPr="002D6C29">
        <w:rPr>
          <w:rFonts w:ascii="Arial" w:hAnsi="Arial" w:cs="Arial"/>
          <w:b/>
          <w:bCs/>
        </w:rPr>
        <w:t xml:space="preserve">BIRMINGHAM CITY UNIVERSITY </w:t>
      </w:r>
    </w:p>
    <w:p w14:paraId="476A9CDE" w14:textId="77777777" w:rsidR="00A80C19" w:rsidRPr="002D6C29" w:rsidRDefault="00A80C19" w:rsidP="002D6C29">
      <w:pPr>
        <w:spacing w:line="240" w:lineRule="auto"/>
        <w:rPr>
          <w:rFonts w:ascii="Arial" w:hAnsi="Arial" w:cs="Arial"/>
        </w:rPr>
      </w:pPr>
      <w:r w:rsidRPr="002D6C29">
        <w:rPr>
          <w:rFonts w:ascii="Arial" w:hAnsi="Arial" w:cs="Arial"/>
        </w:rPr>
        <w:t xml:space="preserve">The numbers are an estimate of the maximum total accommodation requirement over the next 5 years using a similar methodology to the previous work i.e. expected numbers in </w:t>
      </w:r>
      <w:proofErr w:type="gramStart"/>
      <w:r w:rsidRPr="002D6C29">
        <w:rPr>
          <w:rFonts w:ascii="Arial" w:hAnsi="Arial" w:cs="Arial"/>
        </w:rPr>
        <w:t>provider maintained</w:t>
      </w:r>
      <w:proofErr w:type="gramEnd"/>
      <w:r w:rsidRPr="002D6C29">
        <w:rPr>
          <w:rFonts w:ascii="Arial" w:hAnsi="Arial" w:cs="Arial"/>
        </w:rPr>
        <w:t xml:space="preserve"> accommodation, other rented accommodation and private halls.  These are the categories used for term time accommodation type on SITS and returned to HESA. </w:t>
      </w:r>
    </w:p>
    <w:p w14:paraId="6010DD25" w14:textId="77777777" w:rsidR="00BE442B" w:rsidRPr="002D6C29" w:rsidRDefault="00A80C19" w:rsidP="002D6C29">
      <w:pPr>
        <w:spacing w:line="240" w:lineRule="auto"/>
        <w:rPr>
          <w:rFonts w:ascii="Arial" w:hAnsi="Arial" w:cs="Arial"/>
        </w:rPr>
      </w:pPr>
      <w:r w:rsidRPr="002D6C29">
        <w:rPr>
          <w:rFonts w:ascii="Arial" w:hAnsi="Arial" w:cs="Arial"/>
        </w:rPr>
        <w:t xml:space="preserve">The numbers are based on the expected mix of students broken down by new entrants and continuers for full time UG, PGT and PGR students in line with the </w:t>
      </w:r>
      <w:proofErr w:type="gramStart"/>
      <w:r w:rsidRPr="002D6C29">
        <w:rPr>
          <w:rFonts w:ascii="Arial" w:hAnsi="Arial" w:cs="Arial"/>
        </w:rPr>
        <w:t>5 year</w:t>
      </w:r>
      <w:proofErr w:type="gramEnd"/>
      <w:r w:rsidRPr="002D6C29">
        <w:rPr>
          <w:rFonts w:ascii="Arial" w:hAnsi="Arial" w:cs="Arial"/>
        </w:rPr>
        <w:t xml:space="preserve"> forecast for student numbers signed off by UEG.  Applying an additional factor based on historic data to cover small numbers of part time students recorded as having been in these categories of term time accommodation.  The proportion of each of these groups expected to require accommodation has then been calculated with reference to known proportions for the last full HESA dataset for </w:t>
      </w:r>
      <w:r w:rsidR="007A2CD7">
        <w:rPr>
          <w:rFonts w:ascii="Arial" w:hAnsi="Arial" w:cs="Arial"/>
        </w:rPr>
        <w:t>2022/23</w:t>
      </w:r>
      <w:r w:rsidRPr="002D6C29">
        <w:rPr>
          <w:rFonts w:ascii="Arial" w:hAnsi="Arial" w:cs="Arial"/>
        </w:rPr>
        <w:t xml:space="preserve">.  </w:t>
      </w:r>
    </w:p>
    <w:tbl>
      <w:tblPr>
        <w:tblW w:w="8954" w:type="dxa"/>
        <w:tblInd w:w="108" w:type="dxa"/>
        <w:tblLayout w:type="fixed"/>
        <w:tblCellMar>
          <w:left w:w="0" w:type="dxa"/>
          <w:right w:w="0" w:type="dxa"/>
        </w:tblCellMar>
        <w:tblLook w:val="04A0" w:firstRow="1" w:lastRow="0" w:firstColumn="1" w:lastColumn="0" w:noHBand="0" w:noVBand="1"/>
        <w:tblCaption w:val="Projected Full Time Students at Birmingham City University"/>
        <w:tblDescription w:val="A table showing the projected number of full time students studying at Birmingham City University between 2023 and 2028."/>
      </w:tblPr>
      <w:tblGrid>
        <w:gridCol w:w="1279"/>
        <w:gridCol w:w="1279"/>
        <w:gridCol w:w="1279"/>
        <w:gridCol w:w="1279"/>
        <w:gridCol w:w="1279"/>
        <w:gridCol w:w="1279"/>
        <w:gridCol w:w="1280"/>
      </w:tblGrid>
      <w:tr w:rsidR="00A80C19" w:rsidRPr="002D6C29" w14:paraId="31293EED" w14:textId="77777777" w:rsidTr="0078712F">
        <w:trPr>
          <w:cantSplit/>
          <w:trHeight w:val="300"/>
          <w:tblHeader/>
        </w:trPr>
        <w:tc>
          <w:tcPr>
            <w:tcW w:w="12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00AEE2" w14:textId="77777777" w:rsidR="00A80C19" w:rsidRPr="002D6C29" w:rsidRDefault="00A80C19" w:rsidP="002D6C29">
            <w:pPr>
              <w:spacing w:after="0" w:line="240" w:lineRule="auto"/>
              <w:rPr>
                <w:rFonts w:ascii="Arial" w:hAnsi="Arial" w:cs="Arial"/>
                <w:b/>
                <w:bCs/>
                <w:color w:val="000000"/>
                <w:lang w:eastAsia="en-GB"/>
              </w:rPr>
            </w:pPr>
            <w:r w:rsidRPr="002D6C29">
              <w:rPr>
                <w:rFonts w:ascii="Arial" w:hAnsi="Arial" w:cs="Arial"/>
                <w:b/>
                <w:bCs/>
                <w:color w:val="000000"/>
                <w:lang w:eastAsia="en-GB"/>
              </w:rPr>
              <w:t>Full time forecast</w:t>
            </w:r>
          </w:p>
        </w:tc>
        <w:tc>
          <w:tcPr>
            <w:tcW w:w="12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F41D0CA" w14:textId="77777777" w:rsidR="00A80C19" w:rsidRPr="002D6C29" w:rsidRDefault="00A80C19" w:rsidP="002D6C29">
            <w:pPr>
              <w:spacing w:after="0" w:line="240" w:lineRule="auto"/>
              <w:rPr>
                <w:rFonts w:ascii="Arial" w:hAnsi="Arial" w:cs="Arial"/>
                <w:b/>
                <w:bCs/>
                <w:color w:val="000000"/>
                <w:lang w:eastAsia="en-GB"/>
              </w:rPr>
            </w:pPr>
            <w:r w:rsidRPr="002D6C29">
              <w:rPr>
                <w:rFonts w:ascii="Arial" w:hAnsi="Arial" w:cs="Arial"/>
                <w:b/>
                <w:bCs/>
                <w:color w:val="000000"/>
                <w:lang w:eastAsia="en-GB"/>
              </w:rPr>
              <w:t> </w:t>
            </w:r>
          </w:p>
        </w:tc>
        <w:tc>
          <w:tcPr>
            <w:tcW w:w="12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AF3DA88" w14:textId="77777777" w:rsidR="00A80C19" w:rsidRPr="002D6C29" w:rsidRDefault="00A80C19" w:rsidP="002D6C29">
            <w:pPr>
              <w:spacing w:after="0" w:line="240" w:lineRule="auto"/>
              <w:jc w:val="center"/>
              <w:rPr>
                <w:rFonts w:ascii="Arial" w:hAnsi="Arial" w:cs="Arial"/>
                <w:b/>
                <w:bCs/>
                <w:color w:val="000000"/>
                <w:lang w:eastAsia="en-GB"/>
              </w:rPr>
            </w:pPr>
            <w:r w:rsidRPr="002D6C29">
              <w:rPr>
                <w:rFonts w:ascii="Arial" w:hAnsi="Arial" w:cs="Arial"/>
                <w:b/>
                <w:bCs/>
                <w:color w:val="000000"/>
                <w:lang w:eastAsia="en-GB"/>
              </w:rPr>
              <w:t>2023/24</w:t>
            </w:r>
          </w:p>
        </w:tc>
        <w:tc>
          <w:tcPr>
            <w:tcW w:w="12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8137BA3" w14:textId="77777777" w:rsidR="00A80C19" w:rsidRPr="002D6C29" w:rsidRDefault="00A80C19" w:rsidP="002D6C29">
            <w:pPr>
              <w:spacing w:after="0" w:line="240" w:lineRule="auto"/>
              <w:jc w:val="center"/>
              <w:rPr>
                <w:rFonts w:ascii="Arial" w:hAnsi="Arial" w:cs="Arial"/>
                <w:b/>
                <w:bCs/>
                <w:color w:val="000000"/>
                <w:lang w:eastAsia="en-GB"/>
              </w:rPr>
            </w:pPr>
            <w:r w:rsidRPr="002D6C29">
              <w:rPr>
                <w:rFonts w:ascii="Arial" w:hAnsi="Arial" w:cs="Arial"/>
                <w:b/>
                <w:bCs/>
                <w:color w:val="000000"/>
                <w:lang w:eastAsia="en-GB"/>
              </w:rPr>
              <w:t>2024/25</w:t>
            </w:r>
          </w:p>
        </w:tc>
        <w:tc>
          <w:tcPr>
            <w:tcW w:w="12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E7AC2BA" w14:textId="77777777" w:rsidR="00A80C19" w:rsidRPr="002D6C29" w:rsidRDefault="00A80C19" w:rsidP="002D6C29">
            <w:pPr>
              <w:spacing w:after="0" w:line="240" w:lineRule="auto"/>
              <w:jc w:val="center"/>
              <w:rPr>
                <w:rFonts w:ascii="Arial" w:hAnsi="Arial" w:cs="Arial"/>
                <w:b/>
                <w:bCs/>
                <w:color w:val="000000"/>
                <w:lang w:eastAsia="en-GB"/>
              </w:rPr>
            </w:pPr>
            <w:r w:rsidRPr="002D6C29">
              <w:rPr>
                <w:rFonts w:ascii="Arial" w:hAnsi="Arial" w:cs="Arial"/>
                <w:b/>
                <w:bCs/>
                <w:color w:val="000000"/>
                <w:lang w:eastAsia="en-GB"/>
              </w:rPr>
              <w:t>2025/26</w:t>
            </w:r>
          </w:p>
        </w:tc>
        <w:tc>
          <w:tcPr>
            <w:tcW w:w="12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68D4158" w14:textId="77777777" w:rsidR="00A80C19" w:rsidRPr="002D6C29" w:rsidRDefault="00A80C19" w:rsidP="002D6C29">
            <w:pPr>
              <w:spacing w:after="0" w:line="240" w:lineRule="auto"/>
              <w:jc w:val="center"/>
              <w:rPr>
                <w:rFonts w:ascii="Arial" w:hAnsi="Arial" w:cs="Arial"/>
                <w:b/>
                <w:bCs/>
                <w:color w:val="000000"/>
                <w:lang w:eastAsia="en-GB"/>
              </w:rPr>
            </w:pPr>
            <w:r w:rsidRPr="002D6C29">
              <w:rPr>
                <w:rFonts w:ascii="Arial" w:hAnsi="Arial" w:cs="Arial"/>
                <w:b/>
                <w:bCs/>
                <w:color w:val="000000"/>
                <w:lang w:eastAsia="en-GB"/>
              </w:rPr>
              <w:t>2026/27</w:t>
            </w:r>
          </w:p>
        </w:tc>
        <w:tc>
          <w:tcPr>
            <w:tcW w:w="12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410BCD7" w14:textId="77777777" w:rsidR="00A80C19" w:rsidRPr="002D6C29" w:rsidRDefault="00A80C19" w:rsidP="002D6C29">
            <w:pPr>
              <w:spacing w:after="0" w:line="240" w:lineRule="auto"/>
              <w:jc w:val="center"/>
              <w:rPr>
                <w:rFonts w:ascii="Arial" w:hAnsi="Arial" w:cs="Arial"/>
                <w:b/>
                <w:bCs/>
                <w:color w:val="000000"/>
                <w:lang w:eastAsia="en-GB"/>
              </w:rPr>
            </w:pPr>
            <w:r w:rsidRPr="002D6C29">
              <w:rPr>
                <w:rFonts w:ascii="Arial" w:hAnsi="Arial" w:cs="Arial"/>
                <w:b/>
                <w:bCs/>
                <w:color w:val="000000"/>
                <w:lang w:eastAsia="en-GB"/>
              </w:rPr>
              <w:t>2027/28</w:t>
            </w:r>
          </w:p>
        </w:tc>
      </w:tr>
      <w:tr w:rsidR="00A80C19" w:rsidRPr="002D6C29" w14:paraId="5E7DF7ED" w14:textId="77777777" w:rsidTr="0078712F">
        <w:trPr>
          <w:cantSplit/>
          <w:trHeight w:val="300"/>
        </w:trPr>
        <w:tc>
          <w:tcPr>
            <w:tcW w:w="12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5FD421" w14:textId="77777777" w:rsidR="00A80C19" w:rsidRPr="002D6C29" w:rsidRDefault="00A80C19" w:rsidP="002D6C29">
            <w:pPr>
              <w:spacing w:after="0" w:line="240" w:lineRule="auto"/>
              <w:rPr>
                <w:rFonts w:ascii="Arial" w:hAnsi="Arial" w:cs="Arial"/>
                <w:color w:val="000000"/>
                <w:lang w:eastAsia="en-GB"/>
              </w:rPr>
            </w:pPr>
            <w:r w:rsidRPr="002D6C29">
              <w:rPr>
                <w:rFonts w:ascii="Arial" w:hAnsi="Arial" w:cs="Arial"/>
                <w:color w:val="000000"/>
                <w:lang w:eastAsia="en-GB"/>
              </w:rPr>
              <w:t>FT UG</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59BB25" w14:textId="77777777" w:rsidR="00A80C19" w:rsidRPr="002D6C29" w:rsidRDefault="00A80C19" w:rsidP="002D6C29">
            <w:pPr>
              <w:spacing w:after="0" w:line="240" w:lineRule="auto"/>
              <w:rPr>
                <w:rFonts w:ascii="Arial" w:hAnsi="Arial" w:cs="Arial"/>
                <w:color w:val="000000"/>
                <w:lang w:eastAsia="en-GB"/>
              </w:rPr>
            </w:pPr>
            <w:r w:rsidRPr="002D6C29">
              <w:rPr>
                <w:rFonts w:ascii="Arial" w:hAnsi="Arial" w:cs="Arial"/>
                <w:color w:val="000000"/>
                <w:lang w:eastAsia="en-GB"/>
              </w:rPr>
              <w:t>Entrant</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6D6D63"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3456</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0A14A8"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3469</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C73284"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3469</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E9E8B8"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3469</w:t>
            </w:r>
          </w:p>
        </w:tc>
        <w:tc>
          <w:tcPr>
            <w:tcW w:w="1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918A94"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3469</w:t>
            </w:r>
          </w:p>
        </w:tc>
      </w:tr>
      <w:tr w:rsidR="00A80C19" w:rsidRPr="002D6C29" w14:paraId="71C992F1" w14:textId="77777777" w:rsidTr="0078712F">
        <w:trPr>
          <w:cantSplit/>
          <w:trHeight w:val="300"/>
        </w:trPr>
        <w:tc>
          <w:tcPr>
            <w:tcW w:w="12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9D26BA" w14:textId="77777777" w:rsidR="00A80C19" w:rsidRPr="002D6C29" w:rsidRDefault="00A80C19" w:rsidP="002D6C29">
            <w:pPr>
              <w:spacing w:after="0" w:line="240" w:lineRule="auto"/>
              <w:rPr>
                <w:rFonts w:ascii="Arial" w:hAnsi="Arial" w:cs="Arial"/>
                <w:color w:val="000000"/>
                <w:lang w:eastAsia="en-GB"/>
              </w:rPr>
            </w:pPr>
            <w:r w:rsidRPr="002D6C29">
              <w:rPr>
                <w:rFonts w:ascii="Arial" w:hAnsi="Arial" w:cs="Arial"/>
                <w:color w:val="000000"/>
                <w:lang w:eastAsia="en-GB"/>
              </w:rPr>
              <w:t>FT UG</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E36911" w14:textId="77777777" w:rsidR="00A80C19" w:rsidRPr="002D6C29" w:rsidRDefault="00A80C19" w:rsidP="002D6C29">
            <w:pPr>
              <w:spacing w:after="0" w:line="240" w:lineRule="auto"/>
              <w:rPr>
                <w:rFonts w:ascii="Arial" w:hAnsi="Arial" w:cs="Arial"/>
                <w:color w:val="000000"/>
                <w:lang w:eastAsia="en-GB"/>
              </w:rPr>
            </w:pPr>
            <w:r w:rsidRPr="002D6C29">
              <w:rPr>
                <w:rFonts w:ascii="Arial" w:hAnsi="Arial" w:cs="Arial"/>
                <w:color w:val="000000"/>
                <w:lang w:eastAsia="en-GB"/>
              </w:rPr>
              <w:t>Continuer</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426D32"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4645</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63DD98"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4842</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390688"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4977</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BC61FA"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5063</w:t>
            </w:r>
          </w:p>
        </w:tc>
        <w:tc>
          <w:tcPr>
            <w:tcW w:w="1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07941A"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5151</w:t>
            </w:r>
          </w:p>
        </w:tc>
      </w:tr>
      <w:tr w:rsidR="00A80C19" w:rsidRPr="002D6C29" w14:paraId="5ED9493C" w14:textId="77777777" w:rsidTr="0078712F">
        <w:trPr>
          <w:cantSplit/>
          <w:trHeight w:val="300"/>
        </w:trPr>
        <w:tc>
          <w:tcPr>
            <w:tcW w:w="12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171E29" w14:textId="77777777" w:rsidR="00A80C19" w:rsidRPr="002D6C29" w:rsidRDefault="00A80C19" w:rsidP="002D6C29">
            <w:pPr>
              <w:spacing w:after="0" w:line="240" w:lineRule="auto"/>
              <w:rPr>
                <w:rFonts w:ascii="Arial" w:hAnsi="Arial" w:cs="Arial"/>
                <w:color w:val="000000"/>
                <w:lang w:eastAsia="en-GB"/>
              </w:rPr>
            </w:pPr>
            <w:r w:rsidRPr="002D6C29">
              <w:rPr>
                <w:rFonts w:ascii="Arial" w:hAnsi="Arial" w:cs="Arial"/>
                <w:color w:val="000000"/>
                <w:lang w:eastAsia="en-GB"/>
              </w:rPr>
              <w:t>FT PGT</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ECF96A" w14:textId="77777777" w:rsidR="00A80C19" w:rsidRPr="002D6C29" w:rsidRDefault="00A80C19" w:rsidP="002D6C29">
            <w:pPr>
              <w:spacing w:after="0" w:line="240" w:lineRule="auto"/>
              <w:rPr>
                <w:rFonts w:ascii="Arial" w:hAnsi="Arial" w:cs="Arial"/>
                <w:color w:val="000000"/>
                <w:lang w:eastAsia="en-GB"/>
              </w:rPr>
            </w:pPr>
            <w:r w:rsidRPr="002D6C29">
              <w:rPr>
                <w:rFonts w:ascii="Arial" w:hAnsi="Arial" w:cs="Arial"/>
                <w:color w:val="000000"/>
                <w:lang w:eastAsia="en-GB"/>
              </w:rPr>
              <w:t>Entrant</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292E46"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3834</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E11A4E"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3835</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BB0B3D"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3835</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AAE206"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3835</w:t>
            </w:r>
          </w:p>
        </w:tc>
        <w:tc>
          <w:tcPr>
            <w:tcW w:w="1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ADE93B"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3841</w:t>
            </w:r>
          </w:p>
        </w:tc>
      </w:tr>
      <w:tr w:rsidR="00A80C19" w:rsidRPr="002D6C29" w14:paraId="5EB9C592" w14:textId="77777777" w:rsidTr="0078712F">
        <w:trPr>
          <w:cantSplit/>
          <w:trHeight w:val="300"/>
        </w:trPr>
        <w:tc>
          <w:tcPr>
            <w:tcW w:w="12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DB639B" w14:textId="77777777" w:rsidR="00A80C19" w:rsidRPr="002D6C29" w:rsidRDefault="00A80C19" w:rsidP="002D6C29">
            <w:pPr>
              <w:spacing w:after="0" w:line="240" w:lineRule="auto"/>
              <w:rPr>
                <w:rFonts w:ascii="Arial" w:hAnsi="Arial" w:cs="Arial"/>
                <w:color w:val="000000"/>
                <w:lang w:eastAsia="en-GB"/>
              </w:rPr>
            </w:pPr>
            <w:r w:rsidRPr="002D6C29">
              <w:rPr>
                <w:rFonts w:ascii="Arial" w:hAnsi="Arial" w:cs="Arial"/>
                <w:color w:val="000000"/>
                <w:lang w:eastAsia="en-GB"/>
              </w:rPr>
              <w:t>FT PGT</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88FEDD" w14:textId="77777777" w:rsidR="00A80C19" w:rsidRPr="002D6C29" w:rsidRDefault="00A80C19" w:rsidP="002D6C29">
            <w:pPr>
              <w:spacing w:after="0" w:line="240" w:lineRule="auto"/>
              <w:rPr>
                <w:rFonts w:ascii="Arial" w:hAnsi="Arial" w:cs="Arial"/>
                <w:color w:val="000000"/>
                <w:lang w:eastAsia="en-GB"/>
              </w:rPr>
            </w:pPr>
            <w:r w:rsidRPr="002D6C29">
              <w:rPr>
                <w:rFonts w:ascii="Arial" w:hAnsi="Arial" w:cs="Arial"/>
                <w:color w:val="000000"/>
                <w:lang w:eastAsia="en-GB"/>
              </w:rPr>
              <w:t>Continuer</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A617B0"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581</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E785A3"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616</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FEC216"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633</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68BA34"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637</w:t>
            </w:r>
          </w:p>
        </w:tc>
        <w:tc>
          <w:tcPr>
            <w:tcW w:w="1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BC529B"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642</w:t>
            </w:r>
          </w:p>
        </w:tc>
      </w:tr>
      <w:tr w:rsidR="00A80C19" w:rsidRPr="002D6C29" w14:paraId="7291FC94" w14:textId="77777777" w:rsidTr="0078712F">
        <w:trPr>
          <w:cantSplit/>
          <w:trHeight w:val="300"/>
        </w:trPr>
        <w:tc>
          <w:tcPr>
            <w:tcW w:w="12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DD53E6" w14:textId="77777777" w:rsidR="00A80C19" w:rsidRPr="002D6C29" w:rsidRDefault="00A80C19" w:rsidP="002D6C29">
            <w:pPr>
              <w:spacing w:after="0" w:line="240" w:lineRule="auto"/>
              <w:rPr>
                <w:rFonts w:ascii="Arial" w:hAnsi="Arial" w:cs="Arial"/>
                <w:color w:val="000000"/>
                <w:lang w:eastAsia="en-GB"/>
              </w:rPr>
            </w:pPr>
            <w:r w:rsidRPr="002D6C29">
              <w:rPr>
                <w:rFonts w:ascii="Arial" w:hAnsi="Arial" w:cs="Arial"/>
                <w:color w:val="000000"/>
                <w:lang w:eastAsia="en-GB"/>
              </w:rPr>
              <w:lastRenderedPageBreak/>
              <w:t>PGR</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E85A93" w14:textId="77777777" w:rsidR="00A80C19" w:rsidRPr="002D6C29" w:rsidRDefault="00A80C19" w:rsidP="002D6C29">
            <w:pPr>
              <w:spacing w:after="0" w:line="240" w:lineRule="auto"/>
              <w:rPr>
                <w:rFonts w:ascii="Arial" w:hAnsi="Arial" w:cs="Arial"/>
                <w:color w:val="000000"/>
                <w:lang w:eastAsia="en-GB"/>
              </w:rPr>
            </w:pPr>
            <w:r w:rsidRPr="002D6C29">
              <w:rPr>
                <w:rFonts w:ascii="Arial" w:hAnsi="Arial" w:cs="Arial"/>
                <w:color w:val="000000"/>
                <w:lang w:eastAsia="en-GB"/>
              </w:rPr>
              <w:t>All</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E77FD7"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99</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2004B1"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99</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60CCDF"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99</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A0674B"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99</w:t>
            </w:r>
          </w:p>
        </w:tc>
        <w:tc>
          <w:tcPr>
            <w:tcW w:w="1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A791D1" w14:textId="77777777" w:rsidR="00A80C19" w:rsidRPr="002D6C29" w:rsidRDefault="00A80C19" w:rsidP="002D6C29">
            <w:pPr>
              <w:spacing w:after="0" w:line="240" w:lineRule="auto"/>
              <w:jc w:val="center"/>
              <w:rPr>
                <w:rFonts w:ascii="Arial" w:hAnsi="Arial" w:cs="Arial"/>
                <w:color w:val="000000"/>
                <w:lang w:eastAsia="en-GB"/>
              </w:rPr>
            </w:pPr>
            <w:r w:rsidRPr="002D6C29">
              <w:rPr>
                <w:rFonts w:ascii="Arial" w:hAnsi="Arial" w:cs="Arial"/>
                <w:color w:val="000000"/>
                <w:lang w:eastAsia="en-GB"/>
              </w:rPr>
              <w:t>99</w:t>
            </w:r>
          </w:p>
        </w:tc>
      </w:tr>
      <w:tr w:rsidR="00A80C19" w:rsidRPr="002D6C29" w14:paraId="69B34855" w14:textId="77777777" w:rsidTr="0078712F">
        <w:trPr>
          <w:cantSplit/>
          <w:trHeight w:val="300"/>
        </w:trPr>
        <w:tc>
          <w:tcPr>
            <w:tcW w:w="12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93AB21" w14:textId="77777777" w:rsidR="00A80C19" w:rsidRPr="002D6C29" w:rsidRDefault="00A80C19" w:rsidP="002D6C29">
            <w:pPr>
              <w:spacing w:after="0" w:line="240" w:lineRule="auto"/>
              <w:rPr>
                <w:rFonts w:ascii="Arial" w:hAnsi="Arial" w:cs="Arial"/>
                <w:b/>
                <w:bCs/>
                <w:color w:val="000000"/>
                <w:lang w:eastAsia="en-GB"/>
              </w:rPr>
            </w:pPr>
            <w:r w:rsidRPr="002D6C29">
              <w:rPr>
                <w:rFonts w:ascii="Arial" w:hAnsi="Arial" w:cs="Arial"/>
                <w:b/>
                <w:bCs/>
                <w:color w:val="000000"/>
                <w:lang w:eastAsia="en-GB"/>
              </w:rPr>
              <w:t>Total</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190A72" w14:textId="77777777" w:rsidR="00A80C19" w:rsidRPr="002D6C29" w:rsidRDefault="00A80C19" w:rsidP="002D6C29">
            <w:pPr>
              <w:spacing w:after="0" w:line="240" w:lineRule="auto"/>
              <w:rPr>
                <w:rFonts w:ascii="Arial" w:hAnsi="Arial" w:cs="Arial"/>
                <w:b/>
                <w:bCs/>
                <w:color w:val="000000"/>
                <w:lang w:eastAsia="en-GB"/>
              </w:rPr>
            </w:pPr>
            <w:r w:rsidRPr="002D6C29">
              <w:rPr>
                <w:rFonts w:ascii="Arial" w:hAnsi="Arial" w:cs="Arial"/>
                <w:b/>
                <w:bCs/>
                <w:color w:val="000000"/>
                <w:lang w:eastAsia="en-GB"/>
              </w:rPr>
              <w:t> </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2A21C" w14:textId="77777777" w:rsidR="00A80C19" w:rsidRPr="002D6C29" w:rsidRDefault="00A80C19" w:rsidP="002D6C29">
            <w:pPr>
              <w:spacing w:after="0" w:line="240" w:lineRule="auto"/>
              <w:jc w:val="center"/>
              <w:rPr>
                <w:rFonts w:ascii="Arial" w:hAnsi="Arial" w:cs="Arial"/>
                <w:b/>
                <w:bCs/>
                <w:color w:val="000000"/>
                <w:lang w:eastAsia="en-GB"/>
              </w:rPr>
            </w:pPr>
            <w:r w:rsidRPr="002D6C29">
              <w:rPr>
                <w:rFonts w:ascii="Arial" w:hAnsi="Arial" w:cs="Arial"/>
                <w:b/>
                <w:bCs/>
                <w:color w:val="000000"/>
                <w:lang w:eastAsia="en-GB"/>
              </w:rPr>
              <w:t>12615</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01FF31" w14:textId="77777777" w:rsidR="00A80C19" w:rsidRPr="002D6C29" w:rsidRDefault="00A80C19" w:rsidP="002D6C29">
            <w:pPr>
              <w:spacing w:after="0" w:line="240" w:lineRule="auto"/>
              <w:jc w:val="center"/>
              <w:rPr>
                <w:rFonts w:ascii="Arial" w:hAnsi="Arial" w:cs="Arial"/>
                <w:b/>
                <w:bCs/>
                <w:color w:val="000000"/>
                <w:lang w:eastAsia="en-GB"/>
              </w:rPr>
            </w:pPr>
            <w:r w:rsidRPr="002D6C29">
              <w:rPr>
                <w:rFonts w:ascii="Arial" w:hAnsi="Arial" w:cs="Arial"/>
                <w:b/>
                <w:bCs/>
                <w:color w:val="000000"/>
                <w:lang w:eastAsia="en-GB"/>
              </w:rPr>
              <w:t>12861</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A7A762" w14:textId="77777777" w:rsidR="00A80C19" w:rsidRPr="002D6C29" w:rsidRDefault="00A80C19" w:rsidP="002D6C29">
            <w:pPr>
              <w:spacing w:after="0" w:line="240" w:lineRule="auto"/>
              <w:jc w:val="center"/>
              <w:rPr>
                <w:rFonts w:ascii="Arial" w:hAnsi="Arial" w:cs="Arial"/>
                <w:b/>
                <w:bCs/>
                <w:color w:val="000000"/>
                <w:lang w:eastAsia="en-GB"/>
              </w:rPr>
            </w:pPr>
            <w:r w:rsidRPr="002D6C29">
              <w:rPr>
                <w:rFonts w:ascii="Arial" w:hAnsi="Arial" w:cs="Arial"/>
                <w:b/>
                <w:bCs/>
                <w:color w:val="000000"/>
                <w:lang w:eastAsia="en-GB"/>
              </w:rPr>
              <w:t>13013</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CD375D" w14:textId="77777777" w:rsidR="00A80C19" w:rsidRPr="002D6C29" w:rsidRDefault="00A80C19" w:rsidP="002D6C29">
            <w:pPr>
              <w:spacing w:after="0" w:line="240" w:lineRule="auto"/>
              <w:jc w:val="center"/>
              <w:rPr>
                <w:rFonts w:ascii="Arial" w:hAnsi="Arial" w:cs="Arial"/>
                <w:b/>
                <w:bCs/>
                <w:color w:val="000000"/>
                <w:lang w:eastAsia="en-GB"/>
              </w:rPr>
            </w:pPr>
            <w:r w:rsidRPr="002D6C29">
              <w:rPr>
                <w:rFonts w:ascii="Arial" w:hAnsi="Arial" w:cs="Arial"/>
                <w:b/>
                <w:bCs/>
                <w:color w:val="000000"/>
                <w:lang w:eastAsia="en-GB"/>
              </w:rPr>
              <w:t>13103</w:t>
            </w:r>
          </w:p>
        </w:tc>
        <w:tc>
          <w:tcPr>
            <w:tcW w:w="1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D1BFAD" w14:textId="77777777" w:rsidR="00A80C19" w:rsidRPr="002D6C29" w:rsidRDefault="00A80C19" w:rsidP="002D6C29">
            <w:pPr>
              <w:spacing w:after="0" w:line="240" w:lineRule="auto"/>
              <w:jc w:val="center"/>
              <w:rPr>
                <w:rFonts w:ascii="Arial" w:hAnsi="Arial" w:cs="Arial"/>
                <w:b/>
                <w:bCs/>
                <w:color w:val="000000"/>
                <w:lang w:eastAsia="en-GB"/>
              </w:rPr>
            </w:pPr>
            <w:r w:rsidRPr="002D6C29">
              <w:rPr>
                <w:rFonts w:ascii="Arial" w:hAnsi="Arial" w:cs="Arial"/>
                <w:b/>
                <w:bCs/>
                <w:color w:val="000000"/>
                <w:lang w:eastAsia="en-GB"/>
              </w:rPr>
              <w:t>13202</w:t>
            </w:r>
          </w:p>
        </w:tc>
      </w:tr>
    </w:tbl>
    <w:p w14:paraId="247B5F59" w14:textId="77777777" w:rsidR="00E95E77" w:rsidRDefault="00E95E77" w:rsidP="00E95E77">
      <w:pPr>
        <w:spacing w:after="0" w:line="240" w:lineRule="auto"/>
        <w:rPr>
          <w:rFonts w:ascii="Arial" w:hAnsi="Arial" w:cs="Arial"/>
        </w:rPr>
      </w:pPr>
    </w:p>
    <w:p w14:paraId="52166557" w14:textId="2427C348" w:rsidR="00326B8E" w:rsidRPr="002D6C29" w:rsidRDefault="00326B8E" w:rsidP="002D6C29">
      <w:pPr>
        <w:spacing w:line="240" w:lineRule="auto"/>
        <w:rPr>
          <w:rFonts w:ascii="Arial" w:hAnsi="Arial" w:cs="Arial"/>
        </w:rPr>
      </w:pPr>
      <w:r>
        <w:rPr>
          <w:rFonts w:ascii="Arial" w:hAnsi="Arial" w:cs="Arial"/>
        </w:rPr>
        <w:t xml:space="preserve">Given that the HESA 2022/23 data </w:t>
      </w:r>
      <w:proofErr w:type="gramStart"/>
      <w:r>
        <w:rPr>
          <w:rFonts w:ascii="Arial" w:hAnsi="Arial" w:cs="Arial"/>
        </w:rPr>
        <w:t>shows</w:t>
      </w:r>
      <w:proofErr w:type="gramEnd"/>
      <w:r>
        <w:rPr>
          <w:rFonts w:ascii="Arial" w:hAnsi="Arial" w:cs="Arial"/>
        </w:rPr>
        <w:t xml:space="preserve"> the existing need for accommodation arising from BCU students is 12,664, the projected need in 2027/28 is only 538 bedspaces higher.</w:t>
      </w:r>
    </w:p>
    <w:p w14:paraId="403AAEF8" w14:textId="77777777" w:rsidR="00A80C19" w:rsidRPr="002D6C29" w:rsidRDefault="00A80C19" w:rsidP="00E95E77">
      <w:pPr>
        <w:spacing w:after="120" w:line="240" w:lineRule="auto"/>
        <w:rPr>
          <w:rFonts w:ascii="Arial" w:hAnsi="Arial" w:cs="Arial"/>
          <w:b/>
          <w:bCs/>
        </w:rPr>
      </w:pPr>
      <w:r w:rsidRPr="002D6C29">
        <w:rPr>
          <w:rFonts w:ascii="Arial" w:hAnsi="Arial" w:cs="Arial"/>
          <w:b/>
          <w:bCs/>
        </w:rPr>
        <w:t xml:space="preserve">Summary: Additional need of </w:t>
      </w:r>
      <w:r w:rsidR="00326B8E">
        <w:rPr>
          <w:rFonts w:ascii="Arial" w:hAnsi="Arial" w:cs="Arial"/>
          <w:b/>
          <w:bCs/>
        </w:rPr>
        <w:t>538</w:t>
      </w:r>
      <w:r w:rsidRPr="002D6C29">
        <w:rPr>
          <w:rFonts w:ascii="Arial" w:hAnsi="Arial" w:cs="Arial"/>
          <w:b/>
          <w:bCs/>
        </w:rPr>
        <w:t xml:space="preserve"> bedspaces by 2027/28</w:t>
      </w:r>
    </w:p>
    <w:p w14:paraId="26573D4E" w14:textId="40E954C6" w:rsidR="00A80C19" w:rsidRPr="002D6C29" w:rsidRDefault="00112E4F" w:rsidP="00E95E77">
      <w:pPr>
        <w:spacing w:after="120" w:line="240" w:lineRule="auto"/>
        <w:rPr>
          <w:rFonts w:ascii="Arial" w:hAnsi="Arial" w:cs="Arial"/>
        </w:rPr>
      </w:pPr>
      <w:r w:rsidRPr="002D6C29">
        <w:rPr>
          <w:rFonts w:ascii="Arial" w:hAnsi="Arial" w:cs="Arial"/>
          <w:noProof/>
        </w:rPr>
        <mc:AlternateContent>
          <mc:Choice Requires="wps">
            <w:drawing>
              <wp:anchor distT="4294967295" distB="4294967295" distL="114300" distR="114300" simplePos="0" relativeHeight="251658240" behindDoc="0" locked="0" layoutInCell="1" allowOverlap="1" wp14:anchorId="6CCEC84A" wp14:editId="27D868D4">
                <wp:simplePos x="0" y="0"/>
                <wp:positionH relativeFrom="column">
                  <wp:posOffset>-31750</wp:posOffset>
                </wp:positionH>
                <wp:positionV relativeFrom="paragraph">
                  <wp:posOffset>55879</wp:posOffset>
                </wp:positionV>
                <wp:extent cx="5994400" cy="0"/>
                <wp:effectExtent l="0" t="0" r="0" b="0"/>
                <wp:wrapNone/>
                <wp:docPr id="1016945606"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44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2A6364" id="Straight Connector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4.4pt" to="46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" strokecolor="#4472c4" strokeweight=".5pt">
                <v:stroke joinstyle="miter"/>
                <o:lock v:ext="edit" shapetype="f"/>
              </v:line>
            </w:pict>
          </mc:Fallback>
        </mc:AlternateContent>
      </w:r>
    </w:p>
    <w:p w14:paraId="7BD7B1AC" w14:textId="77777777" w:rsidR="00A80C19" w:rsidRPr="002D6C29" w:rsidRDefault="00A80C19" w:rsidP="002D6C29">
      <w:pPr>
        <w:spacing w:line="240" w:lineRule="auto"/>
        <w:rPr>
          <w:rFonts w:ascii="Arial" w:hAnsi="Arial" w:cs="Arial"/>
          <w:b/>
          <w:bCs/>
        </w:rPr>
      </w:pPr>
      <w:r w:rsidRPr="002D6C29">
        <w:rPr>
          <w:rFonts w:ascii="Arial" w:hAnsi="Arial" w:cs="Arial"/>
          <w:b/>
          <w:bCs/>
        </w:rPr>
        <w:t>NEWMAN UNIVERSITY</w:t>
      </w:r>
    </w:p>
    <w:p w14:paraId="1CC8199C" w14:textId="77777777" w:rsidR="00A80C19" w:rsidRPr="002D6C29" w:rsidRDefault="00A80C19" w:rsidP="002D6C29">
      <w:pPr>
        <w:spacing w:line="240" w:lineRule="auto"/>
        <w:rPr>
          <w:rFonts w:ascii="Arial" w:hAnsi="Arial" w:cs="Arial"/>
        </w:rPr>
      </w:pPr>
      <w:r w:rsidRPr="002D6C29">
        <w:rPr>
          <w:rFonts w:ascii="Arial" w:hAnsi="Arial" w:cs="Arial"/>
        </w:rPr>
        <w:t xml:space="preserve">Student numbers will increase by 33% from the latest strategic plan from 2,600 </w:t>
      </w:r>
      <w:r w:rsidR="00305E2E">
        <w:rPr>
          <w:rFonts w:ascii="Arial" w:hAnsi="Arial" w:cs="Arial"/>
        </w:rPr>
        <w:t>students</w:t>
      </w:r>
      <w:r w:rsidRPr="002D6C29">
        <w:rPr>
          <w:rFonts w:ascii="Arial" w:hAnsi="Arial" w:cs="Arial"/>
        </w:rPr>
        <w:t xml:space="preserve"> to 3,458 by 2028. </w:t>
      </w:r>
      <w:r w:rsidR="00305E2E">
        <w:rPr>
          <w:rFonts w:ascii="Arial" w:hAnsi="Arial" w:cs="Arial"/>
        </w:rPr>
        <w:t>The existing student numbers have been provided by Newman University and contrast with the 2,775 students identified by the HESA 2022/23 data, although the difference is considered to be marginal.</w:t>
      </w:r>
    </w:p>
    <w:p w14:paraId="438B2E8B" w14:textId="77777777" w:rsidR="00A80C19" w:rsidRPr="002D6C29" w:rsidRDefault="00A80C19" w:rsidP="002D6C29">
      <w:pPr>
        <w:spacing w:line="240" w:lineRule="auto"/>
        <w:rPr>
          <w:rFonts w:ascii="Arial" w:hAnsi="Arial" w:cs="Arial"/>
        </w:rPr>
      </w:pPr>
      <w:r w:rsidRPr="002D6C29">
        <w:rPr>
          <w:rFonts w:ascii="Arial" w:hAnsi="Arial" w:cs="Arial"/>
        </w:rPr>
        <w:t>20% of students are part-time and therefore not included in the assessment of demand for accommodation. Removing these would leave 2,766 FTE students by 2028.</w:t>
      </w:r>
    </w:p>
    <w:p w14:paraId="4D855F2A" w14:textId="77777777" w:rsidR="00A80C19" w:rsidRPr="002D6C29" w:rsidRDefault="00A80C19" w:rsidP="002D6C29">
      <w:pPr>
        <w:spacing w:line="240" w:lineRule="auto"/>
        <w:rPr>
          <w:rFonts w:ascii="Arial" w:hAnsi="Arial" w:cs="Arial"/>
        </w:rPr>
      </w:pPr>
      <w:r w:rsidRPr="002D6C29">
        <w:rPr>
          <w:rFonts w:ascii="Arial" w:hAnsi="Arial" w:cs="Arial"/>
        </w:rPr>
        <w:t xml:space="preserve">Those currently requiring accommodation only form 10% of FT students. Applying the same proportion to the projected number of FT students (2,766) means that by 2028 a total of 276 will require accommodation. Currently </w:t>
      </w:r>
      <w:r w:rsidR="00305E2E">
        <w:rPr>
          <w:rFonts w:ascii="Arial" w:hAnsi="Arial" w:cs="Arial"/>
        </w:rPr>
        <w:t>237</w:t>
      </w:r>
      <w:r w:rsidR="00305E2E" w:rsidRPr="002D6C29">
        <w:rPr>
          <w:rFonts w:ascii="Arial" w:hAnsi="Arial" w:cs="Arial"/>
        </w:rPr>
        <w:t xml:space="preserve"> </w:t>
      </w:r>
      <w:r w:rsidRPr="002D6C29">
        <w:rPr>
          <w:rFonts w:ascii="Arial" w:hAnsi="Arial" w:cs="Arial"/>
        </w:rPr>
        <w:t xml:space="preserve">students require accommodation, representing an increase of </w:t>
      </w:r>
      <w:r w:rsidR="00305E2E">
        <w:rPr>
          <w:rFonts w:ascii="Arial" w:hAnsi="Arial" w:cs="Arial"/>
        </w:rPr>
        <w:t>39</w:t>
      </w:r>
      <w:r w:rsidR="00305E2E" w:rsidRPr="002D6C29">
        <w:rPr>
          <w:rFonts w:ascii="Arial" w:hAnsi="Arial" w:cs="Arial"/>
        </w:rPr>
        <w:t xml:space="preserve"> </w:t>
      </w:r>
      <w:r w:rsidRPr="002D6C29">
        <w:rPr>
          <w:rFonts w:ascii="Arial" w:hAnsi="Arial" w:cs="Arial"/>
        </w:rPr>
        <w:t xml:space="preserve">bedspaces. </w:t>
      </w:r>
    </w:p>
    <w:p w14:paraId="10A0B1D7" w14:textId="77777777" w:rsidR="00A80C19" w:rsidRPr="002D6C29" w:rsidRDefault="00A80C19" w:rsidP="002D6C29">
      <w:pPr>
        <w:spacing w:line="240" w:lineRule="auto"/>
        <w:rPr>
          <w:rFonts w:ascii="Arial" w:hAnsi="Arial" w:cs="Arial"/>
        </w:rPr>
      </w:pPr>
      <w:r w:rsidRPr="002D6C29">
        <w:rPr>
          <w:rFonts w:ascii="Arial" w:hAnsi="Arial" w:cs="Arial"/>
        </w:rPr>
        <w:t>The University has 300 available rooms on campus at an occupancy rate of approximately 85%, which will increase to 312 rooms by 2030.</w:t>
      </w:r>
    </w:p>
    <w:p w14:paraId="7FD347F0" w14:textId="77777777" w:rsidR="00A80C19" w:rsidRPr="002D6C29" w:rsidRDefault="00A80C19" w:rsidP="00E95E77">
      <w:pPr>
        <w:spacing w:after="120" w:line="240" w:lineRule="auto"/>
        <w:rPr>
          <w:rFonts w:ascii="Arial" w:hAnsi="Arial" w:cs="Arial"/>
          <w:b/>
          <w:bCs/>
        </w:rPr>
      </w:pPr>
      <w:r w:rsidRPr="002D6C29">
        <w:rPr>
          <w:rFonts w:ascii="Arial" w:hAnsi="Arial" w:cs="Arial"/>
          <w:b/>
          <w:bCs/>
        </w:rPr>
        <w:t xml:space="preserve">Summary: Additional need of </w:t>
      </w:r>
      <w:r w:rsidR="00305E2E">
        <w:rPr>
          <w:rFonts w:ascii="Arial" w:hAnsi="Arial" w:cs="Arial"/>
          <w:b/>
          <w:bCs/>
        </w:rPr>
        <w:t>39</w:t>
      </w:r>
      <w:r w:rsidR="00305E2E" w:rsidRPr="002D6C29">
        <w:rPr>
          <w:rFonts w:ascii="Arial" w:hAnsi="Arial" w:cs="Arial"/>
          <w:b/>
          <w:bCs/>
        </w:rPr>
        <w:t xml:space="preserve"> </w:t>
      </w:r>
      <w:r w:rsidRPr="002D6C29">
        <w:rPr>
          <w:rFonts w:ascii="Arial" w:hAnsi="Arial" w:cs="Arial"/>
          <w:b/>
          <w:bCs/>
        </w:rPr>
        <w:t xml:space="preserve">bedspaces by 2027/28. The University has 300 available rooms which is more than sufficient to accommodate the increase in this period. </w:t>
      </w:r>
    </w:p>
    <w:p w14:paraId="677BC349" w14:textId="45E50414" w:rsidR="00A80C19" w:rsidRPr="002D6C29" w:rsidRDefault="00112E4F" w:rsidP="00E95E77">
      <w:pPr>
        <w:spacing w:after="120" w:line="240" w:lineRule="auto"/>
        <w:rPr>
          <w:rFonts w:ascii="Arial" w:hAnsi="Arial" w:cs="Arial"/>
          <w:b/>
          <w:bCs/>
        </w:rPr>
      </w:pPr>
      <w:r w:rsidRPr="002D6C29">
        <w:rPr>
          <w:rFonts w:ascii="Arial" w:hAnsi="Arial" w:cs="Arial"/>
          <w:noProof/>
        </w:rPr>
        <mc:AlternateContent>
          <mc:Choice Requires="wps">
            <w:drawing>
              <wp:anchor distT="4294967295" distB="4294967295" distL="114300" distR="114300" simplePos="0" relativeHeight="251658243" behindDoc="0" locked="0" layoutInCell="1" allowOverlap="1" wp14:anchorId="53E6B977" wp14:editId="09E13E69">
                <wp:simplePos x="0" y="0"/>
                <wp:positionH relativeFrom="column">
                  <wp:posOffset>0</wp:posOffset>
                </wp:positionH>
                <wp:positionV relativeFrom="paragraph">
                  <wp:posOffset>95249</wp:posOffset>
                </wp:positionV>
                <wp:extent cx="5994400" cy="0"/>
                <wp:effectExtent l="0" t="0" r="0" b="0"/>
                <wp:wrapNone/>
                <wp:docPr id="294755803"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44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8CDD92" id="Straight Connector 2" o:spid="_x0000_s1026" alt="&quot;&quot;"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7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" strokecolor="#4472c4" strokeweight=".5pt">
                <v:stroke joinstyle="miter"/>
                <o:lock v:ext="edit" shapetype="f"/>
              </v:line>
            </w:pict>
          </mc:Fallback>
        </mc:AlternateContent>
      </w:r>
    </w:p>
    <w:p w14:paraId="11FFC687" w14:textId="77777777" w:rsidR="00A80C19" w:rsidRPr="002D6C29" w:rsidRDefault="00A80C19" w:rsidP="002D6C29">
      <w:pPr>
        <w:spacing w:line="240" w:lineRule="auto"/>
        <w:rPr>
          <w:rFonts w:ascii="Arial" w:hAnsi="Arial" w:cs="Arial"/>
          <w:b/>
          <w:bCs/>
        </w:rPr>
      </w:pPr>
      <w:r w:rsidRPr="002D6C29">
        <w:rPr>
          <w:rFonts w:ascii="Arial" w:hAnsi="Arial" w:cs="Arial"/>
          <w:b/>
          <w:bCs/>
        </w:rPr>
        <w:t xml:space="preserve">UNIVERSITY OF BIRMINGHAM </w:t>
      </w:r>
    </w:p>
    <w:p w14:paraId="1C6FD7F3" w14:textId="77777777" w:rsidR="00A80C19" w:rsidRPr="002D6C29" w:rsidRDefault="00A80C19" w:rsidP="002D6C29">
      <w:pPr>
        <w:spacing w:line="240" w:lineRule="auto"/>
        <w:rPr>
          <w:rFonts w:ascii="Arial" w:hAnsi="Arial" w:cs="Arial"/>
        </w:rPr>
      </w:pPr>
      <w:r w:rsidRPr="002D6C29">
        <w:rPr>
          <w:rFonts w:ascii="Arial" w:hAnsi="Arial" w:cs="Arial"/>
        </w:rPr>
        <w:t>The University’s current forecast is to achieve 35</w:t>
      </w:r>
      <w:r w:rsidR="009D6632">
        <w:rPr>
          <w:rFonts w:ascii="Arial" w:hAnsi="Arial" w:cs="Arial"/>
        </w:rPr>
        <w:t>,000</w:t>
      </w:r>
      <w:r w:rsidRPr="002D6C29">
        <w:rPr>
          <w:rFonts w:ascii="Arial" w:hAnsi="Arial" w:cs="Arial"/>
        </w:rPr>
        <w:t xml:space="preserve"> full-time students at Edgbaston by 2030, from the </w:t>
      </w:r>
      <w:r w:rsidR="009D6632">
        <w:rPr>
          <w:rFonts w:ascii="Arial" w:hAnsi="Arial" w:cs="Arial"/>
        </w:rPr>
        <w:t>32,748 in 2022/23 (HESA)</w:t>
      </w:r>
      <w:r w:rsidRPr="002D6C29">
        <w:rPr>
          <w:rFonts w:ascii="Arial" w:hAnsi="Arial" w:cs="Arial"/>
        </w:rPr>
        <w:t xml:space="preserve"> with the majority of the increase made up from of overseas student numbers.  </w:t>
      </w:r>
    </w:p>
    <w:p w14:paraId="09BC53E1" w14:textId="77777777" w:rsidR="005C1BCA" w:rsidRDefault="00A80C19" w:rsidP="002D6C29">
      <w:pPr>
        <w:spacing w:line="240" w:lineRule="auto"/>
        <w:rPr>
          <w:rFonts w:ascii="Arial" w:hAnsi="Arial" w:cs="Arial"/>
        </w:rPr>
      </w:pPr>
      <w:r w:rsidRPr="002D6C29">
        <w:rPr>
          <w:rFonts w:ascii="Arial" w:hAnsi="Arial" w:cs="Arial"/>
        </w:rPr>
        <w:t xml:space="preserve">Based on </w:t>
      </w:r>
      <w:r w:rsidR="009D6632">
        <w:rPr>
          <w:rFonts w:ascii="Arial" w:hAnsi="Arial" w:cs="Arial"/>
        </w:rPr>
        <w:t>2022/23</w:t>
      </w:r>
      <w:r w:rsidRPr="002D6C29">
        <w:rPr>
          <w:rFonts w:ascii="Arial" w:hAnsi="Arial" w:cs="Arial"/>
        </w:rPr>
        <w:t xml:space="preserve"> HESA data, </w:t>
      </w:r>
      <w:r w:rsidR="009D6632" w:rsidRPr="002D6C29">
        <w:rPr>
          <w:rFonts w:ascii="Arial" w:hAnsi="Arial" w:cs="Arial"/>
        </w:rPr>
        <w:t>7</w:t>
      </w:r>
      <w:r w:rsidR="009D6632">
        <w:rPr>
          <w:rFonts w:ascii="Arial" w:hAnsi="Arial" w:cs="Arial"/>
        </w:rPr>
        <w:t>1</w:t>
      </w:r>
      <w:r w:rsidRPr="002D6C29">
        <w:rPr>
          <w:rFonts w:ascii="Arial" w:hAnsi="Arial" w:cs="Arial"/>
        </w:rPr>
        <w:t xml:space="preserve">% of FT students require accommodation. Applying this to the 2027/28 projected FT student (34,708) number gives a figure of </w:t>
      </w:r>
      <w:r w:rsidR="009D6632">
        <w:rPr>
          <w:rFonts w:ascii="Arial" w:hAnsi="Arial" w:cs="Arial"/>
        </w:rPr>
        <w:t>24,642</w:t>
      </w:r>
      <w:r w:rsidR="009D6632" w:rsidRPr="002D6C29">
        <w:rPr>
          <w:rFonts w:ascii="Arial" w:hAnsi="Arial" w:cs="Arial"/>
        </w:rPr>
        <w:t xml:space="preserve"> </w:t>
      </w:r>
      <w:r w:rsidRPr="002D6C29">
        <w:rPr>
          <w:rFonts w:ascii="Arial" w:hAnsi="Arial" w:cs="Arial"/>
        </w:rPr>
        <w:t>requiring accommodation.</w:t>
      </w:r>
      <w:r w:rsidR="009D6632">
        <w:rPr>
          <w:rFonts w:ascii="Arial" w:hAnsi="Arial" w:cs="Arial"/>
        </w:rPr>
        <w:t xml:space="preserve"> The 2022/23 HESA data shows that there are already 24,784 students requiring accommodation, </w:t>
      </w:r>
      <w:r w:rsidR="005C1BCA">
        <w:rPr>
          <w:rFonts w:ascii="Arial" w:hAnsi="Arial" w:cs="Arial"/>
        </w:rPr>
        <w:t xml:space="preserve">which suggests a slight future decrease based on these assumptions. </w:t>
      </w:r>
    </w:p>
    <w:p w14:paraId="18EAA6F9" w14:textId="77777777" w:rsidR="00BE442B" w:rsidRDefault="005C1BCA" w:rsidP="002D6C29">
      <w:pPr>
        <w:spacing w:line="240" w:lineRule="auto"/>
        <w:rPr>
          <w:rFonts w:ascii="Arial" w:hAnsi="Arial" w:cs="Arial"/>
        </w:rPr>
      </w:pPr>
      <w:r>
        <w:rPr>
          <w:rFonts w:ascii="Arial" w:hAnsi="Arial" w:cs="Arial"/>
        </w:rPr>
        <w:t xml:space="preserve">However, given that most of the future increase will be from international students, who are more likely to require accommodation, it is considered prudent to attribute a similar number of bedspaces to the overall projected increase in students between 2022/23 and 2027/28. If the 2,252 increase in student numbers between 2022/23 and 2030 is </w:t>
      </w:r>
      <w:r w:rsidR="00C67680">
        <w:rPr>
          <w:rFonts w:ascii="Arial" w:hAnsi="Arial" w:cs="Arial"/>
        </w:rPr>
        <w:t>p</w:t>
      </w:r>
      <w:r>
        <w:rPr>
          <w:rFonts w:ascii="Arial" w:hAnsi="Arial" w:cs="Arial"/>
        </w:rPr>
        <w:t>rorate</w:t>
      </w:r>
      <w:r w:rsidR="00C67680">
        <w:rPr>
          <w:rFonts w:ascii="Arial" w:hAnsi="Arial" w:cs="Arial"/>
        </w:rPr>
        <w:t>d</w:t>
      </w:r>
      <w:r w:rsidR="00AA6CC6">
        <w:rPr>
          <w:rFonts w:ascii="Arial" w:hAnsi="Arial" w:cs="Arial"/>
        </w:rPr>
        <w:t xml:space="preserve"> instead</w:t>
      </w:r>
      <w:r w:rsidR="00C67680">
        <w:rPr>
          <w:rFonts w:ascii="Arial" w:hAnsi="Arial" w:cs="Arial"/>
        </w:rPr>
        <w:t xml:space="preserve"> to 2027/28 then this suggests an additional need for 1,400 bedspaces (rounded down to reflect that not all of the additional students will require accommodation). </w:t>
      </w:r>
      <w:r>
        <w:rPr>
          <w:rFonts w:ascii="Arial" w:hAnsi="Arial" w:cs="Arial"/>
        </w:rPr>
        <w:t xml:space="preserve">  </w:t>
      </w:r>
    </w:p>
    <w:p w14:paraId="102D88C6" w14:textId="77777777" w:rsidR="00A80C19" w:rsidRPr="002D6C29" w:rsidRDefault="00A80C19" w:rsidP="002D6C29">
      <w:pPr>
        <w:spacing w:line="240" w:lineRule="auto"/>
        <w:rPr>
          <w:rFonts w:ascii="Arial" w:hAnsi="Arial" w:cs="Arial"/>
        </w:rPr>
      </w:pPr>
      <w:proofErr w:type="spellStart"/>
      <w:r w:rsidRPr="002D6C29">
        <w:rPr>
          <w:rFonts w:ascii="Arial" w:hAnsi="Arial" w:cs="Arial"/>
        </w:rPr>
        <w:t>UoB</w:t>
      </w:r>
      <w:proofErr w:type="spellEnd"/>
      <w:r w:rsidRPr="002D6C29">
        <w:rPr>
          <w:rFonts w:ascii="Arial" w:hAnsi="Arial" w:cs="Arial"/>
        </w:rPr>
        <w:t xml:space="preserve"> are currently capable of housing the majority of 1st year undergraduate and a small proportion of overseas postgraduate students. </w:t>
      </w:r>
      <w:proofErr w:type="spellStart"/>
      <w:r w:rsidRPr="002D6C29">
        <w:rPr>
          <w:rFonts w:ascii="Arial" w:hAnsi="Arial" w:cs="Arial"/>
        </w:rPr>
        <w:t>UoB</w:t>
      </w:r>
      <w:proofErr w:type="spellEnd"/>
      <w:r w:rsidRPr="002D6C29">
        <w:rPr>
          <w:rFonts w:ascii="Arial" w:hAnsi="Arial" w:cs="Arial"/>
        </w:rPr>
        <w:t xml:space="preserve"> have a bedspace capacity of around 6,700 for 2023/24 with 5,441 </w:t>
      </w:r>
      <w:proofErr w:type="spellStart"/>
      <w:r w:rsidRPr="002D6C29">
        <w:rPr>
          <w:rFonts w:ascii="Arial" w:hAnsi="Arial" w:cs="Arial"/>
        </w:rPr>
        <w:t>UoB</w:t>
      </w:r>
      <w:proofErr w:type="spellEnd"/>
      <w:r w:rsidRPr="002D6C29">
        <w:rPr>
          <w:rFonts w:ascii="Arial" w:hAnsi="Arial" w:cs="Arial"/>
        </w:rPr>
        <w:t xml:space="preserve"> owned rooms across three villages and further 1,285 rooms nominated with partner PBSA providers in the area (Unite, CRM and Host).</w:t>
      </w:r>
    </w:p>
    <w:p w14:paraId="3DE4D6FE" w14:textId="77777777" w:rsidR="00A80C19" w:rsidRPr="002D6C29" w:rsidRDefault="00A80C19" w:rsidP="002D6C29">
      <w:pPr>
        <w:spacing w:line="240" w:lineRule="auto"/>
        <w:rPr>
          <w:rFonts w:ascii="Arial" w:hAnsi="Arial" w:cs="Arial"/>
        </w:rPr>
      </w:pPr>
      <w:r w:rsidRPr="002D6C29">
        <w:rPr>
          <w:rFonts w:ascii="Arial" w:hAnsi="Arial" w:cs="Arial"/>
        </w:rPr>
        <w:t xml:space="preserve">The </w:t>
      </w:r>
      <w:proofErr w:type="spellStart"/>
      <w:r w:rsidRPr="002D6C29">
        <w:rPr>
          <w:rFonts w:ascii="Arial" w:hAnsi="Arial" w:cs="Arial"/>
        </w:rPr>
        <w:t>Pritchatts</w:t>
      </w:r>
      <w:proofErr w:type="spellEnd"/>
      <w:r w:rsidRPr="002D6C29">
        <w:rPr>
          <w:rFonts w:ascii="Arial" w:hAnsi="Arial" w:cs="Arial"/>
        </w:rPr>
        <w:t xml:space="preserve"> Park development which will contribute an additional 238 rooms taking the total to 5,679 </w:t>
      </w:r>
      <w:proofErr w:type="spellStart"/>
      <w:r w:rsidRPr="002D6C29">
        <w:rPr>
          <w:rFonts w:ascii="Arial" w:hAnsi="Arial" w:cs="Arial"/>
        </w:rPr>
        <w:t>UoB</w:t>
      </w:r>
      <w:proofErr w:type="spellEnd"/>
      <w:r w:rsidRPr="002D6C29">
        <w:rPr>
          <w:rFonts w:ascii="Arial" w:hAnsi="Arial" w:cs="Arial"/>
        </w:rPr>
        <w:t xml:space="preserve"> owned rooms.  </w:t>
      </w:r>
    </w:p>
    <w:p w14:paraId="0F18978E" w14:textId="77777777" w:rsidR="00A80C19" w:rsidRPr="002D6C29" w:rsidRDefault="00A80C19" w:rsidP="00E95E77">
      <w:pPr>
        <w:spacing w:after="120" w:line="240" w:lineRule="auto"/>
        <w:rPr>
          <w:rFonts w:ascii="Arial" w:hAnsi="Arial" w:cs="Arial"/>
          <w:b/>
          <w:bCs/>
        </w:rPr>
      </w:pPr>
      <w:r w:rsidRPr="002D6C29">
        <w:rPr>
          <w:rFonts w:ascii="Arial" w:hAnsi="Arial" w:cs="Arial"/>
          <w:b/>
          <w:bCs/>
        </w:rPr>
        <w:t xml:space="preserve">Summary: Additional need of </w:t>
      </w:r>
      <w:r w:rsidR="00C67680">
        <w:rPr>
          <w:rFonts w:ascii="Arial" w:hAnsi="Arial" w:cs="Arial"/>
          <w:b/>
          <w:bCs/>
        </w:rPr>
        <w:t>1,400</w:t>
      </w:r>
      <w:r w:rsidRPr="002D6C29">
        <w:rPr>
          <w:rFonts w:ascii="Arial" w:hAnsi="Arial" w:cs="Arial"/>
          <w:b/>
          <w:bCs/>
        </w:rPr>
        <w:t xml:space="preserve"> by 2027/28</w:t>
      </w:r>
    </w:p>
    <w:p w14:paraId="3D7AEECA" w14:textId="6EEF645D" w:rsidR="00A80C19" w:rsidRPr="002D6C29" w:rsidRDefault="00112E4F" w:rsidP="00E95E77">
      <w:pPr>
        <w:spacing w:after="120" w:line="240" w:lineRule="auto"/>
        <w:rPr>
          <w:rFonts w:ascii="Arial" w:hAnsi="Arial" w:cs="Arial"/>
        </w:rPr>
      </w:pPr>
      <w:r w:rsidRPr="002D6C29">
        <w:rPr>
          <w:rFonts w:ascii="Arial" w:hAnsi="Arial" w:cs="Arial"/>
          <w:noProof/>
        </w:rPr>
        <w:lastRenderedPageBreak/>
        <mc:AlternateContent>
          <mc:Choice Requires="wps">
            <w:drawing>
              <wp:anchor distT="4294967295" distB="4294967295" distL="114300" distR="114300" simplePos="0" relativeHeight="251658244" behindDoc="0" locked="0" layoutInCell="1" allowOverlap="1" wp14:anchorId="5565EA5D" wp14:editId="2F4300F3">
                <wp:simplePos x="0" y="0"/>
                <wp:positionH relativeFrom="column">
                  <wp:posOffset>0</wp:posOffset>
                </wp:positionH>
                <wp:positionV relativeFrom="paragraph">
                  <wp:posOffset>101599</wp:posOffset>
                </wp:positionV>
                <wp:extent cx="5994400" cy="0"/>
                <wp:effectExtent l="0" t="0" r="0" b="0"/>
                <wp:wrapNone/>
                <wp:docPr id="1420237757"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44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DA9DE3" id="Straight Connector 1" o:spid="_x0000_s1026" alt="&quot;&quot;" style="position:absolute;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pt" to="47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" strokecolor="#4472c4" strokeweight=".5pt">
                <v:stroke joinstyle="miter"/>
                <o:lock v:ext="edit" shapetype="f"/>
              </v:line>
            </w:pict>
          </mc:Fallback>
        </mc:AlternateContent>
      </w:r>
    </w:p>
    <w:p w14:paraId="30278ACF" w14:textId="77777777" w:rsidR="00A80C19" w:rsidRPr="002D6C29" w:rsidRDefault="00A80C19" w:rsidP="002D6C29">
      <w:pPr>
        <w:spacing w:line="240" w:lineRule="auto"/>
        <w:rPr>
          <w:rFonts w:ascii="Arial" w:hAnsi="Arial" w:cs="Arial"/>
        </w:rPr>
      </w:pPr>
      <w:r w:rsidRPr="002D6C29">
        <w:rPr>
          <w:rFonts w:ascii="Arial" w:hAnsi="Arial" w:cs="Arial"/>
          <w:b/>
          <w:bCs/>
        </w:rPr>
        <w:t xml:space="preserve">UNIVERSITY COLLEGE BIRMINGHAM </w:t>
      </w:r>
    </w:p>
    <w:p w14:paraId="7804EF5A" w14:textId="77777777" w:rsidR="00A80C19" w:rsidRPr="002D6C29" w:rsidRDefault="00A80C19" w:rsidP="002D6C29">
      <w:pPr>
        <w:spacing w:line="240" w:lineRule="auto"/>
        <w:rPr>
          <w:rFonts w:ascii="Arial" w:hAnsi="Arial" w:cs="Arial"/>
        </w:rPr>
      </w:pPr>
      <w:r w:rsidRPr="002D6C29">
        <w:rPr>
          <w:rFonts w:ascii="Arial" w:hAnsi="Arial" w:cs="Arial"/>
        </w:rPr>
        <w:t>No further information has been received from UCB in relation to future demand for student accommodation since 2021. Previous information provided</w:t>
      </w:r>
      <w:r w:rsidR="006B71E7" w:rsidRPr="002D6C29">
        <w:rPr>
          <w:rFonts w:ascii="Arial" w:hAnsi="Arial" w:cs="Arial"/>
        </w:rPr>
        <w:t xml:space="preserve"> in 2021</w:t>
      </w:r>
      <w:r w:rsidRPr="002D6C29">
        <w:rPr>
          <w:rFonts w:ascii="Arial" w:hAnsi="Arial" w:cs="Arial"/>
        </w:rPr>
        <w:t xml:space="preserve"> indicated a minor increase in need of an additional 174 bedspaces by 2025/26. Given the historic trend as shown in the table below,</w:t>
      </w:r>
      <w:r w:rsidR="006B71E7" w:rsidRPr="002D6C29">
        <w:rPr>
          <w:rFonts w:ascii="Arial" w:hAnsi="Arial" w:cs="Arial"/>
        </w:rPr>
        <w:t xml:space="preserve"> showing a continuous decline in need </w:t>
      </w:r>
      <w:r w:rsidR="00335AAC">
        <w:rPr>
          <w:rFonts w:ascii="Arial" w:hAnsi="Arial" w:cs="Arial"/>
        </w:rPr>
        <w:t xml:space="preserve">between </w:t>
      </w:r>
      <w:r w:rsidR="006B71E7" w:rsidRPr="002D6C29">
        <w:rPr>
          <w:rFonts w:ascii="Arial" w:hAnsi="Arial" w:cs="Arial"/>
        </w:rPr>
        <w:t xml:space="preserve">2015 </w:t>
      </w:r>
      <w:r w:rsidR="00335AAC">
        <w:rPr>
          <w:rFonts w:ascii="Arial" w:hAnsi="Arial" w:cs="Arial"/>
        </w:rPr>
        <w:t xml:space="preserve">and 2021 </w:t>
      </w:r>
      <w:r w:rsidR="006B71E7" w:rsidRPr="002D6C29">
        <w:rPr>
          <w:rFonts w:ascii="Arial" w:hAnsi="Arial" w:cs="Arial"/>
        </w:rPr>
        <w:t xml:space="preserve">followed by </w:t>
      </w:r>
      <w:r w:rsidR="00335AAC">
        <w:rPr>
          <w:rFonts w:ascii="Arial" w:hAnsi="Arial" w:cs="Arial"/>
        </w:rPr>
        <w:t>a period of significant growth</w:t>
      </w:r>
      <w:r w:rsidR="006B71E7" w:rsidRPr="002D6C29">
        <w:rPr>
          <w:rFonts w:ascii="Arial" w:hAnsi="Arial" w:cs="Arial"/>
        </w:rPr>
        <w:t xml:space="preserve">, the figure of 174 additional bedspaces is considered to be broadly appropriate projection for 2027/28.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students requiring accommodation at UCB 2015 to 2023"/>
        <w:tblDescription w:val="Table showing the number of UCB students requiring accommodation between 2015 and 2023."/>
      </w:tblPr>
      <w:tblGrid>
        <w:gridCol w:w="1769"/>
        <w:gridCol w:w="835"/>
        <w:gridCol w:w="835"/>
        <w:gridCol w:w="835"/>
        <w:gridCol w:w="835"/>
        <w:gridCol w:w="835"/>
        <w:gridCol w:w="835"/>
        <w:gridCol w:w="835"/>
        <w:gridCol w:w="835"/>
      </w:tblGrid>
      <w:tr w:rsidR="00A80C19" w:rsidRPr="00567A8D" w14:paraId="79B17886" w14:textId="77777777" w:rsidTr="000468CA">
        <w:tc>
          <w:tcPr>
            <w:tcW w:w="1662" w:type="dxa"/>
            <w:shd w:val="clear" w:color="auto" w:fill="auto"/>
          </w:tcPr>
          <w:p w14:paraId="705F4CD3" w14:textId="77777777" w:rsidR="00A80C19" w:rsidRPr="00567A8D" w:rsidRDefault="00A80C19" w:rsidP="00567A8D">
            <w:pPr>
              <w:spacing w:line="240" w:lineRule="auto"/>
              <w:rPr>
                <w:rFonts w:ascii="Arial" w:hAnsi="Arial" w:cs="Arial"/>
              </w:rPr>
            </w:pPr>
            <w:r w:rsidRPr="00567A8D">
              <w:rPr>
                <w:rFonts w:ascii="Arial" w:hAnsi="Arial" w:cs="Arial"/>
              </w:rPr>
              <w:t>Year</w:t>
            </w:r>
          </w:p>
        </w:tc>
        <w:tc>
          <w:tcPr>
            <w:tcW w:w="835" w:type="dxa"/>
            <w:shd w:val="clear" w:color="auto" w:fill="auto"/>
          </w:tcPr>
          <w:p w14:paraId="131321AF" w14:textId="77777777" w:rsidR="00A80C19" w:rsidRPr="00567A8D" w:rsidRDefault="00A80C19" w:rsidP="00567A8D">
            <w:pPr>
              <w:spacing w:line="240" w:lineRule="auto"/>
              <w:rPr>
                <w:rFonts w:ascii="Arial" w:hAnsi="Arial" w:cs="Arial"/>
              </w:rPr>
            </w:pPr>
            <w:r w:rsidRPr="00567A8D">
              <w:rPr>
                <w:rFonts w:ascii="Arial" w:hAnsi="Arial" w:cs="Arial"/>
              </w:rPr>
              <w:t>15/16</w:t>
            </w:r>
          </w:p>
        </w:tc>
        <w:tc>
          <w:tcPr>
            <w:tcW w:w="835" w:type="dxa"/>
            <w:shd w:val="clear" w:color="auto" w:fill="auto"/>
          </w:tcPr>
          <w:p w14:paraId="5FFFE0C2" w14:textId="77777777" w:rsidR="00A80C19" w:rsidRPr="00567A8D" w:rsidRDefault="00A80C19" w:rsidP="00567A8D">
            <w:pPr>
              <w:spacing w:line="240" w:lineRule="auto"/>
              <w:rPr>
                <w:rFonts w:ascii="Arial" w:hAnsi="Arial" w:cs="Arial"/>
              </w:rPr>
            </w:pPr>
            <w:r w:rsidRPr="00567A8D">
              <w:rPr>
                <w:rFonts w:ascii="Arial" w:hAnsi="Arial" w:cs="Arial"/>
              </w:rPr>
              <w:t>16/17</w:t>
            </w:r>
          </w:p>
        </w:tc>
        <w:tc>
          <w:tcPr>
            <w:tcW w:w="835" w:type="dxa"/>
            <w:shd w:val="clear" w:color="auto" w:fill="auto"/>
          </w:tcPr>
          <w:p w14:paraId="765E566E" w14:textId="77777777" w:rsidR="00A80C19" w:rsidRPr="00567A8D" w:rsidRDefault="00A80C19" w:rsidP="00567A8D">
            <w:pPr>
              <w:spacing w:line="240" w:lineRule="auto"/>
              <w:rPr>
                <w:rFonts w:ascii="Arial" w:hAnsi="Arial" w:cs="Arial"/>
              </w:rPr>
            </w:pPr>
            <w:r w:rsidRPr="00567A8D">
              <w:rPr>
                <w:rFonts w:ascii="Arial" w:hAnsi="Arial" w:cs="Arial"/>
              </w:rPr>
              <w:t>17/18</w:t>
            </w:r>
          </w:p>
        </w:tc>
        <w:tc>
          <w:tcPr>
            <w:tcW w:w="835" w:type="dxa"/>
            <w:shd w:val="clear" w:color="auto" w:fill="auto"/>
          </w:tcPr>
          <w:p w14:paraId="1C269FA4" w14:textId="77777777" w:rsidR="00A80C19" w:rsidRPr="00567A8D" w:rsidRDefault="00A80C19" w:rsidP="00567A8D">
            <w:pPr>
              <w:spacing w:line="240" w:lineRule="auto"/>
              <w:rPr>
                <w:rFonts w:ascii="Arial" w:hAnsi="Arial" w:cs="Arial"/>
              </w:rPr>
            </w:pPr>
            <w:r w:rsidRPr="00567A8D">
              <w:rPr>
                <w:rFonts w:ascii="Arial" w:hAnsi="Arial" w:cs="Arial"/>
              </w:rPr>
              <w:t>18/19</w:t>
            </w:r>
          </w:p>
        </w:tc>
        <w:tc>
          <w:tcPr>
            <w:tcW w:w="835" w:type="dxa"/>
            <w:shd w:val="clear" w:color="auto" w:fill="auto"/>
          </w:tcPr>
          <w:p w14:paraId="10C71CCA" w14:textId="77777777" w:rsidR="00A80C19" w:rsidRPr="00567A8D" w:rsidRDefault="00A80C19" w:rsidP="00567A8D">
            <w:pPr>
              <w:spacing w:line="240" w:lineRule="auto"/>
              <w:rPr>
                <w:rFonts w:ascii="Arial" w:hAnsi="Arial" w:cs="Arial"/>
              </w:rPr>
            </w:pPr>
            <w:r w:rsidRPr="00567A8D">
              <w:rPr>
                <w:rFonts w:ascii="Arial" w:hAnsi="Arial" w:cs="Arial"/>
              </w:rPr>
              <w:t>19/20</w:t>
            </w:r>
          </w:p>
        </w:tc>
        <w:tc>
          <w:tcPr>
            <w:tcW w:w="835" w:type="dxa"/>
            <w:shd w:val="clear" w:color="auto" w:fill="auto"/>
          </w:tcPr>
          <w:p w14:paraId="41A82C6D" w14:textId="77777777" w:rsidR="00A80C19" w:rsidRPr="00567A8D" w:rsidRDefault="00A80C19" w:rsidP="00567A8D">
            <w:pPr>
              <w:spacing w:line="240" w:lineRule="auto"/>
              <w:rPr>
                <w:rFonts w:ascii="Arial" w:hAnsi="Arial" w:cs="Arial"/>
              </w:rPr>
            </w:pPr>
            <w:r w:rsidRPr="00567A8D">
              <w:rPr>
                <w:rFonts w:ascii="Arial" w:hAnsi="Arial" w:cs="Arial"/>
              </w:rPr>
              <w:t>20/21</w:t>
            </w:r>
          </w:p>
        </w:tc>
        <w:tc>
          <w:tcPr>
            <w:tcW w:w="835" w:type="dxa"/>
            <w:shd w:val="clear" w:color="auto" w:fill="auto"/>
          </w:tcPr>
          <w:p w14:paraId="6BBD3088" w14:textId="77777777" w:rsidR="00A80C19" w:rsidRPr="00567A8D" w:rsidRDefault="00A80C19" w:rsidP="00567A8D">
            <w:pPr>
              <w:spacing w:line="240" w:lineRule="auto"/>
              <w:rPr>
                <w:rFonts w:ascii="Arial" w:hAnsi="Arial" w:cs="Arial"/>
              </w:rPr>
            </w:pPr>
            <w:r w:rsidRPr="00567A8D">
              <w:rPr>
                <w:rFonts w:ascii="Arial" w:hAnsi="Arial" w:cs="Arial"/>
              </w:rPr>
              <w:t>21/22</w:t>
            </w:r>
          </w:p>
        </w:tc>
        <w:tc>
          <w:tcPr>
            <w:tcW w:w="835" w:type="dxa"/>
            <w:shd w:val="clear" w:color="auto" w:fill="auto"/>
          </w:tcPr>
          <w:p w14:paraId="53FBB090" w14:textId="77777777" w:rsidR="00A80C19" w:rsidRPr="00567A8D" w:rsidRDefault="00A80C19" w:rsidP="00567A8D">
            <w:pPr>
              <w:spacing w:line="240" w:lineRule="auto"/>
              <w:rPr>
                <w:rFonts w:ascii="Arial" w:hAnsi="Arial" w:cs="Arial"/>
              </w:rPr>
            </w:pPr>
            <w:r w:rsidRPr="00567A8D">
              <w:rPr>
                <w:rFonts w:ascii="Arial" w:hAnsi="Arial" w:cs="Arial"/>
              </w:rPr>
              <w:t>22/23</w:t>
            </w:r>
          </w:p>
        </w:tc>
      </w:tr>
      <w:tr w:rsidR="00A80C19" w:rsidRPr="00567A8D" w14:paraId="78679BE5" w14:textId="77777777" w:rsidTr="000468CA">
        <w:tc>
          <w:tcPr>
            <w:tcW w:w="1662" w:type="dxa"/>
            <w:shd w:val="clear" w:color="auto" w:fill="auto"/>
          </w:tcPr>
          <w:p w14:paraId="2869A252" w14:textId="77777777" w:rsidR="00A80C19" w:rsidRPr="00567A8D" w:rsidRDefault="00A80C19" w:rsidP="00567A8D">
            <w:pPr>
              <w:spacing w:line="240" w:lineRule="auto"/>
              <w:rPr>
                <w:rFonts w:ascii="Arial" w:hAnsi="Arial" w:cs="Arial"/>
              </w:rPr>
            </w:pPr>
            <w:r w:rsidRPr="00567A8D">
              <w:rPr>
                <w:rFonts w:ascii="Arial" w:hAnsi="Arial" w:cs="Arial"/>
              </w:rPr>
              <w:t>No. of students requiring accommodation</w:t>
            </w:r>
          </w:p>
        </w:tc>
        <w:tc>
          <w:tcPr>
            <w:tcW w:w="835" w:type="dxa"/>
            <w:shd w:val="clear" w:color="auto" w:fill="auto"/>
          </w:tcPr>
          <w:p w14:paraId="7784DE28" w14:textId="77777777" w:rsidR="00A80C19" w:rsidRPr="00567A8D" w:rsidRDefault="00A80C19" w:rsidP="00567A8D">
            <w:pPr>
              <w:spacing w:line="240" w:lineRule="auto"/>
              <w:rPr>
                <w:rFonts w:ascii="Arial" w:hAnsi="Arial" w:cs="Arial"/>
              </w:rPr>
            </w:pPr>
            <w:r w:rsidRPr="00567A8D">
              <w:rPr>
                <w:rFonts w:ascii="Arial" w:hAnsi="Arial" w:cs="Arial"/>
              </w:rPr>
              <w:t>1,985</w:t>
            </w:r>
          </w:p>
        </w:tc>
        <w:tc>
          <w:tcPr>
            <w:tcW w:w="835" w:type="dxa"/>
            <w:shd w:val="clear" w:color="auto" w:fill="auto"/>
          </w:tcPr>
          <w:p w14:paraId="3F4B917A" w14:textId="77777777" w:rsidR="00A80C19" w:rsidRPr="00567A8D" w:rsidRDefault="00A80C19" w:rsidP="00567A8D">
            <w:pPr>
              <w:spacing w:line="240" w:lineRule="auto"/>
              <w:rPr>
                <w:rFonts w:ascii="Arial" w:hAnsi="Arial" w:cs="Arial"/>
              </w:rPr>
            </w:pPr>
            <w:r w:rsidRPr="00567A8D">
              <w:rPr>
                <w:rFonts w:ascii="Arial" w:hAnsi="Arial" w:cs="Arial"/>
              </w:rPr>
              <w:t>1,900</w:t>
            </w:r>
          </w:p>
        </w:tc>
        <w:tc>
          <w:tcPr>
            <w:tcW w:w="835" w:type="dxa"/>
            <w:shd w:val="clear" w:color="auto" w:fill="auto"/>
          </w:tcPr>
          <w:p w14:paraId="5118D35B" w14:textId="77777777" w:rsidR="00A80C19" w:rsidRPr="00567A8D" w:rsidRDefault="00A80C19" w:rsidP="00567A8D">
            <w:pPr>
              <w:spacing w:line="240" w:lineRule="auto"/>
              <w:rPr>
                <w:rFonts w:ascii="Arial" w:hAnsi="Arial" w:cs="Arial"/>
              </w:rPr>
            </w:pPr>
            <w:r w:rsidRPr="00567A8D">
              <w:rPr>
                <w:rFonts w:ascii="Arial" w:hAnsi="Arial" w:cs="Arial"/>
              </w:rPr>
              <w:t>1,892</w:t>
            </w:r>
          </w:p>
        </w:tc>
        <w:tc>
          <w:tcPr>
            <w:tcW w:w="835" w:type="dxa"/>
            <w:shd w:val="clear" w:color="auto" w:fill="auto"/>
          </w:tcPr>
          <w:p w14:paraId="40712253" w14:textId="77777777" w:rsidR="00A80C19" w:rsidRPr="00567A8D" w:rsidRDefault="00A80C19" w:rsidP="00567A8D">
            <w:pPr>
              <w:spacing w:line="240" w:lineRule="auto"/>
              <w:rPr>
                <w:rFonts w:ascii="Arial" w:hAnsi="Arial" w:cs="Arial"/>
              </w:rPr>
            </w:pPr>
            <w:r w:rsidRPr="00567A8D">
              <w:rPr>
                <w:rFonts w:ascii="Arial" w:hAnsi="Arial" w:cs="Arial"/>
              </w:rPr>
              <w:t>1,606</w:t>
            </w:r>
          </w:p>
        </w:tc>
        <w:tc>
          <w:tcPr>
            <w:tcW w:w="835" w:type="dxa"/>
            <w:shd w:val="clear" w:color="auto" w:fill="auto"/>
          </w:tcPr>
          <w:p w14:paraId="4F3EA2F1" w14:textId="77777777" w:rsidR="00A80C19" w:rsidRPr="00567A8D" w:rsidRDefault="00A80C19" w:rsidP="00567A8D">
            <w:pPr>
              <w:spacing w:line="240" w:lineRule="auto"/>
              <w:rPr>
                <w:rFonts w:ascii="Arial" w:hAnsi="Arial" w:cs="Arial"/>
              </w:rPr>
            </w:pPr>
            <w:r w:rsidRPr="00567A8D">
              <w:rPr>
                <w:rFonts w:ascii="Arial" w:hAnsi="Arial" w:cs="Arial"/>
              </w:rPr>
              <w:t>1,482</w:t>
            </w:r>
          </w:p>
        </w:tc>
        <w:tc>
          <w:tcPr>
            <w:tcW w:w="835" w:type="dxa"/>
            <w:shd w:val="clear" w:color="auto" w:fill="auto"/>
          </w:tcPr>
          <w:p w14:paraId="30FDDAC2" w14:textId="77777777" w:rsidR="00A80C19" w:rsidRPr="00567A8D" w:rsidRDefault="00A80C19" w:rsidP="00567A8D">
            <w:pPr>
              <w:spacing w:line="240" w:lineRule="auto"/>
              <w:rPr>
                <w:rFonts w:ascii="Arial" w:hAnsi="Arial" w:cs="Arial"/>
              </w:rPr>
            </w:pPr>
            <w:r w:rsidRPr="00567A8D">
              <w:rPr>
                <w:rFonts w:ascii="Arial" w:hAnsi="Arial" w:cs="Arial"/>
              </w:rPr>
              <w:t>1,335</w:t>
            </w:r>
          </w:p>
        </w:tc>
        <w:tc>
          <w:tcPr>
            <w:tcW w:w="835" w:type="dxa"/>
            <w:shd w:val="clear" w:color="auto" w:fill="auto"/>
          </w:tcPr>
          <w:p w14:paraId="15BE0AD6" w14:textId="77777777" w:rsidR="00A80C19" w:rsidRPr="00567A8D" w:rsidRDefault="00A80C19" w:rsidP="00567A8D">
            <w:pPr>
              <w:spacing w:line="240" w:lineRule="auto"/>
              <w:rPr>
                <w:rFonts w:ascii="Arial" w:hAnsi="Arial" w:cs="Arial"/>
              </w:rPr>
            </w:pPr>
            <w:r w:rsidRPr="00567A8D">
              <w:rPr>
                <w:rFonts w:ascii="Arial" w:hAnsi="Arial" w:cs="Arial"/>
              </w:rPr>
              <w:t>1,468</w:t>
            </w:r>
          </w:p>
        </w:tc>
        <w:tc>
          <w:tcPr>
            <w:tcW w:w="835" w:type="dxa"/>
            <w:shd w:val="clear" w:color="auto" w:fill="auto"/>
          </w:tcPr>
          <w:p w14:paraId="36B27CB9" w14:textId="77777777" w:rsidR="00A80C19" w:rsidRPr="00567A8D" w:rsidRDefault="00A459AA" w:rsidP="00567A8D">
            <w:pPr>
              <w:spacing w:line="240" w:lineRule="auto"/>
              <w:rPr>
                <w:rFonts w:ascii="Arial" w:hAnsi="Arial" w:cs="Arial"/>
              </w:rPr>
            </w:pPr>
            <w:r>
              <w:rPr>
                <w:rFonts w:ascii="Arial" w:hAnsi="Arial" w:cs="Arial"/>
              </w:rPr>
              <w:t>2,428</w:t>
            </w:r>
          </w:p>
        </w:tc>
      </w:tr>
    </w:tbl>
    <w:p w14:paraId="39D4A677" w14:textId="77777777" w:rsidR="00AA6CC6" w:rsidRDefault="00AA6CC6" w:rsidP="00E95E77">
      <w:pPr>
        <w:spacing w:after="120" w:line="240" w:lineRule="auto"/>
        <w:rPr>
          <w:rFonts w:ascii="Arial" w:hAnsi="Arial" w:cs="Arial"/>
          <w:b/>
          <w:bCs/>
        </w:rPr>
      </w:pPr>
    </w:p>
    <w:p w14:paraId="2E02E9E4" w14:textId="77777777" w:rsidR="00A80C19" w:rsidRPr="002D6C29" w:rsidRDefault="00A80C19" w:rsidP="00E95E77">
      <w:pPr>
        <w:spacing w:after="120" w:line="240" w:lineRule="auto"/>
        <w:rPr>
          <w:rFonts w:ascii="Arial" w:hAnsi="Arial" w:cs="Arial"/>
          <w:b/>
          <w:bCs/>
        </w:rPr>
      </w:pPr>
      <w:r w:rsidRPr="002D6C29">
        <w:rPr>
          <w:rFonts w:ascii="Arial" w:hAnsi="Arial" w:cs="Arial"/>
          <w:b/>
          <w:bCs/>
        </w:rPr>
        <w:t xml:space="preserve">Summary: </w:t>
      </w:r>
      <w:r w:rsidR="006B71E7" w:rsidRPr="002D6C29">
        <w:rPr>
          <w:rFonts w:ascii="Arial" w:hAnsi="Arial" w:cs="Arial"/>
          <w:b/>
          <w:bCs/>
        </w:rPr>
        <w:t>A</w:t>
      </w:r>
      <w:r w:rsidRPr="002D6C29">
        <w:rPr>
          <w:rFonts w:ascii="Arial" w:hAnsi="Arial" w:cs="Arial"/>
          <w:b/>
          <w:bCs/>
        </w:rPr>
        <w:t xml:space="preserve">dditional need </w:t>
      </w:r>
      <w:r w:rsidR="006B71E7" w:rsidRPr="002D6C29">
        <w:rPr>
          <w:rFonts w:ascii="Arial" w:hAnsi="Arial" w:cs="Arial"/>
          <w:b/>
          <w:bCs/>
        </w:rPr>
        <w:t>of 174 bedspaces by</w:t>
      </w:r>
      <w:r w:rsidRPr="002D6C29">
        <w:rPr>
          <w:rFonts w:ascii="Arial" w:hAnsi="Arial" w:cs="Arial"/>
          <w:b/>
          <w:bCs/>
        </w:rPr>
        <w:t xml:space="preserve"> 2027/28</w:t>
      </w:r>
    </w:p>
    <w:bookmarkEnd w:id="4"/>
    <w:p w14:paraId="40D38E52" w14:textId="77777777" w:rsidR="00A80C19" w:rsidRDefault="00A80C19" w:rsidP="002D6C29">
      <w:pPr>
        <w:spacing w:line="240" w:lineRule="auto"/>
        <w:rPr>
          <w:rFonts w:ascii="Arial" w:hAnsi="Arial" w:cs="Arial"/>
          <w:b/>
          <w:bCs/>
        </w:rPr>
      </w:pPr>
    </w:p>
    <w:p w14:paraId="0F07A600" w14:textId="77777777" w:rsidR="00F409B5" w:rsidRDefault="00F409B5" w:rsidP="002D6C29">
      <w:pPr>
        <w:spacing w:after="0" w:line="240" w:lineRule="auto"/>
        <w:rPr>
          <w:rFonts w:ascii="Arial" w:hAnsi="Arial" w:cs="Arial"/>
          <w:b/>
        </w:rPr>
        <w:sectPr w:rsidR="00F409B5" w:rsidSect="000D78A7">
          <w:pgSz w:w="11906" w:h="16838"/>
          <w:pgMar w:top="851" w:right="1440" w:bottom="709" w:left="1418" w:header="708" w:footer="708" w:gutter="0"/>
          <w:cols w:space="708"/>
          <w:docGrid w:linePitch="360"/>
        </w:sectPr>
      </w:pPr>
    </w:p>
    <w:p w14:paraId="55F28E9E" w14:textId="4BB6F92E" w:rsidR="00445E5C" w:rsidRPr="002D6C29" w:rsidRDefault="00FC74D4" w:rsidP="00E95E77">
      <w:pPr>
        <w:pStyle w:val="Heading1"/>
        <w:ind w:firstLine="0"/>
      </w:pPr>
      <w:r w:rsidRPr="002D6C29">
        <w:lastRenderedPageBreak/>
        <w:t xml:space="preserve">Appendix </w:t>
      </w:r>
      <w:r w:rsidR="00A80C19" w:rsidRPr="002D6C29">
        <w:t>2</w:t>
      </w:r>
      <w:r w:rsidR="00E95E77">
        <w:t xml:space="preserve">: </w:t>
      </w:r>
      <w:r w:rsidR="00445E5C" w:rsidRPr="002D6C29">
        <w:t>Current</w:t>
      </w:r>
      <w:r w:rsidR="000468CA">
        <w:t xml:space="preserve"> planning</w:t>
      </w:r>
      <w:r w:rsidR="00445E5C" w:rsidRPr="002D6C29">
        <w:t xml:space="preserve"> application</w:t>
      </w:r>
      <w:r w:rsidR="000468CA">
        <w:t>s</w:t>
      </w:r>
      <w:r w:rsidR="00445E5C" w:rsidRPr="002D6C29">
        <w:t xml:space="preserve"> for PBSA (</w:t>
      </w:r>
      <w:proofErr w:type="gramStart"/>
      <w:r w:rsidR="00445E5C" w:rsidRPr="002D6C29">
        <w:t>at</w:t>
      </w:r>
      <w:proofErr w:type="gramEnd"/>
      <w:r w:rsidR="00445E5C" w:rsidRPr="002D6C29">
        <w:t xml:space="preserve"> </w:t>
      </w:r>
      <w:r w:rsidR="00E348E3">
        <w:t>8</w:t>
      </w:r>
      <w:r w:rsidR="00E348E3" w:rsidRPr="00E348E3">
        <w:rPr>
          <w:vertAlign w:val="superscript"/>
        </w:rPr>
        <w:t>th</w:t>
      </w:r>
      <w:r w:rsidR="00E348E3">
        <w:t xml:space="preserve"> November 2024</w:t>
      </w:r>
      <w:r w:rsidR="00445E5C" w:rsidRPr="002D6C29">
        <w:t>)</w:t>
      </w:r>
    </w:p>
    <w:p w14:paraId="55563776" w14:textId="77777777" w:rsidR="00FC74D4" w:rsidRPr="002D6C29" w:rsidRDefault="00FC74D4" w:rsidP="002D6C29">
      <w:pPr>
        <w:spacing w:after="0" w:line="240" w:lineRule="auto"/>
        <w:rPr>
          <w:rFonts w:ascii="Arial" w:hAnsi="Arial" w:cs="Arial"/>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urrent planning applications for PBSA (at 8th November 2024)"/>
        <w:tblDescription w:val="Table showing the planning applications for PBSA that are currently being considered."/>
      </w:tblPr>
      <w:tblGrid>
        <w:gridCol w:w="1795"/>
        <w:gridCol w:w="4584"/>
        <w:gridCol w:w="1418"/>
        <w:gridCol w:w="1417"/>
      </w:tblGrid>
      <w:tr w:rsidR="00445E5C" w:rsidRPr="002D6C29" w14:paraId="73D34BBB" w14:textId="77777777" w:rsidTr="000468CA">
        <w:trPr>
          <w:cantSplit/>
          <w:trHeight w:val="260"/>
        </w:trPr>
        <w:tc>
          <w:tcPr>
            <w:tcW w:w="1795" w:type="dxa"/>
            <w:shd w:val="clear" w:color="auto" w:fill="auto"/>
            <w:noWrap/>
          </w:tcPr>
          <w:p w14:paraId="679A9191" w14:textId="77777777" w:rsidR="00445E5C" w:rsidRPr="002D6C29" w:rsidRDefault="00445E5C" w:rsidP="002D6C29">
            <w:pPr>
              <w:spacing w:after="0" w:line="240" w:lineRule="auto"/>
              <w:rPr>
                <w:rFonts w:ascii="Arial" w:hAnsi="Arial" w:cs="Arial"/>
                <w:b/>
              </w:rPr>
            </w:pPr>
            <w:r w:rsidRPr="002D6C29">
              <w:rPr>
                <w:rFonts w:ascii="Arial" w:hAnsi="Arial" w:cs="Arial"/>
                <w:b/>
              </w:rPr>
              <w:t>PA Reference</w:t>
            </w:r>
          </w:p>
        </w:tc>
        <w:tc>
          <w:tcPr>
            <w:tcW w:w="4584" w:type="dxa"/>
            <w:shd w:val="clear" w:color="auto" w:fill="auto"/>
            <w:noWrap/>
          </w:tcPr>
          <w:p w14:paraId="2FCF5080" w14:textId="77777777" w:rsidR="00445E5C" w:rsidRPr="002D6C29" w:rsidRDefault="00445E5C" w:rsidP="002D6C29">
            <w:pPr>
              <w:spacing w:after="0" w:line="240" w:lineRule="auto"/>
              <w:rPr>
                <w:rFonts w:ascii="Arial" w:hAnsi="Arial" w:cs="Arial"/>
                <w:b/>
              </w:rPr>
            </w:pPr>
            <w:r w:rsidRPr="002D6C29">
              <w:rPr>
                <w:rFonts w:ascii="Arial" w:hAnsi="Arial" w:cs="Arial"/>
                <w:b/>
              </w:rPr>
              <w:t>Address</w:t>
            </w:r>
          </w:p>
        </w:tc>
        <w:tc>
          <w:tcPr>
            <w:tcW w:w="1418" w:type="dxa"/>
            <w:shd w:val="clear" w:color="auto" w:fill="auto"/>
            <w:noWrap/>
          </w:tcPr>
          <w:p w14:paraId="3F501CC3" w14:textId="77777777" w:rsidR="00445E5C" w:rsidRPr="002D6C29" w:rsidRDefault="00445E5C" w:rsidP="002D6C29">
            <w:pPr>
              <w:spacing w:after="0" w:line="240" w:lineRule="auto"/>
              <w:rPr>
                <w:rFonts w:ascii="Arial" w:hAnsi="Arial" w:cs="Arial"/>
                <w:b/>
              </w:rPr>
            </w:pPr>
            <w:r w:rsidRPr="002D6C29">
              <w:rPr>
                <w:rFonts w:ascii="Arial" w:hAnsi="Arial" w:cs="Arial"/>
                <w:b/>
              </w:rPr>
              <w:t>Ward</w:t>
            </w:r>
          </w:p>
        </w:tc>
        <w:tc>
          <w:tcPr>
            <w:tcW w:w="1417" w:type="dxa"/>
            <w:shd w:val="clear" w:color="auto" w:fill="auto"/>
            <w:noWrap/>
          </w:tcPr>
          <w:p w14:paraId="7F6C2BA5" w14:textId="77777777" w:rsidR="00445E5C" w:rsidRPr="002D6C29" w:rsidRDefault="00445E5C" w:rsidP="002D6C29">
            <w:pPr>
              <w:spacing w:after="0" w:line="240" w:lineRule="auto"/>
              <w:rPr>
                <w:rFonts w:ascii="Arial" w:hAnsi="Arial" w:cs="Arial"/>
                <w:b/>
              </w:rPr>
            </w:pPr>
            <w:r w:rsidRPr="002D6C29">
              <w:rPr>
                <w:rFonts w:ascii="Arial" w:hAnsi="Arial" w:cs="Arial"/>
                <w:b/>
              </w:rPr>
              <w:t>Bedspaces</w:t>
            </w:r>
          </w:p>
        </w:tc>
      </w:tr>
      <w:tr w:rsidR="00726835" w:rsidRPr="002D6C29" w14:paraId="2D73EFF4" w14:textId="77777777" w:rsidTr="000468CA">
        <w:trPr>
          <w:cantSplit/>
          <w:trHeight w:val="260"/>
        </w:trPr>
        <w:tc>
          <w:tcPr>
            <w:tcW w:w="1795" w:type="dxa"/>
            <w:shd w:val="clear" w:color="auto" w:fill="auto"/>
            <w:noWrap/>
          </w:tcPr>
          <w:p w14:paraId="0C0D2944" w14:textId="77777777" w:rsidR="00E348E3" w:rsidRPr="00E348E3" w:rsidRDefault="00E348E3" w:rsidP="00E348E3">
            <w:pPr>
              <w:spacing w:after="0" w:line="240" w:lineRule="auto"/>
              <w:rPr>
                <w:rFonts w:ascii="Arial" w:hAnsi="Arial" w:cs="Arial"/>
                <w:bCs/>
              </w:rPr>
            </w:pPr>
            <w:r w:rsidRPr="00E348E3">
              <w:rPr>
                <w:rFonts w:ascii="Arial" w:hAnsi="Arial" w:cs="Arial"/>
              </w:rPr>
              <w:t>2023/06855/PA</w:t>
            </w:r>
          </w:p>
        </w:tc>
        <w:tc>
          <w:tcPr>
            <w:tcW w:w="4584" w:type="dxa"/>
            <w:shd w:val="clear" w:color="auto" w:fill="auto"/>
            <w:noWrap/>
          </w:tcPr>
          <w:p w14:paraId="6FF4D191" w14:textId="77777777" w:rsidR="00E348E3" w:rsidRPr="00E348E3" w:rsidRDefault="00E348E3" w:rsidP="00E348E3">
            <w:pPr>
              <w:spacing w:after="0" w:line="240" w:lineRule="auto"/>
              <w:rPr>
                <w:rFonts w:ascii="Arial" w:hAnsi="Arial" w:cs="Arial"/>
                <w:bCs/>
              </w:rPr>
            </w:pPr>
            <w:r w:rsidRPr="00E348E3">
              <w:rPr>
                <w:rFonts w:ascii="Arial" w:hAnsi="Arial" w:cs="Arial"/>
              </w:rPr>
              <w:t>Cambrian Hall Land bounded by Parade (B4135), Lyon Queensway (A4400), the former Paradise Circus Car Park and City Gardens and Brindley Drive Birmingham</w:t>
            </w:r>
          </w:p>
        </w:tc>
        <w:tc>
          <w:tcPr>
            <w:tcW w:w="1418" w:type="dxa"/>
            <w:shd w:val="clear" w:color="auto" w:fill="auto"/>
            <w:noWrap/>
          </w:tcPr>
          <w:p w14:paraId="1E18ACE7" w14:textId="77777777" w:rsidR="00E348E3" w:rsidRPr="00E348E3" w:rsidRDefault="00E348E3" w:rsidP="00E348E3">
            <w:pPr>
              <w:spacing w:after="0" w:line="240" w:lineRule="auto"/>
              <w:rPr>
                <w:rFonts w:ascii="Arial" w:hAnsi="Arial" w:cs="Arial"/>
                <w:bCs/>
              </w:rPr>
            </w:pPr>
            <w:r w:rsidRPr="00E348E3">
              <w:rPr>
                <w:rFonts w:ascii="Arial" w:hAnsi="Arial" w:cs="Arial"/>
              </w:rPr>
              <w:t>Ladywood</w:t>
            </w:r>
          </w:p>
        </w:tc>
        <w:tc>
          <w:tcPr>
            <w:tcW w:w="1417" w:type="dxa"/>
            <w:shd w:val="clear" w:color="auto" w:fill="auto"/>
            <w:noWrap/>
            <w:vAlign w:val="center"/>
          </w:tcPr>
          <w:p w14:paraId="33ADCBE5" w14:textId="77777777" w:rsidR="00E348E3" w:rsidRPr="00E348E3" w:rsidRDefault="00E348E3" w:rsidP="00726835">
            <w:pPr>
              <w:spacing w:after="0" w:line="240" w:lineRule="auto"/>
              <w:jc w:val="center"/>
              <w:rPr>
                <w:rFonts w:ascii="Arial" w:hAnsi="Arial" w:cs="Arial"/>
                <w:bCs/>
              </w:rPr>
            </w:pPr>
            <w:r>
              <w:rPr>
                <w:rFonts w:ascii="Arial" w:hAnsi="Arial" w:cs="Arial"/>
                <w:bCs/>
              </w:rPr>
              <w:t>131</w:t>
            </w:r>
          </w:p>
        </w:tc>
      </w:tr>
      <w:tr w:rsidR="00726835" w:rsidRPr="002D6C29" w14:paraId="02882406" w14:textId="77777777" w:rsidTr="000468CA">
        <w:trPr>
          <w:cantSplit/>
          <w:trHeight w:val="260"/>
        </w:trPr>
        <w:tc>
          <w:tcPr>
            <w:tcW w:w="1795" w:type="dxa"/>
            <w:shd w:val="clear" w:color="auto" w:fill="auto"/>
            <w:noWrap/>
          </w:tcPr>
          <w:p w14:paraId="53C91C5C" w14:textId="77777777" w:rsidR="00E348E3" w:rsidRPr="00E348E3" w:rsidRDefault="00E348E3" w:rsidP="00E348E3">
            <w:pPr>
              <w:spacing w:after="0" w:line="240" w:lineRule="auto"/>
              <w:rPr>
                <w:rFonts w:ascii="Arial" w:hAnsi="Arial" w:cs="Arial"/>
                <w:bCs/>
              </w:rPr>
            </w:pPr>
            <w:r w:rsidRPr="00E348E3">
              <w:rPr>
                <w:rFonts w:ascii="Arial" w:hAnsi="Arial" w:cs="Arial"/>
              </w:rPr>
              <w:t>2023/07784/PA</w:t>
            </w:r>
          </w:p>
        </w:tc>
        <w:tc>
          <w:tcPr>
            <w:tcW w:w="4584" w:type="dxa"/>
            <w:shd w:val="clear" w:color="auto" w:fill="auto"/>
            <w:noWrap/>
          </w:tcPr>
          <w:p w14:paraId="6551E284" w14:textId="77777777" w:rsidR="00E348E3" w:rsidRPr="00E348E3" w:rsidRDefault="00E348E3" w:rsidP="00E348E3">
            <w:pPr>
              <w:spacing w:after="0" w:line="240" w:lineRule="auto"/>
              <w:rPr>
                <w:rFonts w:ascii="Arial" w:hAnsi="Arial" w:cs="Arial"/>
                <w:bCs/>
              </w:rPr>
            </w:pPr>
            <w:r w:rsidRPr="00E348E3">
              <w:rPr>
                <w:rFonts w:ascii="Arial" w:hAnsi="Arial" w:cs="Arial"/>
              </w:rPr>
              <w:t>70-73 Cecil Street and 86 Cliveland Street, Newtown</w:t>
            </w:r>
          </w:p>
        </w:tc>
        <w:tc>
          <w:tcPr>
            <w:tcW w:w="1418" w:type="dxa"/>
            <w:shd w:val="clear" w:color="auto" w:fill="auto"/>
            <w:noWrap/>
          </w:tcPr>
          <w:p w14:paraId="116BCDC7" w14:textId="77777777" w:rsidR="00E348E3" w:rsidRPr="00E348E3" w:rsidRDefault="00E348E3" w:rsidP="00E348E3">
            <w:pPr>
              <w:spacing w:after="0" w:line="240" w:lineRule="auto"/>
              <w:rPr>
                <w:rFonts w:ascii="Arial" w:hAnsi="Arial" w:cs="Arial"/>
                <w:bCs/>
              </w:rPr>
            </w:pPr>
            <w:r w:rsidRPr="00E348E3">
              <w:rPr>
                <w:rFonts w:ascii="Arial" w:hAnsi="Arial" w:cs="Arial"/>
              </w:rPr>
              <w:t>Newtown</w:t>
            </w:r>
          </w:p>
        </w:tc>
        <w:tc>
          <w:tcPr>
            <w:tcW w:w="1417" w:type="dxa"/>
            <w:shd w:val="clear" w:color="auto" w:fill="auto"/>
            <w:noWrap/>
            <w:vAlign w:val="center"/>
          </w:tcPr>
          <w:p w14:paraId="6FC20D61" w14:textId="77777777" w:rsidR="00E348E3" w:rsidRPr="00E348E3" w:rsidRDefault="00E348E3" w:rsidP="00726835">
            <w:pPr>
              <w:spacing w:after="0" w:line="240" w:lineRule="auto"/>
              <w:jc w:val="center"/>
              <w:rPr>
                <w:rFonts w:ascii="Arial" w:hAnsi="Arial" w:cs="Arial"/>
                <w:bCs/>
              </w:rPr>
            </w:pPr>
            <w:r>
              <w:rPr>
                <w:rFonts w:ascii="Arial" w:hAnsi="Arial" w:cs="Arial"/>
                <w:bCs/>
              </w:rPr>
              <w:t>317</w:t>
            </w:r>
          </w:p>
        </w:tc>
      </w:tr>
      <w:tr w:rsidR="00726835" w:rsidRPr="002D6C29" w14:paraId="12FE2B69" w14:textId="77777777" w:rsidTr="000468CA">
        <w:trPr>
          <w:cantSplit/>
          <w:trHeight w:val="260"/>
        </w:trPr>
        <w:tc>
          <w:tcPr>
            <w:tcW w:w="1795" w:type="dxa"/>
            <w:shd w:val="clear" w:color="auto" w:fill="auto"/>
            <w:noWrap/>
          </w:tcPr>
          <w:p w14:paraId="3BDAAF4E" w14:textId="77777777" w:rsidR="00E348E3" w:rsidRPr="00E348E3" w:rsidRDefault="00E348E3" w:rsidP="00E348E3">
            <w:pPr>
              <w:spacing w:after="0" w:line="240" w:lineRule="auto"/>
              <w:rPr>
                <w:rFonts w:ascii="Arial" w:hAnsi="Arial" w:cs="Arial"/>
                <w:bCs/>
              </w:rPr>
            </w:pPr>
            <w:r w:rsidRPr="00E348E3">
              <w:rPr>
                <w:rFonts w:ascii="Arial" w:hAnsi="Arial" w:cs="Arial"/>
              </w:rPr>
              <w:t xml:space="preserve">2023/08709/PA </w:t>
            </w:r>
          </w:p>
        </w:tc>
        <w:tc>
          <w:tcPr>
            <w:tcW w:w="4584" w:type="dxa"/>
            <w:shd w:val="clear" w:color="auto" w:fill="auto"/>
            <w:noWrap/>
          </w:tcPr>
          <w:p w14:paraId="4F8414DC" w14:textId="77777777" w:rsidR="00E348E3" w:rsidRPr="00E348E3" w:rsidRDefault="00E348E3" w:rsidP="00E348E3">
            <w:pPr>
              <w:spacing w:after="0" w:line="240" w:lineRule="auto"/>
              <w:rPr>
                <w:rFonts w:ascii="Arial" w:hAnsi="Arial" w:cs="Arial"/>
                <w:bCs/>
              </w:rPr>
            </w:pPr>
            <w:r w:rsidRPr="00E348E3">
              <w:rPr>
                <w:rFonts w:ascii="Arial" w:hAnsi="Arial" w:cs="Arial"/>
              </w:rPr>
              <w:t>Land to west of Pershore Street</w:t>
            </w:r>
          </w:p>
        </w:tc>
        <w:tc>
          <w:tcPr>
            <w:tcW w:w="1418" w:type="dxa"/>
            <w:shd w:val="clear" w:color="auto" w:fill="auto"/>
            <w:noWrap/>
          </w:tcPr>
          <w:p w14:paraId="19211E61" w14:textId="77777777" w:rsidR="00E348E3" w:rsidRPr="00E348E3" w:rsidRDefault="00E348E3" w:rsidP="00E348E3">
            <w:pPr>
              <w:spacing w:after="0" w:line="240" w:lineRule="auto"/>
              <w:rPr>
                <w:rFonts w:ascii="Arial" w:hAnsi="Arial" w:cs="Arial"/>
                <w:bCs/>
              </w:rPr>
            </w:pPr>
            <w:r w:rsidRPr="00E348E3">
              <w:rPr>
                <w:rFonts w:ascii="Arial" w:hAnsi="Arial" w:cs="Arial"/>
              </w:rPr>
              <w:t>Bordesley &amp; Highgate</w:t>
            </w:r>
          </w:p>
        </w:tc>
        <w:tc>
          <w:tcPr>
            <w:tcW w:w="1417" w:type="dxa"/>
            <w:shd w:val="clear" w:color="auto" w:fill="auto"/>
            <w:noWrap/>
            <w:vAlign w:val="center"/>
          </w:tcPr>
          <w:p w14:paraId="26973CA4" w14:textId="77777777" w:rsidR="00E348E3" w:rsidRPr="00E348E3" w:rsidRDefault="00E348E3" w:rsidP="00726835">
            <w:pPr>
              <w:spacing w:after="0" w:line="240" w:lineRule="auto"/>
              <w:jc w:val="center"/>
              <w:rPr>
                <w:rFonts w:ascii="Arial" w:hAnsi="Arial" w:cs="Arial"/>
                <w:bCs/>
              </w:rPr>
            </w:pPr>
            <w:r>
              <w:rPr>
                <w:rFonts w:ascii="Arial" w:hAnsi="Arial" w:cs="Arial"/>
                <w:bCs/>
              </w:rPr>
              <w:t>3</w:t>
            </w:r>
            <w:r w:rsidR="00AA6CC6">
              <w:rPr>
                <w:rFonts w:ascii="Arial" w:hAnsi="Arial" w:cs="Arial"/>
                <w:bCs/>
              </w:rPr>
              <w:t>0</w:t>
            </w:r>
            <w:r>
              <w:rPr>
                <w:rFonts w:ascii="Arial" w:hAnsi="Arial" w:cs="Arial"/>
                <w:bCs/>
              </w:rPr>
              <w:t>1</w:t>
            </w:r>
          </w:p>
        </w:tc>
      </w:tr>
      <w:tr w:rsidR="00726835" w:rsidRPr="002D6C29" w14:paraId="73E8D18E" w14:textId="77777777" w:rsidTr="000468CA">
        <w:trPr>
          <w:cantSplit/>
          <w:trHeight w:val="260"/>
        </w:trPr>
        <w:tc>
          <w:tcPr>
            <w:tcW w:w="1795" w:type="dxa"/>
            <w:shd w:val="clear" w:color="auto" w:fill="auto"/>
            <w:noWrap/>
          </w:tcPr>
          <w:p w14:paraId="3BD407BA" w14:textId="77777777" w:rsidR="00E348E3" w:rsidRPr="00E348E3" w:rsidRDefault="00E348E3" w:rsidP="00E348E3">
            <w:pPr>
              <w:spacing w:after="0" w:line="240" w:lineRule="auto"/>
              <w:rPr>
                <w:rFonts w:ascii="Arial" w:hAnsi="Arial" w:cs="Arial"/>
                <w:bCs/>
              </w:rPr>
            </w:pPr>
            <w:r w:rsidRPr="00E348E3">
              <w:rPr>
                <w:rFonts w:ascii="Arial" w:hAnsi="Arial" w:cs="Arial"/>
              </w:rPr>
              <w:t>2024/02669/PA</w:t>
            </w:r>
          </w:p>
        </w:tc>
        <w:tc>
          <w:tcPr>
            <w:tcW w:w="4584" w:type="dxa"/>
            <w:shd w:val="clear" w:color="auto" w:fill="auto"/>
            <w:noWrap/>
          </w:tcPr>
          <w:p w14:paraId="50394755" w14:textId="77777777" w:rsidR="00E348E3" w:rsidRPr="00E348E3" w:rsidRDefault="00E348E3" w:rsidP="00E348E3">
            <w:pPr>
              <w:spacing w:after="0" w:line="240" w:lineRule="auto"/>
              <w:rPr>
                <w:rFonts w:ascii="Arial" w:hAnsi="Arial" w:cs="Arial"/>
                <w:bCs/>
              </w:rPr>
            </w:pPr>
            <w:r w:rsidRPr="00E348E3">
              <w:rPr>
                <w:rFonts w:ascii="Arial" w:hAnsi="Arial" w:cs="Arial"/>
              </w:rPr>
              <w:t>34-36 Horse Fair, Southside</w:t>
            </w:r>
          </w:p>
        </w:tc>
        <w:tc>
          <w:tcPr>
            <w:tcW w:w="1418" w:type="dxa"/>
            <w:shd w:val="clear" w:color="auto" w:fill="auto"/>
            <w:noWrap/>
          </w:tcPr>
          <w:p w14:paraId="40725CC6" w14:textId="77777777" w:rsidR="00E348E3" w:rsidRPr="00E348E3" w:rsidRDefault="00E348E3" w:rsidP="00E348E3">
            <w:pPr>
              <w:spacing w:after="0" w:line="240" w:lineRule="auto"/>
              <w:rPr>
                <w:rFonts w:ascii="Arial" w:hAnsi="Arial" w:cs="Arial"/>
                <w:bCs/>
              </w:rPr>
            </w:pPr>
            <w:r w:rsidRPr="00E348E3">
              <w:rPr>
                <w:rFonts w:ascii="Arial" w:hAnsi="Arial" w:cs="Arial"/>
              </w:rPr>
              <w:t>Bordesley &amp; Highgate</w:t>
            </w:r>
          </w:p>
        </w:tc>
        <w:tc>
          <w:tcPr>
            <w:tcW w:w="1417" w:type="dxa"/>
            <w:shd w:val="clear" w:color="auto" w:fill="auto"/>
            <w:noWrap/>
            <w:vAlign w:val="center"/>
          </w:tcPr>
          <w:p w14:paraId="7E5DEA0C" w14:textId="77777777" w:rsidR="00E348E3" w:rsidRPr="00E348E3" w:rsidRDefault="00E348E3" w:rsidP="00726835">
            <w:pPr>
              <w:spacing w:after="0" w:line="240" w:lineRule="auto"/>
              <w:jc w:val="center"/>
              <w:rPr>
                <w:rFonts w:ascii="Arial" w:hAnsi="Arial" w:cs="Arial"/>
                <w:bCs/>
              </w:rPr>
            </w:pPr>
            <w:r>
              <w:rPr>
                <w:rFonts w:ascii="Arial" w:hAnsi="Arial" w:cs="Arial"/>
                <w:bCs/>
              </w:rPr>
              <w:t>182</w:t>
            </w:r>
          </w:p>
        </w:tc>
      </w:tr>
      <w:tr w:rsidR="00726835" w:rsidRPr="002D6C29" w14:paraId="735C8C38" w14:textId="77777777" w:rsidTr="000468CA">
        <w:trPr>
          <w:cantSplit/>
          <w:trHeight w:val="260"/>
        </w:trPr>
        <w:tc>
          <w:tcPr>
            <w:tcW w:w="1795" w:type="dxa"/>
            <w:shd w:val="clear" w:color="auto" w:fill="auto"/>
            <w:noWrap/>
          </w:tcPr>
          <w:p w14:paraId="45BC36E3" w14:textId="77777777" w:rsidR="00E348E3" w:rsidRPr="00E348E3" w:rsidRDefault="00E348E3" w:rsidP="00E348E3">
            <w:pPr>
              <w:spacing w:after="0" w:line="240" w:lineRule="auto"/>
              <w:rPr>
                <w:rFonts w:ascii="Arial" w:hAnsi="Arial" w:cs="Arial"/>
                <w:bCs/>
              </w:rPr>
            </w:pPr>
            <w:r w:rsidRPr="00E348E3">
              <w:rPr>
                <w:rFonts w:ascii="Arial" w:hAnsi="Arial" w:cs="Arial"/>
              </w:rPr>
              <w:t>2024/02725/PA</w:t>
            </w:r>
          </w:p>
        </w:tc>
        <w:tc>
          <w:tcPr>
            <w:tcW w:w="4584" w:type="dxa"/>
            <w:shd w:val="clear" w:color="auto" w:fill="auto"/>
            <w:noWrap/>
          </w:tcPr>
          <w:p w14:paraId="60927782" w14:textId="77777777" w:rsidR="00E348E3" w:rsidRPr="00E348E3" w:rsidRDefault="00E348E3" w:rsidP="00E348E3">
            <w:pPr>
              <w:spacing w:after="0" w:line="240" w:lineRule="auto"/>
              <w:rPr>
                <w:rFonts w:ascii="Arial" w:hAnsi="Arial" w:cs="Arial"/>
                <w:bCs/>
              </w:rPr>
            </w:pPr>
            <w:r w:rsidRPr="00E348E3">
              <w:rPr>
                <w:rFonts w:ascii="Arial" w:hAnsi="Arial" w:cs="Arial"/>
              </w:rPr>
              <w:t>Maple House, 150 Corporation Street</w:t>
            </w:r>
          </w:p>
        </w:tc>
        <w:tc>
          <w:tcPr>
            <w:tcW w:w="1418" w:type="dxa"/>
            <w:shd w:val="clear" w:color="auto" w:fill="auto"/>
            <w:noWrap/>
          </w:tcPr>
          <w:p w14:paraId="6DFF9648" w14:textId="77777777" w:rsidR="00E348E3" w:rsidRPr="00E348E3" w:rsidRDefault="00E348E3" w:rsidP="00E348E3">
            <w:pPr>
              <w:spacing w:after="0" w:line="240" w:lineRule="auto"/>
              <w:rPr>
                <w:rFonts w:ascii="Arial" w:hAnsi="Arial" w:cs="Arial"/>
                <w:bCs/>
              </w:rPr>
            </w:pPr>
            <w:r w:rsidRPr="00E348E3">
              <w:rPr>
                <w:rFonts w:ascii="Arial" w:hAnsi="Arial" w:cs="Arial"/>
              </w:rPr>
              <w:t>Ladywood</w:t>
            </w:r>
          </w:p>
        </w:tc>
        <w:tc>
          <w:tcPr>
            <w:tcW w:w="1417" w:type="dxa"/>
            <w:shd w:val="clear" w:color="auto" w:fill="auto"/>
            <w:noWrap/>
            <w:vAlign w:val="center"/>
          </w:tcPr>
          <w:p w14:paraId="0135431E" w14:textId="77777777" w:rsidR="00E348E3" w:rsidRPr="00E348E3" w:rsidRDefault="00E348E3" w:rsidP="00726835">
            <w:pPr>
              <w:spacing w:after="0" w:line="240" w:lineRule="auto"/>
              <w:jc w:val="center"/>
              <w:rPr>
                <w:rFonts w:ascii="Arial" w:hAnsi="Arial" w:cs="Arial"/>
                <w:bCs/>
              </w:rPr>
            </w:pPr>
            <w:r>
              <w:rPr>
                <w:rFonts w:ascii="Arial" w:hAnsi="Arial" w:cs="Arial"/>
                <w:bCs/>
              </w:rPr>
              <w:t>383</w:t>
            </w:r>
          </w:p>
        </w:tc>
      </w:tr>
      <w:tr w:rsidR="00726835" w:rsidRPr="002D6C29" w14:paraId="193FD08E" w14:textId="77777777" w:rsidTr="000468CA">
        <w:trPr>
          <w:cantSplit/>
          <w:trHeight w:val="260"/>
        </w:trPr>
        <w:tc>
          <w:tcPr>
            <w:tcW w:w="1795" w:type="dxa"/>
            <w:shd w:val="clear" w:color="auto" w:fill="auto"/>
            <w:noWrap/>
          </w:tcPr>
          <w:p w14:paraId="407C34A2" w14:textId="77777777" w:rsidR="00E348E3" w:rsidRPr="00E348E3" w:rsidRDefault="00E348E3" w:rsidP="00E348E3">
            <w:pPr>
              <w:spacing w:after="0" w:line="240" w:lineRule="auto"/>
              <w:rPr>
                <w:rFonts w:ascii="Arial" w:hAnsi="Arial" w:cs="Arial"/>
                <w:bCs/>
              </w:rPr>
            </w:pPr>
            <w:r w:rsidRPr="00E348E3">
              <w:rPr>
                <w:rFonts w:ascii="Arial" w:hAnsi="Arial" w:cs="Arial"/>
              </w:rPr>
              <w:t>2024/02897/PA</w:t>
            </w:r>
          </w:p>
        </w:tc>
        <w:tc>
          <w:tcPr>
            <w:tcW w:w="4584" w:type="dxa"/>
            <w:shd w:val="clear" w:color="auto" w:fill="auto"/>
            <w:noWrap/>
          </w:tcPr>
          <w:p w14:paraId="77FC0CA1" w14:textId="77777777" w:rsidR="00E348E3" w:rsidRPr="00E348E3" w:rsidRDefault="00E348E3" w:rsidP="00E348E3">
            <w:pPr>
              <w:spacing w:after="0" w:line="240" w:lineRule="auto"/>
              <w:rPr>
                <w:rFonts w:ascii="Arial" w:hAnsi="Arial" w:cs="Arial"/>
                <w:bCs/>
              </w:rPr>
            </w:pPr>
            <w:r w:rsidRPr="00E348E3">
              <w:rPr>
                <w:rFonts w:ascii="Arial" w:hAnsi="Arial" w:cs="Arial"/>
              </w:rPr>
              <w:t>Land corner of Tennant Street and Granville Street</w:t>
            </w:r>
          </w:p>
        </w:tc>
        <w:tc>
          <w:tcPr>
            <w:tcW w:w="1418" w:type="dxa"/>
            <w:shd w:val="clear" w:color="auto" w:fill="auto"/>
            <w:noWrap/>
          </w:tcPr>
          <w:p w14:paraId="1B7D7E44" w14:textId="77777777" w:rsidR="00E348E3" w:rsidRPr="00E348E3" w:rsidRDefault="00E348E3" w:rsidP="00E348E3">
            <w:pPr>
              <w:spacing w:after="0" w:line="240" w:lineRule="auto"/>
              <w:rPr>
                <w:rFonts w:ascii="Arial" w:hAnsi="Arial" w:cs="Arial"/>
                <w:bCs/>
              </w:rPr>
            </w:pPr>
            <w:r w:rsidRPr="00E348E3">
              <w:rPr>
                <w:rFonts w:ascii="Arial" w:hAnsi="Arial" w:cs="Arial"/>
              </w:rPr>
              <w:t>Ladywood</w:t>
            </w:r>
          </w:p>
        </w:tc>
        <w:tc>
          <w:tcPr>
            <w:tcW w:w="1417" w:type="dxa"/>
            <w:shd w:val="clear" w:color="auto" w:fill="auto"/>
            <w:noWrap/>
            <w:vAlign w:val="center"/>
          </w:tcPr>
          <w:p w14:paraId="3861C142" w14:textId="77777777" w:rsidR="00E348E3" w:rsidRPr="00E348E3" w:rsidRDefault="00E348E3" w:rsidP="00726835">
            <w:pPr>
              <w:spacing w:after="0" w:line="240" w:lineRule="auto"/>
              <w:jc w:val="center"/>
              <w:rPr>
                <w:rFonts w:ascii="Arial" w:hAnsi="Arial" w:cs="Arial"/>
                <w:bCs/>
              </w:rPr>
            </w:pPr>
            <w:r>
              <w:rPr>
                <w:rFonts w:ascii="Arial" w:hAnsi="Arial" w:cs="Arial"/>
                <w:bCs/>
              </w:rPr>
              <w:t>216</w:t>
            </w:r>
          </w:p>
        </w:tc>
      </w:tr>
      <w:tr w:rsidR="00726835" w:rsidRPr="002D6C29" w14:paraId="2E7F3650" w14:textId="77777777" w:rsidTr="000468CA">
        <w:trPr>
          <w:cantSplit/>
          <w:trHeight w:val="260"/>
        </w:trPr>
        <w:tc>
          <w:tcPr>
            <w:tcW w:w="1795" w:type="dxa"/>
            <w:shd w:val="clear" w:color="auto" w:fill="auto"/>
            <w:noWrap/>
          </w:tcPr>
          <w:p w14:paraId="40308751" w14:textId="77777777" w:rsidR="00E348E3" w:rsidRPr="00E348E3" w:rsidRDefault="00E348E3" w:rsidP="00E348E3">
            <w:pPr>
              <w:spacing w:after="0" w:line="240" w:lineRule="auto"/>
              <w:rPr>
                <w:rFonts w:ascii="Arial" w:hAnsi="Arial" w:cs="Arial"/>
                <w:bCs/>
              </w:rPr>
            </w:pPr>
            <w:r w:rsidRPr="00E348E3">
              <w:rPr>
                <w:rFonts w:ascii="Arial" w:hAnsi="Arial" w:cs="Arial"/>
              </w:rPr>
              <w:t>2024/03375/PA</w:t>
            </w:r>
          </w:p>
        </w:tc>
        <w:tc>
          <w:tcPr>
            <w:tcW w:w="4584" w:type="dxa"/>
            <w:shd w:val="clear" w:color="auto" w:fill="auto"/>
            <w:noWrap/>
          </w:tcPr>
          <w:p w14:paraId="20C3FCF4" w14:textId="77777777" w:rsidR="00E348E3" w:rsidRPr="00E348E3" w:rsidRDefault="00E348E3" w:rsidP="00E348E3">
            <w:pPr>
              <w:spacing w:after="0" w:line="240" w:lineRule="auto"/>
              <w:rPr>
                <w:rFonts w:ascii="Arial" w:hAnsi="Arial" w:cs="Arial"/>
                <w:bCs/>
              </w:rPr>
            </w:pPr>
            <w:r w:rsidRPr="00E348E3">
              <w:rPr>
                <w:rFonts w:ascii="Arial" w:hAnsi="Arial" w:cs="Arial"/>
              </w:rPr>
              <w:t>35 and 50 Cliveland Street</w:t>
            </w:r>
          </w:p>
        </w:tc>
        <w:tc>
          <w:tcPr>
            <w:tcW w:w="1418" w:type="dxa"/>
            <w:shd w:val="clear" w:color="auto" w:fill="auto"/>
            <w:noWrap/>
          </w:tcPr>
          <w:p w14:paraId="19CBDDE8" w14:textId="77777777" w:rsidR="00E348E3" w:rsidRPr="00E348E3" w:rsidRDefault="00E348E3" w:rsidP="00E348E3">
            <w:pPr>
              <w:spacing w:after="0" w:line="240" w:lineRule="auto"/>
              <w:rPr>
                <w:rFonts w:ascii="Arial" w:hAnsi="Arial" w:cs="Arial"/>
                <w:bCs/>
              </w:rPr>
            </w:pPr>
            <w:r w:rsidRPr="00E348E3">
              <w:rPr>
                <w:rFonts w:ascii="Arial" w:hAnsi="Arial" w:cs="Arial"/>
              </w:rPr>
              <w:t>Newtown</w:t>
            </w:r>
          </w:p>
        </w:tc>
        <w:tc>
          <w:tcPr>
            <w:tcW w:w="1417" w:type="dxa"/>
            <w:shd w:val="clear" w:color="auto" w:fill="auto"/>
            <w:noWrap/>
            <w:vAlign w:val="center"/>
          </w:tcPr>
          <w:p w14:paraId="3D0CC8C6" w14:textId="77777777" w:rsidR="00E348E3" w:rsidRPr="00E348E3" w:rsidRDefault="00E348E3" w:rsidP="00726835">
            <w:pPr>
              <w:spacing w:after="0" w:line="240" w:lineRule="auto"/>
              <w:jc w:val="center"/>
              <w:rPr>
                <w:rFonts w:ascii="Arial" w:hAnsi="Arial" w:cs="Arial"/>
                <w:bCs/>
              </w:rPr>
            </w:pPr>
            <w:r>
              <w:rPr>
                <w:rFonts w:ascii="Arial" w:hAnsi="Arial" w:cs="Arial"/>
                <w:bCs/>
              </w:rPr>
              <w:t>279</w:t>
            </w:r>
          </w:p>
        </w:tc>
      </w:tr>
      <w:tr w:rsidR="00726835" w:rsidRPr="002D6C29" w14:paraId="2D25CBB8" w14:textId="77777777" w:rsidTr="000468CA">
        <w:trPr>
          <w:cantSplit/>
          <w:trHeight w:val="260"/>
        </w:trPr>
        <w:tc>
          <w:tcPr>
            <w:tcW w:w="1795" w:type="dxa"/>
            <w:shd w:val="clear" w:color="auto" w:fill="auto"/>
            <w:noWrap/>
          </w:tcPr>
          <w:p w14:paraId="6153617E" w14:textId="77777777" w:rsidR="00E348E3" w:rsidRPr="00E348E3" w:rsidRDefault="00E348E3" w:rsidP="00E348E3">
            <w:pPr>
              <w:spacing w:after="0" w:line="240" w:lineRule="auto"/>
              <w:rPr>
                <w:rFonts w:ascii="Arial" w:hAnsi="Arial" w:cs="Arial"/>
                <w:bCs/>
              </w:rPr>
            </w:pPr>
            <w:r w:rsidRPr="00E348E3">
              <w:rPr>
                <w:rFonts w:ascii="Arial" w:hAnsi="Arial" w:cs="Arial"/>
              </w:rPr>
              <w:t>2024/04265/PA</w:t>
            </w:r>
          </w:p>
        </w:tc>
        <w:tc>
          <w:tcPr>
            <w:tcW w:w="4584" w:type="dxa"/>
            <w:shd w:val="clear" w:color="auto" w:fill="auto"/>
            <w:noWrap/>
          </w:tcPr>
          <w:p w14:paraId="56D01516" w14:textId="77777777" w:rsidR="00E348E3" w:rsidRPr="00E348E3" w:rsidRDefault="00E348E3" w:rsidP="00E348E3">
            <w:pPr>
              <w:spacing w:after="0" w:line="240" w:lineRule="auto"/>
              <w:rPr>
                <w:rFonts w:ascii="Arial" w:hAnsi="Arial" w:cs="Arial"/>
                <w:bCs/>
              </w:rPr>
            </w:pPr>
            <w:r w:rsidRPr="00E348E3">
              <w:rPr>
                <w:rFonts w:ascii="Arial" w:hAnsi="Arial" w:cs="Arial"/>
              </w:rPr>
              <w:t>1 Lancaster Circus, Queensway</w:t>
            </w:r>
          </w:p>
        </w:tc>
        <w:tc>
          <w:tcPr>
            <w:tcW w:w="1418" w:type="dxa"/>
            <w:shd w:val="clear" w:color="auto" w:fill="auto"/>
            <w:noWrap/>
          </w:tcPr>
          <w:p w14:paraId="07C5BF91" w14:textId="77777777" w:rsidR="00E348E3" w:rsidRPr="00E348E3" w:rsidRDefault="00E348E3" w:rsidP="00E348E3">
            <w:pPr>
              <w:spacing w:after="0" w:line="240" w:lineRule="auto"/>
              <w:rPr>
                <w:rFonts w:ascii="Arial" w:hAnsi="Arial" w:cs="Arial"/>
                <w:bCs/>
              </w:rPr>
            </w:pPr>
            <w:r w:rsidRPr="00E348E3">
              <w:rPr>
                <w:rFonts w:ascii="Arial" w:hAnsi="Arial" w:cs="Arial"/>
              </w:rPr>
              <w:t>Newtown</w:t>
            </w:r>
          </w:p>
        </w:tc>
        <w:tc>
          <w:tcPr>
            <w:tcW w:w="1417" w:type="dxa"/>
            <w:shd w:val="clear" w:color="auto" w:fill="auto"/>
            <w:noWrap/>
            <w:vAlign w:val="center"/>
          </w:tcPr>
          <w:p w14:paraId="4852D798" w14:textId="77777777" w:rsidR="00E348E3" w:rsidRPr="00E348E3" w:rsidRDefault="00E348E3" w:rsidP="00726835">
            <w:pPr>
              <w:spacing w:after="0" w:line="240" w:lineRule="auto"/>
              <w:jc w:val="center"/>
              <w:rPr>
                <w:rFonts w:ascii="Arial" w:hAnsi="Arial" w:cs="Arial"/>
                <w:bCs/>
              </w:rPr>
            </w:pPr>
            <w:r>
              <w:rPr>
                <w:rFonts w:ascii="Arial" w:hAnsi="Arial" w:cs="Arial"/>
                <w:bCs/>
              </w:rPr>
              <w:t>1,968</w:t>
            </w:r>
          </w:p>
        </w:tc>
      </w:tr>
      <w:tr w:rsidR="00726835" w:rsidRPr="002D6C29" w14:paraId="1C14B257" w14:textId="77777777" w:rsidTr="000468CA">
        <w:trPr>
          <w:cantSplit/>
          <w:trHeight w:val="260"/>
        </w:trPr>
        <w:tc>
          <w:tcPr>
            <w:tcW w:w="1795" w:type="dxa"/>
            <w:shd w:val="clear" w:color="auto" w:fill="auto"/>
            <w:noWrap/>
          </w:tcPr>
          <w:p w14:paraId="1E052218" w14:textId="77777777" w:rsidR="00E348E3" w:rsidRPr="00E348E3" w:rsidRDefault="00E348E3" w:rsidP="00E348E3">
            <w:pPr>
              <w:spacing w:after="0" w:line="240" w:lineRule="auto"/>
              <w:rPr>
                <w:rFonts w:ascii="Arial" w:hAnsi="Arial" w:cs="Arial"/>
                <w:bCs/>
              </w:rPr>
            </w:pPr>
            <w:r w:rsidRPr="00E348E3">
              <w:rPr>
                <w:rFonts w:ascii="Arial" w:hAnsi="Arial" w:cs="Arial"/>
              </w:rPr>
              <w:t>2024/06104/PA</w:t>
            </w:r>
          </w:p>
        </w:tc>
        <w:tc>
          <w:tcPr>
            <w:tcW w:w="4584" w:type="dxa"/>
            <w:shd w:val="clear" w:color="auto" w:fill="auto"/>
            <w:noWrap/>
          </w:tcPr>
          <w:p w14:paraId="45F9BACD" w14:textId="77777777" w:rsidR="00E348E3" w:rsidRPr="00E348E3" w:rsidRDefault="00E348E3" w:rsidP="00E348E3">
            <w:pPr>
              <w:spacing w:after="0" w:line="240" w:lineRule="auto"/>
              <w:rPr>
                <w:rFonts w:ascii="Arial" w:hAnsi="Arial" w:cs="Arial"/>
                <w:bCs/>
              </w:rPr>
            </w:pPr>
            <w:r w:rsidRPr="00E348E3">
              <w:rPr>
                <w:rFonts w:ascii="Arial" w:hAnsi="Arial" w:cs="Arial"/>
              </w:rPr>
              <w:t>Site of the former Axis Building</w:t>
            </w:r>
            <w:r>
              <w:rPr>
                <w:rFonts w:ascii="Arial" w:hAnsi="Arial" w:cs="Arial"/>
              </w:rPr>
              <w:t>, Holliday Street</w:t>
            </w:r>
          </w:p>
        </w:tc>
        <w:tc>
          <w:tcPr>
            <w:tcW w:w="1418" w:type="dxa"/>
            <w:shd w:val="clear" w:color="auto" w:fill="auto"/>
            <w:noWrap/>
          </w:tcPr>
          <w:p w14:paraId="18801A46" w14:textId="77777777" w:rsidR="00E348E3" w:rsidRPr="00E348E3" w:rsidRDefault="00E348E3" w:rsidP="00E348E3">
            <w:pPr>
              <w:spacing w:after="0" w:line="240" w:lineRule="auto"/>
              <w:rPr>
                <w:rFonts w:ascii="Arial" w:hAnsi="Arial" w:cs="Arial"/>
                <w:bCs/>
              </w:rPr>
            </w:pPr>
            <w:r w:rsidRPr="00E348E3">
              <w:rPr>
                <w:rFonts w:ascii="Arial" w:hAnsi="Arial" w:cs="Arial"/>
              </w:rPr>
              <w:t>Ladywood</w:t>
            </w:r>
          </w:p>
        </w:tc>
        <w:tc>
          <w:tcPr>
            <w:tcW w:w="1417" w:type="dxa"/>
            <w:shd w:val="clear" w:color="auto" w:fill="auto"/>
            <w:noWrap/>
            <w:vAlign w:val="center"/>
          </w:tcPr>
          <w:p w14:paraId="057CB411" w14:textId="77777777" w:rsidR="00E348E3" w:rsidRPr="00E348E3" w:rsidRDefault="00E348E3" w:rsidP="00726835">
            <w:pPr>
              <w:spacing w:after="0" w:line="240" w:lineRule="auto"/>
              <w:jc w:val="center"/>
              <w:rPr>
                <w:rFonts w:ascii="Arial" w:hAnsi="Arial" w:cs="Arial"/>
                <w:bCs/>
              </w:rPr>
            </w:pPr>
            <w:r>
              <w:rPr>
                <w:rFonts w:ascii="Arial" w:hAnsi="Arial" w:cs="Arial"/>
                <w:bCs/>
              </w:rPr>
              <w:t>270</w:t>
            </w:r>
          </w:p>
        </w:tc>
      </w:tr>
      <w:tr w:rsidR="00726835" w:rsidRPr="002D6C29" w14:paraId="15735447" w14:textId="77777777" w:rsidTr="000468CA">
        <w:trPr>
          <w:cantSplit/>
          <w:trHeight w:val="260"/>
        </w:trPr>
        <w:tc>
          <w:tcPr>
            <w:tcW w:w="1795" w:type="dxa"/>
            <w:shd w:val="clear" w:color="auto" w:fill="auto"/>
            <w:noWrap/>
          </w:tcPr>
          <w:p w14:paraId="610A75FE" w14:textId="77777777" w:rsidR="00E348E3" w:rsidRPr="00E348E3" w:rsidRDefault="00E348E3" w:rsidP="00E348E3">
            <w:pPr>
              <w:spacing w:after="0" w:line="240" w:lineRule="auto"/>
              <w:rPr>
                <w:rFonts w:ascii="Arial" w:hAnsi="Arial" w:cs="Arial"/>
                <w:bCs/>
              </w:rPr>
            </w:pPr>
            <w:r w:rsidRPr="00E348E3">
              <w:rPr>
                <w:rFonts w:ascii="Arial" w:hAnsi="Arial" w:cs="Arial"/>
              </w:rPr>
              <w:t>2024/06155/PA</w:t>
            </w:r>
          </w:p>
        </w:tc>
        <w:tc>
          <w:tcPr>
            <w:tcW w:w="4584" w:type="dxa"/>
            <w:shd w:val="clear" w:color="auto" w:fill="auto"/>
            <w:noWrap/>
          </w:tcPr>
          <w:p w14:paraId="695D6890" w14:textId="77777777" w:rsidR="00E348E3" w:rsidRPr="00E348E3" w:rsidRDefault="00E348E3" w:rsidP="00E348E3">
            <w:pPr>
              <w:spacing w:after="0" w:line="240" w:lineRule="auto"/>
              <w:rPr>
                <w:rFonts w:ascii="Arial" w:hAnsi="Arial" w:cs="Arial"/>
                <w:bCs/>
              </w:rPr>
            </w:pPr>
            <w:r w:rsidRPr="00E348E3">
              <w:rPr>
                <w:rFonts w:ascii="Arial" w:hAnsi="Arial" w:cs="Arial"/>
              </w:rPr>
              <w:t xml:space="preserve">Indoor Market 50 Edgbaston Street </w:t>
            </w:r>
          </w:p>
        </w:tc>
        <w:tc>
          <w:tcPr>
            <w:tcW w:w="1418" w:type="dxa"/>
            <w:shd w:val="clear" w:color="auto" w:fill="auto"/>
            <w:noWrap/>
          </w:tcPr>
          <w:p w14:paraId="3F814D9B" w14:textId="77777777" w:rsidR="00E348E3" w:rsidRPr="00E348E3" w:rsidRDefault="00E348E3" w:rsidP="00E348E3">
            <w:pPr>
              <w:spacing w:after="0" w:line="240" w:lineRule="auto"/>
              <w:rPr>
                <w:rFonts w:ascii="Arial" w:hAnsi="Arial" w:cs="Arial"/>
                <w:bCs/>
              </w:rPr>
            </w:pPr>
            <w:r w:rsidRPr="00E348E3">
              <w:rPr>
                <w:rFonts w:ascii="Arial" w:hAnsi="Arial" w:cs="Arial"/>
              </w:rPr>
              <w:t>Bordesley &amp; Highgate</w:t>
            </w:r>
          </w:p>
        </w:tc>
        <w:tc>
          <w:tcPr>
            <w:tcW w:w="1417" w:type="dxa"/>
            <w:shd w:val="clear" w:color="auto" w:fill="auto"/>
            <w:noWrap/>
            <w:vAlign w:val="center"/>
          </w:tcPr>
          <w:p w14:paraId="5E8AFF5C" w14:textId="77777777" w:rsidR="00E348E3" w:rsidRPr="00E348E3" w:rsidRDefault="00E348E3" w:rsidP="00726835">
            <w:pPr>
              <w:spacing w:after="0" w:line="240" w:lineRule="auto"/>
              <w:jc w:val="center"/>
              <w:rPr>
                <w:rFonts w:ascii="Arial" w:hAnsi="Arial" w:cs="Arial"/>
                <w:bCs/>
              </w:rPr>
            </w:pPr>
            <w:r>
              <w:rPr>
                <w:rFonts w:ascii="Arial" w:hAnsi="Arial" w:cs="Arial"/>
                <w:bCs/>
              </w:rPr>
              <w:t>1,544</w:t>
            </w:r>
          </w:p>
        </w:tc>
      </w:tr>
      <w:tr w:rsidR="00FC74D4" w:rsidRPr="002D6C29" w14:paraId="07EA148A" w14:textId="77777777" w:rsidTr="000468CA">
        <w:trPr>
          <w:cantSplit/>
          <w:trHeight w:val="260"/>
        </w:trPr>
        <w:tc>
          <w:tcPr>
            <w:tcW w:w="1795" w:type="dxa"/>
            <w:shd w:val="clear" w:color="auto" w:fill="auto"/>
            <w:noWrap/>
          </w:tcPr>
          <w:p w14:paraId="0474D1D5" w14:textId="77777777" w:rsidR="00FC74D4" w:rsidRPr="002D6C29" w:rsidRDefault="00FC74D4" w:rsidP="002D6C29">
            <w:pPr>
              <w:spacing w:after="0" w:line="240" w:lineRule="auto"/>
              <w:rPr>
                <w:rFonts w:ascii="Arial" w:hAnsi="Arial" w:cs="Arial"/>
                <w:b/>
              </w:rPr>
            </w:pPr>
            <w:r w:rsidRPr="002D6C29">
              <w:rPr>
                <w:rFonts w:ascii="Arial" w:hAnsi="Arial" w:cs="Arial"/>
                <w:b/>
              </w:rPr>
              <w:t>Total</w:t>
            </w:r>
          </w:p>
        </w:tc>
        <w:tc>
          <w:tcPr>
            <w:tcW w:w="4584" w:type="dxa"/>
            <w:shd w:val="clear" w:color="auto" w:fill="auto"/>
            <w:noWrap/>
          </w:tcPr>
          <w:p w14:paraId="10A28809" w14:textId="77777777" w:rsidR="00FC74D4" w:rsidRPr="002D6C29" w:rsidRDefault="00FC74D4" w:rsidP="002D6C29">
            <w:pPr>
              <w:spacing w:after="0" w:line="240" w:lineRule="auto"/>
              <w:rPr>
                <w:rFonts w:ascii="Arial" w:hAnsi="Arial" w:cs="Arial"/>
                <w:b/>
              </w:rPr>
            </w:pPr>
          </w:p>
        </w:tc>
        <w:tc>
          <w:tcPr>
            <w:tcW w:w="1418" w:type="dxa"/>
            <w:shd w:val="clear" w:color="auto" w:fill="auto"/>
            <w:noWrap/>
          </w:tcPr>
          <w:p w14:paraId="464988D3" w14:textId="77777777" w:rsidR="00FC74D4" w:rsidRPr="002D6C29" w:rsidRDefault="00FC74D4" w:rsidP="002D6C29">
            <w:pPr>
              <w:spacing w:after="0" w:line="240" w:lineRule="auto"/>
              <w:rPr>
                <w:rFonts w:ascii="Arial" w:hAnsi="Arial" w:cs="Arial"/>
                <w:b/>
              </w:rPr>
            </w:pPr>
          </w:p>
        </w:tc>
        <w:tc>
          <w:tcPr>
            <w:tcW w:w="1417" w:type="dxa"/>
            <w:shd w:val="clear" w:color="auto" w:fill="auto"/>
            <w:noWrap/>
            <w:vAlign w:val="center"/>
          </w:tcPr>
          <w:p w14:paraId="0E12F267" w14:textId="77777777" w:rsidR="00FC74D4" w:rsidRPr="002D6C29" w:rsidRDefault="00E348E3" w:rsidP="00726835">
            <w:pPr>
              <w:spacing w:after="0" w:line="240" w:lineRule="auto"/>
              <w:jc w:val="center"/>
              <w:rPr>
                <w:rFonts w:ascii="Arial" w:hAnsi="Arial" w:cs="Arial"/>
                <w:b/>
              </w:rPr>
            </w:pPr>
            <w:r>
              <w:rPr>
                <w:rFonts w:ascii="Arial" w:hAnsi="Arial" w:cs="Arial"/>
                <w:b/>
              </w:rPr>
              <w:t>5,</w:t>
            </w:r>
            <w:r w:rsidR="00AA6CC6">
              <w:rPr>
                <w:rFonts w:ascii="Arial" w:hAnsi="Arial" w:cs="Arial"/>
                <w:b/>
              </w:rPr>
              <w:t>59</w:t>
            </w:r>
            <w:r>
              <w:rPr>
                <w:rFonts w:ascii="Arial" w:hAnsi="Arial" w:cs="Arial"/>
                <w:b/>
              </w:rPr>
              <w:t>1</w:t>
            </w:r>
          </w:p>
        </w:tc>
      </w:tr>
    </w:tbl>
    <w:p w14:paraId="3A22B1AC" w14:textId="77777777" w:rsidR="00FC74D4" w:rsidRPr="002D6C29" w:rsidRDefault="00FC74D4" w:rsidP="002D6C29">
      <w:pPr>
        <w:spacing w:after="0" w:line="240" w:lineRule="auto"/>
        <w:rPr>
          <w:rFonts w:ascii="Arial" w:hAnsi="Arial" w:cs="Arial"/>
          <w:b/>
        </w:rPr>
      </w:pPr>
    </w:p>
    <w:sectPr w:rsidR="00FC74D4" w:rsidRPr="002D6C29" w:rsidSect="000D78A7">
      <w:pgSz w:w="11906" w:h="16838"/>
      <w:pgMar w:top="851" w:right="144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D8E29" w14:textId="77777777" w:rsidR="000A6622" w:rsidRDefault="000A6622" w:rsidP="000A2BCD">
      <w:pPr>
        <w:spacing w:after="0" w:line="240" w:lineRule="auto"/>
      </w:pPr>
      <w:r>
        <w:separator/>
      </w:r>
    </w:p>
  </w:endnote>
  <w:endnote w:type="continuationSeparator" w:id="0">
    <w:p w14:paraId="33C1B58E" w14:textId="77777777" w:rsidR="000A6622" w:rsidRDefault="000A6622" w:rsidP="000A2BCD">
      <w:pPr>
        <w:spacing w:after="0" w:line="240" w:lineRule="auto"/>
      </w:pPr>
      <w:r>
        <w:continuationSeparator/>
      </w:r>
    </w:p>
  </w:endnote>
  <w:endnote w:type="continuationNotice" w:id="1">
    <w:p w14:paraId="364416BD" w14:textId="77777777" w:rsidR="000A6622" w:rsidRDefault="000A66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712FB" w14:textId="77777777" w:rsidR="000A6622" w:rsidRDefault="000A6622" w:rsidP="000A2BCD">
      <w:pPr>
        <w:spacing w:after="0" w:line="240" w:lineRule="auto"/>
      </w:pPr>
      <w:r>
        <w:separator/>
      </w:r>
    </w:p>
  </w:footnote>
  <w:footnote w:type="continuationSeparator" w:id="0">
    <w:p w14:paraId="3B694BFD" w14:textId="77777777" w:rsidR="000A6622" w:rsidRDefault="000A6622" w:rsidP="000A2BCD">
      <w:pPr>
        <w:spacing w:after="0" w:line="240" w:lineRule="auto"/>
      </w:pPr>
      <w:r>
        <w:continuationSeparator/>
      </w:r>
    </w:p>
  </w:footnote>
  <w:footnote w:type="continuationNotice" w:id="1">
    <w:p w14:paraId="5A330CF8" w14:textId="77777777" w:rsidR="000A6622" w:rsidRDefault="000A6622">
      <w:pPr>
        <w:spacing w:after="0" w:line="240" w:lineRule="auto"/>
      </w:pPr>
    </w:p>
  </w:footnote>
  <w:footnote w:id="2">
    <w:p w14:paraId="14D061E9" w14:textId="77777777" w:rsidR="00A10258" w:rsidRPr="00E66774" w:rsidRDefault="00A10258" w:rsidP="00A10258">
      <w:pPr>
        <w:pStyle w:val="FootnoteText"/>
        <w:rPr>
          <w:rFonts w:ascii="Arial" w:hAnsi="Arial" w:cs="Arial"/>
        </w:rPr>
      </w:pPr>
      <w:bookmarkStart w:id="0" w:name="_Hlk87964870"/>
      <w:r w:rsidRPr="002F123D">
        <w:rPr>
          <w:rStyle w:val="FootnoteReference"/>
          <w:rFonts w:ascii="Arial" w:hAnsi="Arial" w:cs="Arial"/>
        </w:rPr>
        <w:footnoteRef/>
      </w:r>
      <w:r w:rsidRPr="002F123D">
        <w:rPr>
          <w:rFonts w:ascii="Arial" w:hAnsi="Arial" w:cs="Arial"/>
        </w:rPr>
        <w:t xml:space="preserve"> University of Birmingham, Aston University, Birmingham City University, University College Birmingham</w:t>
      </w:r>
      <w:r w:rsidR="007F39ED" w:rsidRPr="002F123D">
        <w:rPr>
          <w:rFonts w:ascii="Arial" w:hAnsi="Arial" w:cs="Arial"/>
        </w:rPr>
        <w:t>,</w:t>
      </w:r>
      <w:r w:rsidRPr="002F123D">
        <w:rPr>
          <w:rFonts w:ascii="Arial" w:hAnsi="Arial" w:cs="Arial"/>
        </w:rPr>
        <w:t xml:space="preserve"> Newman University.</w:t>
      </w:r>
      <w:r w:rsidRPr="00E66774">
        <w:rPr>
          <w:rFonts w:ascii="Arial" w:hAnsi="Arial" w:cs="Arial"/>
        </w:rPr>
        <w:t xml:space="preserve"> </w:t>
      </w:r>
    </w:p>
    <w:bookmarkEnd w:id="0"/>
  </w:footnote>
  <w:footnote w:id="3">
    <w:p w14:paraId="1948E9BC" w14:textId="77777777" w:rsidR="00DF4728" w:rsidRPr="00E54E3A" w:rsidRDefault="00DF4728">
      <w:pPr>
        <w:pStyle w:val="FootnoteText"/>
        <w:rPr>
          <w:rFonts w:ascii="Arial" w:hAnsi="Arial" w:cs="Arial"/>
        </w:rPr>
      </w:pPr>
      <w:r w:rsidRPr="0000724F">
        <w:rPr>
          <w:rStyle w:val="FootnoteReference"/>
          <w:rFonts w:ascii="Arial" w:hAnsi="Arial" w:cs="Arial"/>
        </w:rPr>
        <w:footnoteRef/>
      </w:r>
      <w:r w:rsidRPr="0000724F">
        <w:rPr>
          <w:rFonts w:ascii="Arial" w:hAnsi="Arial" w:cs="Arial"/>
        </w:rPr>
        <w:t xml:space="preserve"> </w:t>
      </w:r>
      <w:r w:rsidRPr="00AF0432">
        <w:rPr>
          <w:rFonts w:ascii="Arial" w:hAnsi="Arial" w:cs="Arial"/>
        </w:rPr>
        <w:t xml:space="preserve">HESA </w:t>
      </w:r>
      <w:r w:rsidR="0000724F">
        <w:rPr>
          <w:rFonts w:ascii="Arial" w:hAnsi="Arial" w:cs="Arial"/>
        </w:rPr>
        <w:t>2022/23</w:t>
      </w:r>
    </w:p>
  </w:footnote>
  <w:footnote w:id="4">
    <w:p w14:paraId="1D3B8CB8" w14:textId="77777777" w:rsidR="00DF4728" w:rsidRPr="007A6161" w:rsidRDefault="00DF4728">
      <w:pPr>
        <w:pStyle w:val="FootnoteText"/>
        <w:rPr>
          <w:rFonts w:ascii="Arial" w:hAnsi="Arial" w:cs="Arial"/>
        </w:rPr>
      </w:pPr>
      <w:r w:rsidRPr="00E54E3A">
        <w:rPr>
          <w:rStyle w:val="FootnoteReference"/>
          <w:rFonts w:ascii="Arial" w:hAnsi="Arial" w:cs="Arial"/>
        </w:rPr>
        <w:footnoteRef/>
      </w:r>
      <w:r w:rsidRPr="00E54E3A">
        <w:rPr>
          <w:rFonts w:ascii="Arial" w:hAnsi="Arial" w:cs="Arial"/>
        </w:rPr>
        <w:t xml:space="preserve"> </w:t>
      </w:r>
      <w:proofErr w:type="gramStart"/>
      <w:r w:rsidR="008A5CDC">
        <w:rPr>
          <w:rFonts w:ascii="Arial" w:hAnsi="Arial" w:cs="Arial"/>
        </w:rPr>
        <w:t>at</w:t>
      </w:r>
      <w:proofErr w:type="gramEnd"/>
      <w:r w:rsidRPr="00E54E3A">
        <w:rPr>
          <w:rFonts w:ascii="Arial" w:hAnsi="Arial" w:cs="Arial"/>
        </w:rPr>
        <w:t xml:space="preserve"> </w:t>
      </w:r>
      <w:r w:rsidR="0000724F">
        <w:rPr>
          <w:rFonts w:ascii="Arial" w:hAnsi="Arial" w:cs="Arial"/>
        </w:rPr>
        <w:t>November</w:t>
      </w:r>
      <w:r w:rsidR="0000724F" w:rsidRPr="00E54E3A">
        <w:rPr>
          <w:rFonts w:ascii="Arial" w:hAnsi="Arial" w:cs="Arial"/>
        </w:rPr>
        <w:t xml:space="preserve"> </w:t>
      </w:r>
      <w:r w:rsidR="004A79C3" w:rsidRPr="00E54E3A">
        <w:rPr>
          <w:rFonts w:ascii="Arial" w:hAnsi="Arial" w:cs="Arial"/>
        </w:rPr>
        <w:t>2</w:t>
      </w:r>
      <w:r w:rsidR="004A79C3">
        <w:rPr>
          <w:rFonts w:ascii="Arial" w:hAnsi="Arial" w:cs="Arial"/>
        </w:rPr>
        <w:t>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6F30"/>
    <w:multiLevelType w:val="hybridMultilevel"/>
    <w:tmpl w:val="FC3E80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4B6B79"/>
    <w:multiLevelType w:val="hybridMultilevel"/>
    <w:tmpl w:val="3786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40B70"/>
    <w:multiLevelType w:val="hybridMultilevel"/>
    <w:tmpl w:val="D9064F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8485942"/>
    <w:multiLevelType w:val="multilevel"/>
    <w:tmpl w:val="08090029"/>
    <w:lvl w:ilvl="0">
      <w:start w:val="1"/>
      <w:numFmt w:val="decimal"/>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15:restartNumberingAfterBreak="0">
    <w:nsid w:val="08AE2F48"/>
    <w:multiLevelType w:val="hybridMultilevel"/>
    <w:tmpl w:val="B6161E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8835DE"/>
    <w:multiLevelType w:val="hybridMultilevel"/>
    <w:tmpl w:val="6A7C8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2373F"/>
    <w:multiLevelType w:val="hybridMultilevel"/>
    <w:tmpl w:val="5DCAAB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4C7283"/>
    <w:multiLevelType w:val="multilevel"/>
    <w:tmpl w:val="15CA25B0"/>
    <w:styleLink w:val="Style1"/>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ascii="Arial" w:hAnsi="Arial" w:cs="Arial" w:hint="default"/>
        <w:b w:val="0"/>
      </w:rPr>
    </w:lvl>
    <w:lvl w:ilvl="2">
      <w:start w:val="1"/>
      <w:numFmt w:val="bullet"/>
      <w:lvlText w:val=""/>
      <w:lvlJc w:val="left"/>
      <w:pPr>
        <w:tabs>
          <w:tab w:val="num" w:pos="720"/>
        </w:tabs>
        <w:ind w:left="144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6D31BD0"/>
    <w:multiLevelType w:val="hybridMultilevel"/>
    <w:tmpl w:val="6E922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E1B6FB8"/>
    <w:multiLevelType w:val="hybridMultilevel"/>
    <w:tmpl w:val="E39A0C12"/>
    <w:lvl w:ilvl="0" w:tplc="5B8EB244">
      <w:start w:val="1"/>
      <w:numFmt w:val="decimal"/>
      <w:lvlText w:val="%1."/>
      <w:lvlJc w:val="left"/>
      <w:pPr>
        <w:ind w:left="720" w:hanging="360"/>
      </w:pPr>
      <w:rPr>
        <w:rFonts w:hint="default"/>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941C7B"/>
    <w:multiLevelType w:val="hybridMultilevel"/>
    <w:tmpl w:val="D216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E629B8"/>
    <w:multiLevelType w:val="hybridMultilevel"/>
    <w:tmpl w:val="44EA2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1965C7"/>
    <w:multiLevelType w:val="hybridMultilevel"/>
    <w:tmpl w:val="BE2E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1E4682"/>
    <w:multiLevelType w:val="multilevel"/>
    <w:tmpl w:val="65CA5A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B50118"/>
    <w:multiLevelType w:val="hybridMultilevel"/>
    <w:tmpl w:val="BB08C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F2355F"/>
    <w:multiLevelType w:val="hybridMultilevel"/>
    <w:tmpl w:val="56AE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AB0F99"/>
    <w:multiLevelType w:val="hybridMultilevel"/>
    <w:tmpl w:val="8438C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F6A0D"/>
    <w:multiLevelType w:val="hybridMultilevel"/>
    <w:tmpl w:val="6A468A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1DD602E"/>
    <w:multiLevelType w:val="hybridMultilevel"/>
    <w:tmpl w:val="FC3E80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9A7E4E"/>
    <w:multiLevelType w:val="hybridMultilevel"/>
    <w:tmpl w:val="759441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A593E8F"/>
    <w:multiLevelType w:val="hybridMultilevel"/>
    <w:tmpl w:val="779E7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BE52A23"/>
    <w:multiLevelType w:val="hybridMultilevel"/>
    <w:tmpl w:val="5534FF5A"/>
    <w:lvl w:ilvl="0" w:tplc="6A909C86">
      <w:start w:val="891"/>
      <w:numFmt w:val="bullet"/>
      <w:lvlText w:val="-"/>
      <w:lvlJc w:val="left"/>
      <w:pPr>
        <w:ind w:left="720" w:hanging="360"/>
      </w:pPr>
      <w:rPr>
        <w:rFonts w:ascii="Arial" w:eastAsia="Calibri"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9737C5"/>
    <w:multiLevelType w:val="hybridMultilevel"/>
    <w:tmpl w:val="E7C031E4"/>
    <w:lvl w:ilvl="0" w:tplc="71D8F5BC">
      <w:start w:val="1"/>
      <w:numFmt w:val="bullet"/>
      <w:pStyle w:val="10BulletBodytext"/>
      <w:lvlText w:val=""/>
      <w:lvlJc w:val="left"/>
      <w:pPr>
        <w:ind w:left="1211" w:hanging="360"/>
      </w:pPr>
      <w:rPr>
        <w:rFonts w:ascii="Symbol" w:hAnsi="Symbol" w:hint="default"/>
        <w:color w:val="009DDF"/>
      </w:rPr>
    </w:lvl>
    <w:lvl w:ilvl="1" w:tplc="08090019">
      <w:start w:val="1"/>
      <w:numFmt w:val="bullet"/>
      <w:lvlText w:val="o"/>
      <w:lvlJc w:val="left"/>
      <w:pPr>
        <w:ind w:left="2008" w:hanging="360"/>
      </w:pPr>
      <w:rPr>
        <w:rFonts w:ascii="Courier New" w:hAnsi="Courier New" w:cs="Times New Roman" w:hint="default"/>
      </w:rPr>
    </w:lvl>
    <w:lvl w:ilvl="2" w:tplc="0809001B">
      <w:start w:val="1"/>
      <w:numFmt w:val="bullet"/>
      <w:lvlText w:val=""/>
      <w:lvlJc w:val="left"/>
      <w:pPr>
        <w:ind w:left="2728" w:hanging="360"/>
      </w:pPr>
      <w:rPr>
        <w:rFonts w:ascii="Wingdings" w:hAnsi="Wingdings" w:hint="default"/>
      </w:rPr>
    </w:lvl>
    <w:lvl w:ilvl="3" w:tplc="0809000F">
      <w:start w:val="1"/>
      <w:numFmt w:val="bullet"/>
      <w:lvlText w:val=""/>
      <w:lvlJc w:val="left"/>
      <w:pPr>
        <w:ind w:left="3448" w:hanging="360"/>
      </w:pPr>
      <w:rPr>
        <w:rFonts w:ascii="Symbol" w:hAnsi="Symbol" w:hint="default"/>
      </w:rPr>
    </w:lvl>
    <w:lvl w:ilvl="4" w:tplc="08090019">
      <w:start w:val="1"/>
      <w:numFmt w:val="bullet"/>
      <w:lvlText w:val="o"/>
      <w:lvlJc w:val="left"/>
      <w:pPr>
        <w:ind w:left="4168" w:hanging="360"/>
      </w:pPr>
      <w:rPr>
        <w:rFonts w:ascii="Courier New" w:hAnsi="Courier New" w:cs="Times New Roman" w:hint="default"/>
      </w:rPr>
    </w:lvl>
    <w:lvl w:ilvl="5" w:tplc="0809001B">
      <w:start w:val="1"/>
      <w:numFmt w:val="bullet"/>
      <w:lvlText w:val=""/>
      <w:lvlJc w:val="left"/>
      <w:pPr>
        <w:ind w:left="4888" w:hanging="360"/>
      </w:pPr>
      <w:rPr>
        <w:rFonts w:ascii="Wingdings" w:hAnsi="Wingdings" w:hint="default"/>
      </w:rPr>
    </w:lvl>
    <w:lvl w:ilvl="6" w:tplc="0809000F">
      <w:start w:val="1"/>
      <w:numFmt w:val="bullet"/>
      <w:lvlText w:val=""/>
      <w:lvlJc w:val="left"/>
      <w:pPr>
        <w:ind w:left="5608" w:hanging="360"/>
      </w:pPr>
      <w:rPr>
        <w:rFonts w:ascii="Symbol" w:hAnsi="Symbol" w:hint="default"/>
      </w:rPr>
    </w:lvl>
    <w:lvl w:ilvl="7" w:tplc="08090019">
      <w:start w:val="1"/>
      <w:numFmt w:val="bullet"/>
      <w:lvlText w:val="o"/>
      <w:lvlJc w:val="left"/>
      <w:pPr>
        <w:ind w:left="6328" w:hanging="360"/>
      </w:pPr>
      <w:rPr>
        <w:rFonts w:ascii="Courier New" w:hAnsi="Courier New" w:cs="Times New Roman" w:hint="default"/>
      </w:rPr>
    </w:lvl>
    <w:lvl w:ilvl="8" w:tplc="0809001B">
      <w:start w:val="1"/>
      <w:numFmt w:val="bullet"/>
      <w:lvlText w:val=""/>
      <w:lvlJc w:val="left"/>
      <w:pPr>
        <w:ind w:left="7048" w:hanging="360"/>
      </w:pPr>
      <w:rPr>
        <w:rFonts w:ascii="Wingdings" w:hAnsi="Wingdings" w:hint="default"/>
      </w:rPr>
    </w:lvl>
  </w:abstractNum>
  <w:abstractNum w:abstractNumId="23" w15:restartNumberingAfterBreak="0">
    <w:nsid w:val="5E35682B"/>
    <w:multiLevelType w:val="hybridMultilevel"/>
    <w:tmpl w:val="FC3E80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0F3E1C"/>
    <w:multiLevelType w:val="hybridMultilevel"/>
    <w:tmpl w:val="26445CE2"/>
    <w:lvl w:ilvl="0" w:tplc="443C33DC">
      <w:start w:val="1"/>
      <w:numFmt w:val="bullet"/>
      <w:pStyle w:val="PGBody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E4CB7"/>
    <w:multiLevelType w:val="hybridMultilevel"/>
    <w:tmpl w:val="AF8C23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7C5A665C"/>
    <w:multiLevelType w:val="hybridMultilevel"/>
    <w:tmpl w:val="62A61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2621573">
    <w:abstractNumId w:val="24"/>
  </w:num>
  <w:num w:numId="2" w16cid:durableId="2118285115">
    <w:abstractNumId w:val="5"/>
  </w:num>
  <w:num w:numId="3" w16cid:durableId="1578904118">
    <w:abstractNumId w:val="16"/>
  </w:num>
  <w:num w:numId="4" w16cid:durableId="420877447">
    <w:abstractNumId w:val="17"/>
  </w:num>
  <w:num w:numId="5" w16cid:durableId="554856791">
    <w:abstractNumId w:val="3"/>
  </w:num>
  <w:num w:numId="6" w16cid:durableId="1551763449">
    <w:abstractNumId w:val="7"/>
  </w:num>
  <w:num w:numId="7" w16cid:durableId="209079744">
    <w:abstractNumId w:val="11"/>
  </w:num>
  <w:num w:numId="8" w16cid:durableId="2054885923">
    <w:abstractNumId w:val="10"/>
  </w:num>
  <w:num w:numId="9" w16cid:durableId="1907640752">
    <w:abstractNumId w:val="13"/>
  </w:num>
  <w:num w:numId="10" w16cid:durableId="611673177">
    <w:abstractNumId w:val="2"/>
  </w:num>
  <w:num w:numId="11" w16cid:durableId="113983631">
    <w:abstractNumId w:val="20"/>
  </w:num>
  <w:num w:numId="12" w16cid:durableId="1895310298">
    <w:abstractNumId w:val="22"/>
  </w:num>
  <w:num w:numId="13" w16cid:durableId="357512810">
    <w:abstractNumId w:val="4"/>
  </w:num>
  <w:num w:numId="14" w16cid:durableId="1026760136">
    <w:abstractNumId w:val="9"/>
  </w:num>
  <w:num w:numId="15" w16cid:durableId="930504918">
    <w:abstractNumId w:val="21"/>
  </w:num>
  <w:num w:numId="16" w16cid:durableId="1189417291">
    <w:abstractNumId w:val="18"/>
  </w:num>
  <w:num w:numId="17" w16cid:durableId="688482747">
    <w:abstractNumId w:val="23"/>
  </w:num>
  <w:num w:numId="18" w16cid:durableId="148594942">
    <w:abstractNumId w:val="25"/>
  </w:num>
  <w:num w:numId="19" w16cid:durableId="1150054548">
    <w:abstractNumId w:val="6"/>
  </w:num>
  <w:num w:numId="20" w16cid:durableId="695276156">
    <w:abstractNumId w:val="19"/>
  </w:num>
  <w:num w:numId="21" w16cid:durableId="1670674100">
    <w:abstractNumId w:val="26"/>
  </w:num>
  <w:num w:numId="22" w16cid:durableId="528109972">
    <w:abstractNumId w:val="14"/>
  </w:num>
  <w:num w:numId="23" w16cid:durableId="1414159509">
    <w:abstractNumId w:val="1"/>
  </w:num>
  <w:num w:numId="24" w16cid:durableId="31927773">
    <w:abstractNumId w:val="0"/>
  </w:num>
  <w:num w:numId="25" w16cid:durableId="1029144106">
    <w:abstractNumId w:val="12"/>
  </w:num>
  <w:num w:numId="26" w16cid:durableId="1491674826">
    <w:abstractNumId w:val="15"/>
  </w:num>
  <w:num w:numId="27" w16cid:durableId="100409106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ltXVY5W95Kwn04AB/nJZaawpI5CGjji3qBleNSZzHRwYBLsDOawWQU5HXv6fatlC"/>
  </w:docVars>
  <w:rsids>
    <w:rsidRoot w:val="000A2BCD"/>
    <w:rsid w:val="00000A35"/>
    <w:rsid w:val="00005F00"/>
    <w:rsid w:val="0000724F"/>
    <w:rsid w:val="00007B5D"/>
    <w:rsid w:val="00010676"/>
    <w:rsid w:val="00010719"/>
    <w:rsid w:val="0001744F"/>
    <w:rsid w:val="00023297"/>
    <w:rsid w:val="00024FA2"/>
    <w:rsid w:val="00025DEE"/>
    <w:rsid w:val="00026EEB"/>
    <w:rsid w:val="000271BE"/>
    <w:rsid w:val="00031179"/>
    <w:rsid w:val="0003305F"/>
    <w:rsid w:val="00037A3B"/>
    <w:rsid w:val="00037B0E"/>
    <w:rsid w:val="0004107F"/>
    <w:rsid w:val="0004415A"/>
    <w:rsid w:val="00045FCD"/>
    <w:rsid w:val="000468CA"/>
    <w:rsid w:val="00046E06"/>
    <w:rsid w:val="0005402D"/>
    <w:rsid w:val="0005619F"/>
    <w:rsid w:val="00056C95"/>
    <w:rsid w:val="00062A82"/>
    <w:rsid w:val="00066983"/>
    <w:rsid w:val="00071256"/>
    <w:rsid w:val="0007191A"/>
    <w:rsid w:val="00071DE4"/>
    <w:rsid w:val="000721EE"/>
    <w:rsid w:val="00075AC2"/>
    <w:rsid w:val="00075BA7"/>
    <w:rsid w:val="0008485A"/>
    <w:rsid w:val="00084D15"/>
    <w:rsid w:val="0008725B"/>
    <w:rsid w:val="00087848"/>
    <w:rsid w:val="00090D0B"/>
    <w:rsid w:val="00092C77"/>
    <w:rsid w:val="00096E63"/>
    <w:rsid w:val="000A2352"/>
    <w:rsid w:val="000A2BCD"/>
    <w:rsid w:val="000A55E1"/>
    <w:rsid w:val="000A6622"/>
    <w:rsid w:val="000A7410"/>
    <w:rsid w:val="000B0A12"/>
    <w:rsid w:val="000B35C5"/>
    <w:rsid w:val="000B472D"/>
    <w:rsid w:val="000B6939"/>
    <w:rsid w:val="000B6BF2"/>
    <w:rsid w:val="000B7322"/>
    <w:rsid w:val="000C0E9A"/>
    <w:rsid w:val="000C1F33"/>
    <w:rsid w:val="000C2039"/>
    <w:rsid w:val="000C5DC3"/>
    <w:rsid w:val="000D0396"/>
    <w:rsid w:val="000D2F9C"/>
    <w:rsid w:val="000D4B6D"/>
    <w:rsid w:val="000D678D"/>
    <w:rsid w:val="000D78A7"/>
    <w:rsid w:val="000D7F70"/>
    <w:rsid w:val="000E0D67"/>
    <w:rsid w:val="000E19E7"/>
    <w:rsid w:val="000E3D20"/>
    <w:rsid w:val="000E683C"/>
    <w:rsid w:val="000F1596"/>
    <w:rsid w:val="000F35A9"/>
    <w:rsid w:val="00106BBD"/>
    <w:rsid w:val="001109CD"/>
    <w:rsid w:val="00112E4F"/>
    <w:rsid w:val="00113FAC"/>
    <w:rsid w:val="00114922"/>
    <w:rsid w:val="001160BE"/>
    <w:rsid w:val="00117914"/>
    <w:rsid w:val="00120B40"/>
    <w:rsid w:val="001233E7"/>
    <w:rsid w:val="00123C1A"/>
    <w:rsid w:val="00124EE9"/>
    <w:rsid w:val="00143E3C"/>
    <w:rsid w:val="00144164"/>
    <w:rsid w:val="00144228"/>
    <w:rsid w:val="0014678C"/>
    <w:rsid w:val="00146929"/>
    <w:rsid w:val="0015172A"/>
    <w:rsid w:val="001526F7"/>
    <w:rsid w:val="00153D29"/>
    <w:rsid w:val="00155610"/>
    <w:rsid w:val="001649A6"/>
    <w:rsid w:val="00167338"/>
    <w:rsid w:val="0017016F"/>
    <w:rsid w:val="00171AA3"/>
    <w:rsid w:val="00171ABA"/>
    <w:rsid w:val="001720AD"/>
    <w:rsid w:val="00172303"/>
    <w:rsid w:val="00174856"/>
    <w:rsid w:val="00175C2E"/>
    <w:rsid w:val="00177ED8"/>
    <w:rsid w:val="00183BEB"/>
    <w:rsid w:val="001840D6"/>
    <w:rsid w:val="00184564"/>
    <w:rsid w:val="00185BC9"/>
    <w:rsid w:val="001914F8"/>
    <w:rsid w:val="00191EA8"/>
    <w:rsid w:val="00192AAA"/>
    <w:rsid w:val="001940A9"/>
    <w:rsid w:val="00195BAA"/>
    <w:rsid w:val="00197A09"/>
    <w:rsid w:val="00197F5F"/>
    <w:rsid w:val="001A10AF"/>
    <w:rsid w:val="001A43BA"/>
    <w:rsid w:val="001A48F6"/>
    <w:rsid w:val="001A6818"/>
    <w:rsid w:val="001B03DE"/>
    <w:rsid w:val="001B13D6"/>
    <w:rsid w:val="001B3807"/>
    <w:rsid w:val="001B592A"/>
    <w:rsid w:val="001B5D32"/>
    <w:rsid w:val="001D44C1"/>
    <w:rsid w:val="001D4B6F"/>
    <w:rsid w:val="001D4EB6"/>
    <w:rsid w:val="001D4EC0"/>
    <w:rsid w:val="001D51DB"/>
    <w:rsid w:val="001D6FFB"/>
    <w:rsid w:val="001D79FF"/>
    <w:rsid w:val="001E16A0"/>
    <w:rsid w:val="001E2C9B"/>
    <w:rsid w:val="001E354E"/>
    <w:rsid w:val="001E4671"/>
    <w:rsid w:val="001E6B7D"/>
    <w:rsid w:val="001F2C00"/>
    <w:rsid w:val="001F5249"/>
    <w:rsid w:val="001F5644"/>
    <w:rsid w:val="00200F66"/>
    <w:rsid w:val="00204082"/>
    <w:rsid w:val="002071AF"/>
    <w:rsid w:val="00207A24"/>
    <w:rsid w:val="002110AF"/>
    <w:rsid w:val="00214F96"/>
    <w:rsid w:val="002167C5"/>
    <w:rsid w:val="00216EE0"/>
    <w:rsid w:val="00220A50"/>
    <w:rsid w:val="00222203"/>
    <w:rsid w:val="00225399"/>
    <w:rsid w:val="00225D6D"/>
    <w:rsid w:val="0022697B"/>
    <w:rsid w:val="00226F11"/>
    <w:rsid w:val="00233A4E"/>
    <w:rsid w:val="0024021D"/>
    <w:rsid w:val="0024112F"/>
    <w:rsid w:val="00241512"/>
    <w:rsid w:val="00244D74"/>
    <w:rsid w:val="00246EF8"/>
    <w:rsid w:val="00251AFD"/>
    <w:rsid w:val="0025759E"/>
    <w:rsid w:val="00257D35"/>
    <w:rsid w:val="00260587"/>
    <w:rsid w:val="00262120"/>
    <w:rsid w:val="0026255B"/>
    <w:rsid w:val="00263053"/>
    <w:rsid w:val="00263808"/>
    <w:rsid w:val="0027029E"/>
    <w:rsid w:val="00272AE7"/>
    <w:rsid w:val="00280068"/>
    <w:rsid w:val="00282DBC"/>
    <w:rsid w:val="002868F0"/>
    <w:rsid w:val="00290118"/>
    <w:rsid w:val="00292E92"/>
    <w:rsid w:val="002957B0"/>
    <w:rsid w:val="00296133"/>
    <w:rsid w:val="002A1235"/>
    <w:rsid w:val="002A179E"/>
    <w:rsid w:val="002A76E2"/>
    <w:rsid w:val="002B521D"/>
    <w:rsid w:val="002B605B"/>
    <w:rsid w:val="002C593E"/>
    <w:rsid w:val="002D2931"/>
    <w:rsid w:val="002D2C57"/>
    <w:rsid w:val="002D386C"/>
    <w:rsid w:val="002D6C29"/>
    <w:rsid w:val="002E13CE"/>
    <w:rsid w:val="002E630A"/>
    <w:rsid w:val="002F0A1A"/>
    <w:rsid w:val="002F123D"/>
    <w:rsid w:val="002F3934"/>
    <w:rsid w:val="002F5866"/>
    <w:rsid w:val="002F5E8C"/>
    <w:rsid w:val="00300BE8"/>
    <w:rsid w:val="00305383"/>
    <w:rsid w:val="003055D3"/>
    <w:rsid w:val="00305E2E"/>
    <w:rsid w:val="003063D6"/>
    <w:rsid w:val="00310E09"/>
    <w:rsid w:val="0031162A"/>
    <w:rsid w:val="003134BC"/>
    <w:rsid w:val="00316593"/>
    <w:rsid w:val="00317EDF"/>
    <w:rsid w:val="00321A71"/>
    <w:rsid w:val="003253E0"/>
    <w:rsid w:val="00326B8E"/>
    <w:rsid w:val="00327F31"/>
    <w:rsid w:val="00330E58"/>
    <w:rsid w:val="00331D1B"/>
    <w:rsid w:val="00332937"/>
    <w:rsid w:val="00332A1A"/>
    <w:rsid w:val="003344DB"/>
    <w:rsid w:val="00335AAC"/>
    <w:rsid w:val="00337136"/>
    <w:rsid w:val="0034021D"/>
    <w:rsid w:val="0034247B"/>
    <w:rsid w:val="00346B00"/>
    <w:rsid w:val="00346D19"/>
    <w:rsid w:val="00346E2F"/>
    <w:rsid w:val="003470A7"/>
    <w:rsid w:val="00347F66"/>
    <w:rsid w:val="0035198F"/>
    <w:rsid w:val="0035246B"/>
    <w:rsid w:val="00353320"/>
    <w:rsid w:val="0035365F"/>
    <w:rsid w:val="0035393A"/>
    <w:rsid w:val="003577DB"/>
    <w:rsid w:val="003613C3"/>
    <w:rsid w:val="003740D3"/>
    <w:rsid w:val="00374934"/>
    <w:rsid w:val="003773B6"/>
    <w:rsid w:val="00386752"/>
    <w:rsid w:val="0039453B"/>
    <w:rsid w:val="00395258"/>
    <w:rsid w:val="003A10A1"/>
    <w:rsid w:val="003A1262"/>
    <w:rsid w:val="003A1A95"/>
    <w:rsid w:val="003A4978"/>
    <w:rsid w:val="003A6A36"/>
    <w:rsid w:val="003A78FE"/>
    <w:rsid w:val="003B026A"/>
    <w:rsid w:val="003B140E"/>
    <w:rsid w:val="003B199F"/>
    <w:rsid w:val="003B384F"/>
    <w:rsid w:val="003C25BB"/>
    <w:rsid w:val="003C4099"/>
    <w:rsid w:val="003C5195"/>
    <w:rsid w:val="003C5738"/>
    <w:rsid w:val="003C6CFA"/>
    <w:rsid w:val="003C7639"/>
    <w:rsid w:val="003D1362"/>
    <w:rsid w:val="003D299E"/>
    <w:rsid w:val="003D3CFB"/>
    <w:rsid w:val="003D5B66"/>
    <w:rsid w:val="003D7E2D"/>
    <w:rsid w:val="003E356F"/>
    <w:rsid w:val="003E47E8"/>
    <w:rsid w:val="003E5BB2"/>
    <w:rsid w:val="003E5FDD"/>
    <w:rsid w:val="003F0E54"/>
    <w:rsid w:val="003F164C"/>
    <w:rsid w:val="003F191A"/>
    <w:rsid w:val="003F1C1A"/>
    <w:rsid w:val="003F1E3E"/>
    <w:rsid w:val="003F2380"/>
    <w:rsid w:val="003F3771"/>
    <w:rsid w:val="003F41E9"/>
    <w:rsid w:val="003F4DB6"/>
    <w:rsid w:val="003F6882"/>
    <w:rsid w:val="003F7AD5"/>
    <w:rsid w:val="004004EA"/>
    <w:rsid w:val="00401ED2"/>
    <w:rsid w:val="00407090"/>
    <w:rsid w:val="00415673"/>
    <w:rsid w:val="004158FC"/>
    <w:rsid w:val="0042114C"/>
    <w:rsid w:val="004214FC"/>
    <w:rsid w:val="00423964"/>
    <w:rsid w:val="00424943"/>
    <w:rsid w:val="00435639"/>
    <w:rsid w:val="00436810"/>
    <w:rsid w:val="00441E52"/>
    <w:rsid w:val="00443A8C"/>
    <w:rsid w:val="00445E5C"/>
    <w:rsid w:val="004461A6"/>
    <w:rsid w:val="00454023"/>
    <w:rsid w:val="00455B15"/>
    <w:rsid w:val="00455BAE"/>
    <w:rsid w:val="00455ED6"/>
    <w:rsid w:val="00456C39"/>
    <w:rsid w:val="00457017"/>
    <w:rsid w:val="00462654"/>
    <w:rsid w:val="00466D8F"/>
    <w:rsid w:val="00471622"/>
    <w:rsid w:val="00490B95"/>
    <w:rsid w:val="00493F32"/>
    <w:rsid w:val="0049561D"/>
    <w:rsid w:val="00497B15"/>
    <w:rsid w:val="00497E24"/>
    <w:rsid w:val="004A1173"/>
    <w:rsid w:val="004A503B"/>
    <w:rsid w:val="004A6DA3"/>
    <w:rsid w:val="004A74F5"/>
    <w:rsid w:val="004A79C3"/>
    <w:rsid w:val="004B0C49"/>
    <w:rsid w:val="004B10C1"/>
    <w:rsid w:val="004B17C1"/>
    <w:rsid w:val="004B24AA"/>
    <w:rsid w:val="004B5B48"/>
    <w:rsid w:val="004C0396"/>
    <w:rsid w:val="004C0600"/>
    <w:rsid w:val="004C06DE"/>
    <w:rsid w:val="004C19D1"/>
    <w:rsid w:val="004C47C5"/>
    <w:rsid w:val="004C7B45"/>
    <w:rsid w:val="004D16F6"/>
    <w:rsid w:val="004D225A"/>
    <w:rsid w:val="004D2449"/>
    <w:rsid w:val="004D7B12"/>
    <w:rsid w:val="004E068C"/>
    <w:rsid w:val="004E174F"/>
    <w:rsid w:val="004E4087"/>
    <w:rsid w:val="004E4282"/>
    <w:rsid w:val="004E6011"/>
    <w:rsid w:val="004E6710"/>
    <w:rsid w:val="004F2E17"/>
    <w:rsid w:val="004F3F9B"/>
    <w:rsid w:val="004F507C"/>
    <w:rsid w:val="004F6848"/>
    <w:rsid w:val="004F743D"/>
    <w:rsid w:val="00503403"/>
    <w:rsid w:val="00504333"/>
    <w:rsid w:val="005066BA"/>
    <w:rsid w:val="00510490"/>
    <w:rsid w:val="00515BB0"/>
    <w:rsid w:val="00515E81"/>
    <w:rsid w:val="00520818"/>
    <w:rsid w:val="00520CA8"/>
    <w:rsid w:val="00523DFB"/>
    <w:rsid w:val="0052515A"/>
    <w:rsid w:val="00527342"/>
    <w:rsid w:val="0052742E"/>
    <w:rsid w:val="00530552"/>
    <w:rsid w:val="00531931"/>
    <w:rsid w:val="005343EE"/>
    <w:rsid w:val="00540C50"/>
    <w:rsid w:val="00545EAD"/>
    <w:rsid w:val="00547449"/>
    <w:rsid w:val="00550693"/>
    <w:rsid w:val="00553E6B"/>
    <w:rsid w:val="005566F3"/>
    <w:rsid w:val="00556A28"/>
    <w:rsid w:val="00565AC8"/>
    <w:rsid w:val="00567A8D"/>
    <w:rsid w:val="00575435"/>
    <w:rsid w:val="005771E2"/>
    <w:rsid w:val="005779F5"/>
    <w:rsid w:val="0058113B"/>
    <w:rsid w:val="00582E7A"/>
    <w:rsid w:val="00591963"/>
    <w:rsid w:val="00595225"/>
    <w:rsid w:val="00597C6A"/>
    <w:rsid w:val="005A4784"/>
    <w:rsid w:val="005A4FE5"/>
    <w:rsid w:val="005A5F78"/>
    <w:rsid w:val="005A632D"/>
    <w:rsid w:val="005B0707"/>
    <w:rsid w:val="005B165D"/>
    <w:rsid w:val="005B3A69"/>
    <w:rsid w:val="005B57D0"/>
    <w:rsid w:val="005C0025"/>
    <w:rsid w:val="005C0291"/>
    <w:rsid w:val="005C1BCA"/>
    <w:rsid w:val="005C30D6"/>
    <w:rsid w:val="005C44C2"/>
    <w:rsid w:val="005D0C19"/>
    <w:rsid w:val="005D1985"/>
    <w:rsid w:val="005D21E2"/>
    <w:rsid w:val="005D6794"/>
    <w:rsid w:val="005E01E2"/>
    <w:rsid w:val="005E08AB"/>
    <w:rsid w:val="005E3CC0"/>
    <w:rsid w:val="005E42C2"/>
    <w:rsid w:val="005E5A79"/>
    <w:rsid w:val="005E7EDD"/>
    <w:rsid w:val="005F1D73"/>
    <w:rsid w:val="005F55FC"/>
    <w:rsid w:val="005F64BA"/>
    <w:rsid w:val="005F7323"/>
    <w:rsid w:val="00602958"/>
    <w:rsid w:val="00604749"/>
    <w:rsid w:val="0060480F"/>
    <w:rsid w:val="0060575A"/>
    <w:rsid w:val="006105E1"/>
    <w:rsid w:val="00611487"/>
    <w:rsid w:val="00613386"/>
    <w:rsid w:val="006152C0"/>
    <w:rsid w:val="0061703E"/>
    <w:rsid w:val="0062281E"/>
    <w:rsid w:val="00622E28"/>
    <w:rsid w:val="00623883"/>
    <w:rsid w:val="00626CC0"/>
    <w:rsid w:val="00627714"/>
    <w:rsid w:val="00627942"/>
    <w:rsid w:val="006313A6"/>
    <w:rsid w:val="006377B5"/>
    <w:rsid w:val="00641A5A"/>
    <w:rsid w:val="006436D5"/>
    <w:rsid w:val="00643A93"/>
    <w:rsid w:val="006478ED"/>
    <w:rsid w:val="00654128"/>
    <w:rsid w:val="00656E1F"/>
    <w:rsid w:val="0066253D"/>
    <w:rsid w:val="00672DB5"/>
    <w:rsid w:val="00675FF9"/>
    <w:rsid w:val="0068024D"/>
    <w:rsid w:val="00681FB0"/>
    <w:rsid w:val="00686594"/>
    <w:rsid w:val="00691372"/>
    <w:rsid w:val="006949EF"/>
    <w:rsid w:val="00695689"/>
    <w:rsid w:val="00697075"/>
    <w:rsid w:val="006A01E6"/>
    <w:rsid w:val="006A1765"/>
    <w:rsid w:val="006A17A6"/>
    <w:rsid w:val="006A2E04"/>
    <w:rsid w:val="006A7FE6"/>
    <w:rsid w:val="006B11CB"/>
    <w:rsid w:val="006B2065"/>
    <w:rsid w:val="006B5449"/>
    <w:rsid w:val="006B59C9"/>
    <w:rsid w:val="006B71E7"/>
    <w:rsid w:val="006B7F61"/>
    <w:rsid w:val="006C251D"/>
    <w:rsid w:val="006C2621"/>
    <w:rsid w:val="006C3471"/>
    <w:rsid w:val="006C4ECA"/>
    <w:rsid w:val="006C6261"/>
    <w:rsid w:val="006D1B09"/>
    <w:rsid w:val="006E141A"/>
    <w:rsid w:val="006E1441"/>
    <w:rsid w:val="006E5076"/>
    <w:rsid w:val="006E7D21"/>
    <w:rsid w:val="006F085D"/>
    <w:rsid w:val="006F4012"/>
    <w:rsid w:val="006F40C6"/>
    <w:rsid w:val="006F4CD3"/>
    <w:rsid w:val="006F60BD"/>
    <w:rsid w:val="006F64D0"/>
    <w:rsid w:val="007030BA"/>
    <w:rsid w:val="00703916"/>
    <w:rsid w:val="00703D84"/>
    <w:rsid w:val="0070690F"/>
    <w:rsid w:val="007123C0"/>
    <w:rsid w:val="00714696"/>
    <w:rsid w:val="007149F2"/>
    <w:rsid w:val="00714A97"/>
    <w:rsid w:val="0071684B"/>
    <w:rsid w:val="007177E6"/>
    <w:rsid w:val="00721A1B"/>
    <w:rsid w:val="0072227A"/>
    <w:rsid w:val="00722E1B"/>
    <w:rsid w:val="0072382C"/>
    <w:rsid w:val="007240DD"/>
    <w:rsid w:val="00726175"/>
    <w:rsid w:val="00726835"/>
    <w:rsid w:val="007315D5"/>
    <w:rsid w:val="00732D88"/>
    <w:rsid w:val="00732DAA"/>
    <w:rsid w:val="0073487A"/>
    <w:rsid w:val="00735418"/>
    <w:rsid w:val="00735FB8"/>
    <w:rsid w:val="00736DD2"/>
    <w:rsid w:val="00743B24"/>
    <w:rsid w:val="007446C0"/>
    <w:rsid w:val="00751940"/>
    <w:rsid w:val="007547A3"/>
    <w:rsid w:val="00754E2C"/>
    <w:rsid w:val="00756A51"/>
    <w:rsid w:val="00760D49"/>
    <w:rsid w:val="00761A79"/>
    <w:rsid w:val="007624E5"/>
    <w:rsid w:val="00762664"/>
    <w:rsid w:val="007643AB"/>
    <w:rsid w:val="00765922"/>
    <w:rsid w:val="007722CE"/>
    <w:rsid w:val="00773999"/>
    <w:rsid w:val="00774013"/>
    <w:rsid w:val="00775BC0"/>
    <w:rsid w:val="00776CD6"/>
    <w:rsid w:val="0078712F"/>
    <w:rsid w:val="007906F2"/>
    <w:rsid w:val="00794050"/>
    <w:rsid w:val="00795738"/>
    <w:rsid w:val="007A2905"/>
    <w:rsid w:val="007A2CD7"/>
    <w:rsid w:val="007A6161"/>
    <w:rsid w:val="007B2C9B"/>
    <w:rsid w:val="007B3FD9"/>
    <w:rsid w:val="007B4BFF"/>
    <w:rsid w:val="007B6A1D"/>
    <w:rsid w:val="007C22B4"/>
    <w:rsid w:val="007D1269"/>
    <w:rsid w:val="007D1785"/>
    <w:rsid w:val="007D1945"/>
    <w:rsid w:val="007D35E0"/>
    <w:rsid w:val="007D41DD"/>
    <w:rsid w:val="007D545F"/>
    <w:rsid w:val="007D64B7"/>
    <w:rsid w:val="007E2FA4"/>
    <w:rsid w:val="007E5764"/>
    <w:rsid w:val="007E6939"/>
    <w:rsid w:val="007F39ED"/>
    <w:rsid w:val="0080012B"/>
    <w:rsid w:val="00803A4D"/>
    <w:rsid w:val="00810894"/>
    <w:rsid w:val="008125AB"/>
    <w:rsid w:val="008162F6"/>
    <w:rsid w:val="008217AF"/>
    <w:rsid w:val="0082366B"/>
    <w:rsid w:val="00830AC3"/>
    <w:rsid w:val="00835F29"/>
    <w:rsid w:val="008361D1"/>
    <w:rsid w:val="00837E3C"/>
    <w:rsid w:val="00846053"/>
    <w:rsid w:val="00846E4B"/>
    <w:rsid w:val="00851173"/>
    <w:rsid w:val="0085358D"/>
    <w:rsid w:val="00860E6D"/>
    <w:rsid w:val="00861EB2"/>
    <w:rsid w:val="00863CFA"/>
    <w:rsid w:val="00864147"/>
    <w:rsid w:val="00871B26"/>
    <w:rsid w:val="0087214E"/>
    <w:rsid w:val="0087295B"/>
    <w:rsid w:val="00881996"/>
    <w:rsid w:val="008847C9"/>
    <w:rsid w:val="00884DBC"/>
    <w:rsid w:val="00885709"/>
    <w:rsid w:val="00885E16"/>
    <w:rsid w:val="008868AB"/>
    <w:rsid w:val="00887A4C"/>
    <w:rsid w:val="008926F5"/>
    <w:rsid w:val="00893712"/>
    <w:rsid w:val="008963F8"/>
    <w:rsid w:val="008A064E"/>
    <w:rsid w:val="008A1C77"/>
    <w:rsid w:val="008A2849"/>
    <w:rsid w:val="008A5CDC"/>
    <w:rsid w:val="008A78C6"/>
    <w:rsid w:val="008B0BC6"/>
    <w:rsid w:val="008B0BF6"/>
    <w:rsid w:val="008B1048"/>
    <w:rsid w:val="008B25DE"/>
    <w:rsid w:val="008B540E"/>
    <w:rsid w:val="008C0E0E"/>
    <w:rsid w:val="008C1164"/>
    <w:rsid w:val="008D11D0"/>
    <w:rsid w:val="008D1A25"/>
    <w:rsid w:val="008D20D3"/>
    <w:rsid w:val="008D332F"/>
    <w:rsid w:val="008D457A"/>
    <w:rsid w:val="008E2B73"/>
    <w:rsid w:val="008E6E30"/>
    <w:rsid w:val="008F3FF4"/>
    <w:rsid w:val="008F4075"/>
    <w:rsid w:val="008F5DC1"/>
    <w:rsid w:val="00904395"/>
    <w:rsid w:val="009071F5"/>
    <w:rsid w:val="00910263"/>
    <w:rsid w:val="00910C1F"/>
    <w:rsid w:val="009137CB"/>
    <w:rsid w:val="00917495"/>
    <w:rsid w:val="009216AF"/>
    <w:rsid w:val="00922E36"/>
    <w:rsid w:val="00927B18"/>
    <w:rsid w:val="0093156D"/>
    <w:rsid w:val="009316F0"/>
    <w:rsid w:val="009337C3"/>
    <w:rsid w:val="00933F8C"/>
    <w:rsid w:val="009413CF"/>
    <w:rsid w:val="00941EC6"/>
    <w:rsid w:val="009441C9"/>
    <w:rsid w:val="009451EC"/>
    <w:rsid w:val="00946FC0"/>
    <w:rsid w:val="0095337B"/>
    <w:rsid w:val="009554BC"/>
    <w:rsid w:val="00955556"/>
    <w:rsid w:val="00964BD2"/>
    <w:rsid w:val="00964F48"/>
    <w:rsid w:val="00971A1A"/>
    <w:rsid w:val="00981583"/>
    <w:rsid w:val="009825B8"/>
    <w:rsid w:val="00984361"/>
    <w:rsid w:val="00991EA9"/>
    <w:rsid w:val="00992FDC"/>
    <w:rsid w:val="00993E6C"/>
    <w:rsid w:val="0099433E"/>
    <w:rsid w:val="009964AA"/>
    <w:rsid w:val="009965A6"/>
    <w:rsid w:val="009A20A5"/>
    <w:rsid w:val="009A4F23"/>
    <w:rsid w:val="009B262C"/>
    <w:rsid w:val="009B3AB7"/>
    <w:rsid w:val="009B4145"/>
    <w:rsid w:val="009B7001"/>
    <w:rsid w:val="009B708A"/>
    <w:rsid w:val="009C01AF"/>
    <w:rsid w:val="009C0518"/>
    <w:rsid w:val="009C15C5"/>
    <w:rsid w:val="009C2759"/>
    <w:rsid w:val="009C4679"/>
    <w:rsid w:val="009D11FD"/>
    <w:rsid w:val="009D4E27"/>
    <w:rsid w:val="009D6632"/>
    <w:rsid w:val="009E364B"/>
    <w:rsid w:val="009E63A6"/>
    <w:rsid w:val="009E6ACF"/>
    <w:rsid w:val="009F2C75"/>
    <w:rsid w:val="009F44FD"/>
    <w:rsid w:val="009F5276"/>
    <w:rsid w:val="00A002B0"/>
    <w:rsid w:val="00A0207F"/>
    <w:rsid w:val="00A02B27"/>
    <w:rsid w:val="00A077DB"/>
    <w:rsid w:val="00A10258"/>
    <w:rsid w:val="00A11711"/>
    <w:rsid w:val="00A11D82"/>
    <w:rsid w:val="00A12468"/>
    <w:rsid w:val="00A15B72"/>
    <w:rsid w:val="00A2065F"/>
    <w:rsid w:val="00A250F9"/>
    <w:rsid w:val="00A264F2"/>
    <w:rsid w:val="00A31E9C"/>
    <w:rsid w:val="00A327A9"/>
    <w:rsid w:val="00A36510"/>
    <w:rsid w:val="00A43C3B"/>
    <w:rsid w:val="00A459AA"/>
    <w:rsid w:val="00A460D5"/>
    <w:rsid w:val="00A4624F"/>
    <w:rsid w:val="00A5221C"/>
    <w:rsid w:val="00A531A3"/>
    <w:rsid w:val="00A5395D"/>
    <w:rsid w:val="00A5558C"/>
    <w:rsid w:val="00A6532B"/>
    <w:rsid w:val="00A67B45"/>
    <w:rsid w:val="00A67E31"/>
    <w:rsid w:val="00A75161"/>
    <w:rsid w:val="00A7750C"/>
    <w:rsid w:val="00A80C19"/>
    <w:rsid w:val="00A818F8"/>
    <w:rsid w:val="00A858A8"/>
    <w:rsid w:val="00A90D6E"/>
    <w:rsid w:val="00AA1AA2"/>
    <w:rsid w:val="00AA23D4"/>
    <w:rsid w:val="00AA6CC6"/>
    <w:rsid w:val="00AA7A43"/>
    <w:rsid w:val="00AB4190"/>
    <w:rsid w:val="00AB7EA7"/>
    <w:rsid w:val="00AC3FFE"/>
    <w:rsid w:val="00AC6352"/>
    <w:rsid w:val="00AC6AEC"/>
    <w:rsid w:val="00AD1A80"/>
    <w:rsid w:val="00AD36BD"/>
    <w:rsid w:val="00AD726F"/>
    <w:rsid w:val="00AD7280"/>
    <w:rsid w:val="00AD7963"/>
    <w:rsid w:val="00AE028C"/>
    <w:rsid w:val="00AE094C"/>
    <w:rsid w:val="00AE29D3"/>
    <w:rsid w:val="00AE3586"/>
    <w:rsid w:val="00AE696A"/>
    <w:rsid w:val="00AF0432"/>
    <w:rsid w:val="00AF0E06"/>
    <w:rsid w:val="00AF2F32"/>
    <w:rsid w:val="00AF3C2F"/>
    <w:rsid w:val="00AF3FBB"/>
    <w:rsid w:val="00AF5170"/>
    <w:rsid w:val="00AF517C"/>
    <w:rsid w:val="00AF592E"/>
    <w:rsid w:val="00B0026A"/>
    <w:rsid w:val="00B01D52"/>
    <w:rsid w:val="00B03778"/>
    <w:rsid w:val="00B05AA5"/>
    <w:rsid w:val="00B15972"/>
    <w:rsid w:val="00B205F4"/>
    <w:rsid w:val="00B20C7C"/>
    <w:rsid w:val="00B222C2"/>
    <w:rsid w:val="00B23281"/>
    <w:rsid w:val="00B265FB"/>
    <w:rsid w:val="00B30B1A"/>
    <w:rsid w:val="00B3227B"/>
    <w:rsid w:val="00B33515"/>
    <w:rsid w:val="00B40188"/>
    <w:rsid w:val="00B41FBD"/>
    <w:rsid w:val="00B426F3"/>
    <w:rsid w:val="00B4270B"/>
    <w:rsid w:val="00B4354D"/>
    <w:rsid w:val="00B53CC1"/>
    <w:rsid w:val="00B53D8E"/>
    <w:rsid w:val="00B54EB8"/>
    <w:rsid w:val="00B63A1F"/>
    <w:rsid w:val="00B6667E"/>
    <w:rsid w:val="00B673AE"/>
    <w:rsid w:val="00B72A18"/>
    <w:rsid w:val="00B73960"/>
    <w:rsid w:val="00B744C9"/>
    <w:rsid w:val="00B75388"/>
    <w:rsid w:val="00B77FDB"/>
    <w:rsid w:val="00B80A27"/>
    <w:rsid w:val="00B84A84"/>
    <w:rsid w:val="00B852D3"/>
    <w:rsid w:val="00B87C0F"/>
    <w:rsid w:val="00B91AE7"/>
    <w:rsid w:val="00B925F0"/>
    <w:rsid w:val="00B95EDB"/>
    <w:rsid w:val="00BA10EC"/>
    <w:rsid w:val="00BA1550"/>
    <w:rsid w:val="00BA26F9"/>
    <w:rsid w:val="00BA2D7E"/>
    <w:rsid w:val="00BA4F31"/>
    <w:rsid w:val="00BA5479"/>
    <w:rsid w:val="00BA6CF4"/>
    <w:rsid w:val="00BB2FE0"/>
    <w:rsid w:val="00BB5404"/>
    <w:rsid w:val="00BB73FA"/>
    <w:rsid w:val="00BC659B"/>
    <w:rsid w:val="00BC73E8"/>
    <w:rsid w:val="00BD012A"/>
    <w:rsid w:val="00BD3A14"/>
    <w:rsid w:val="00BD40E3"/>
    <w:rsid w:val="00BD4C20"/>
    <w:rsid w:val="00BE11C5"/>
    <w:rsid w:val="00BE164E"/>
    <w:rsid w:val="00BE442B"/>
    <w:rsid w:val="00BE4F40"/>
    <w:rsid w:val="00BE570B"/>
    <w:rsid w:val="00BE5FDA"/>
    <w:rsid w:val="00BE6EBC"/>
    <w:rsid w:val="00BF1891"/>
    <w:rsid w:val="00BF2B30"/>
    <w:rsid w:val="00BF797A"/>
    <w:rsid w:val="00C00415"/>
    <w:rsid w:val="00C014A8"/>
    <w:rsid w:val="00C01D7A"/>
    <w:rsid w:val="00C07D9E"/>
    <w:rsid w:val="00C10FC5"/>
    <w:rsid w:val="00C1461E"/>
    <w:rsid w:val="00C21BF3"/>
    <w:rsid w:val="00C23C18"/>
    <w:rsid w:val="00C27313"/>
    <w:rsid w:val="00C27F77"/>
    <w:rsid w:val="00C34E7A"/>
    <w:rsid w:val="00C36B82"/>
    <w:rsid w:val="00C36F5F"/>
    <w:rsid w:val="00C37CB2"/>
    <w:rsid w:val="00C41887"/>
    <w:rsid w:val="00C4592F"/>
    <w:rsid w:val="00C46554"/>
    <w:rsid w:val="00C508B5"/>
    <w:rsid w:val="00C51E8E"/>
    <w:rsid w:val="00C53C72"/>
    <w:rsid w:val="00C606DF"/>
    <w:rsid w:val="00C6092D"/>
    <w:rsid w:val="00C645A8"/>
    <w:rsid w:val="00C67489"/>
    <w:rsid w:val="00C67680"/>
    <w:rsid w:val="00C6792A"/>
    <w:rsid w:val="00C70B20"/>
    <w:rsid w:val="00C82134"/>
    <w:rsid w:val="00C86A98"/>
    <w:rsid w:val="00C95F15"/>
    <w:rsid w:val="00CA039A"/>
    <w:rsid w:val="00CA21A3"/>
    <w:rsid w:val="00CA4084"/>
    <w:rsid w:val="00CB0639"/>
    <w:rsid w:val="00CB0BC5"/>
    <w:rsid w:val="00CB1020"/>
    <w:rsid w:val="00CC108B"/>
    <w:rsid w:val="00CC13D5"/>
    <w:rsid w:val="00CC5A8C"/>
    <w:rsid w:val="00CD0F42"/>
    <w:rsid w:val="00CD455E"/>
    <w:rsid w:val="00CE1E74"/>
    <w:rsid w:val="00CE3CD6"/>
    <w:rsid w:val="00CE4FF6"/>
    <w:rsid w:val="00CF0AF6"/>
    <w:rsid w:val="00CF0FC4"/>
    <w:rsid w:val="00CF2AE5"/>
    <w:rsid w:val="00CF2D19"/>
    <w:rsid w:val="00CF3C56"/>
    <w:rsid w:val="00CF44C9"/>
    <w:rsid w:val="00CF5066"/>
    <w:rsid w:val="00CF56AA"/>
    <w:rsid w:val="00CF6890"/>
    <w:rsid w:val="00D017F5"/>
    <w:rsid w:val="00D01FAF"/>
    <w:rsid w:val="00D01FBA"/>
    <w:rsid w:val="00D03304"/>
    <w:rsid w:val="00D069E9"/>
    <w:rsid w:val="00D07A45"/>
    <w:rsid w:val="00D11494"/>
    <w:rsid w:val="00D12FB5"/>
    <w:rsid w:val="00D131A6"/>
    <w:rsid w:val="00D139D8"/>
    <w:rsid w:val="00D16821"/>
    <w:rsid w:val="00D236AA"/>
    <w:rsid w:val="00D2611C"/>
    <w:rsid w:val="00D32789"/>
    <w:rsid w:val="00D3340E"/>
    <w:rsid w:val="00D36A1C"/>
    <w:rsid w:val="00D42E58"/>
    <w:rsid w:val="00D4578B"/>
    <w:rsid w:val="00D46EBF"/>
    <w:rsid w:val="00D47553"/>
    <w:rsid w:val="00D569FC"/>
    <w:rsid w:val="00D57117"/>
    <w:rsid w:val="00D7529D"/>
    <w:rsid w:val="00D81FE7"/>
    <w:rsid w:val="00D858AE"/>
    <w:rsid w:val="00D85D4B"/>
    <w:rsid w:val="00D86D27"/>
    <w:rsid w:val="00D9253D"/>
    <w:rsid w:val="00D931EE"/>
    <w:rsid w:val="00D94E87"/>
    <w:rsid w:val="00DA20D1"/>
    <w:rsid w:val="00DA26ED"/>
    <w:rsid w:val="00DA29BB"/>
    <w:rsid w:val="00DA37D1"/>
    <w:rsid w:val="00DA5970"/>
    <w:rsid w:val="00DA5C4B"/>
    <w:rsid w:val="00DA5CFA"/>
    <w:rsid w:val="00DA76B8"/>
    <w:rsid w:val="00DA7AC9"/>
    <w:rsid w:val="00DB2905"/>
    <w:rsid w:val="00DB35BA"/>
    <w:rsid w:val="00DB4125"/>
    <w:rsid w:val="00DC2DB0"/>
    <w:rsid w:val="00DC5E7F"/>
    <w:rsid w:val="00DC65D8"/>
    <w:rsid w:val="00DD1265"/>
    <w:rsid w:val="00DD17E0"/>
    <w:rsid w:val="00DD24AE"/>
    <w:rsid w:val="00DD5B70"/>
    <w:rsid w:val="00DE03F3"/>
    <w:rsid w:val="00DE2B0D"/>
    <w:rsid w:val="00DE42C9"/>
    <w:rsid w:val="00DF3FAF"/>
    <w:rsid w:val="00DF4728"/>
    <w:rsid w:val="00DF5F7F"/>
    <w:rsid w:val="00DF7298"/>
    <w:rsid w:val="00E05CAA"/>
    <w:rsid w:val="00E0661B"/>
    <w:rsid w:val="00E15EB0"/>
    <w:rsid w:val="00E22943"/>
    <w:rsid w:val="00E231CE"/>
    <w:rsid w:val="00E24F1B"/>
    <w:rsid w:val="00E24F72"/>
    <w:rsid w:val="00E25635"/>
    <w:rsid w:val="00E25713"/>
    <w:rsid w:val="00E25AF7"/>
    <w:rsid w:val="00E30ECA"/>
    <w:rsid w:val="00E3100B"/>
    <w:rsid w:val="00E321BA"/>
    <w:rsid w:val="00E348E3"/>
    <w:rsid w:val="00E3491B"/>
    <w:rsid w:val="00E349F1"/>
    <w:rsid w:val="00E3521E"/>
    <w:rsid w:val="00E369E7"/>
    <w:rsid w:val="00E41A64"/>
    <w:rsid w:val="00E42119"/>
    <w:rsid w:val="00E43B52"/>
    <w:rsid w:val="00E43E01"/>
    <w:rsid w:val="00E44D88"/>
    <w:rsid w:val="00E451EF"/>
    <w:rsid w:val="00E45B00"/>
    <w:rsid w:val="00E5272C"/>
    <w:rsid w:val="00E54E3A"/>
    <w:rsid w:val="00E55532"/>
    <w:rsid w:val="00E60226"/>
    <w:rsid w:val="00E637AE"/>
    <w:rsid w:val="00E66774"/>
    <w:rsid w:val="00E66D85"/>
    <w:rsid w:val="00E6717A"/>
    <w:rsid w:val="00E6756E"/>
    <w:rsid w:val="00E70F49"/>
    <w:rsid w:val="00E76F8D"/>
    <w:rsid w:val="00E80F11"/>
    <w:rsid w:val="00E81A4B"/>
    <w:rsid w:val="00E86DFE"/>
    <w:rsid w:val="00E90F11"/>
    <w:rsid w:val="00E93915"/>
    <w:rsid w:val="00E95E77"/>
    <w:rsid w:val="00E9681B"/>
    <w:rsid w:val="00E977C4"/>
    <w:rsid w:val="00EA071A"/>
    <w:rsid w:val="00EA4097"/>
    <w:rsid w:val="00EA447A"/>
    <w:rsid w:val="00EA47CD"/>
    <w:rsid w:val="00EA5D19"/>
    <w:rsid w:val="00EA673B"/>
    <w:rsid w:val="00EA7938"/>
    <w:rsid w:val="00EB0CA3"/>
    <w:rsid w:val="00EB2501"/>
    <w:rsid w:val="00EB285A"/>
    <w:rsid w:val="00EB4011"/>
    <w:rsid w:val="00EB47C5"/>
    <w:rsid w:val="00EB4ADF"/>
    <w:rsid w:val="00EB4DAB"/>
    <w:rsid w:val="00EB6643"/>
    <w:rsid w:val="00EC46C6"/>
    <w:rsid w:val="00ED189E"/>
    <w:rsid w:val="00ED2EB5"/>
    <w:rsid w:val="00ED5CF2"/>
    <w:rsid w:val="00EE09E8"/>
    <w:rsid w:val="00EE198E"/>
    <w:rsid w:val="00EE1A2E"/>
    <w:rsid w:val="00EE29E4"/>
    <w:rsid w:val="00EE43CA"/>
    <w:rsid w:val="00EE48EA"/>
    <w:rsid w:val="00EE4E27"/>
    <w:rsid w:val="00EF054B"/>
    <w:rsid w:val="00EF11B6"/>
    <w:rsid w:val="00EF416E"/>
    <w:rsid w:val="00EF46AE"/>
    <w:rsid w:val="00EF5C7B"/>
    <w:rsid w:val="00EF6F61"/>
    <w:rsid w:val="00F0119E"/>
    <w:rsid w:val="00F02826"/>
    <w:rsid w:val="00F04270"/>
    <w:rsid w:val="00F0657B"/>
    <w:rsid w:val="00F07541"/>
    <w:rsid w:val="00F07BDC"/>
    <w:rsid w:val="00F131B2"/>
    <w:rsid w:val="00F13250"/>
    <w:rsid w:val="00F20466"/>
    <w:rsid w:val="00F20DCF"/>
    <w:rsid w:val="00F213C1"/>
    <w:rsid w:val="00F25EE2"/>
    <w:rsid w:val="00F26AC4"/>
    <w:rsid w:val="00F27B35"/>
    <w:rsid w:val="00F27CD8"/>
    <w:rsid w:val="00F3338E"/>
    <w:rsid w:val="00F33B43"/>
    <w:rsid w:val="00F34BEA"/>
    <w:rsid w:val="00F35A9B"/>
    <w:rsid w:val="00F37771"/>
    <w:rsid w:val="00F409B5"/>
    <w:rsid w:val="00F42B80"/>
    <w:rsid w:val="00F4369C"/>
    <w:rsid w:val="00F43DCC"/>
    <w:rsid w:val="00F4492A"/>
    <w:rsid w:val="00F45EFA"/>
    <w:rsid w:val="00F461E7"/>
    <w:rsid w:val="00F5257C"/>
    <w:rsid w:val="00F52D0A"/>
    <w:rsid w:val="00F541CF"/>
    <w:rsid w:val="00F5502E"/>
    <w:rsid w:val="00F61192"/>
    <w:rsid w:val="00F61ABA"/>
    <w:rsid w:val="00F70104"/>
    <w:rsid w:val="00F711ED"/>
    <w:rsid w:val="00F7401D"/>
    <w:rsid w:val="00F7507E"/>
    <w:rsid w:val="00F75ED9"/>
    <w:rsid w:val="00F76895"/>
    <w:rsid w:val="00F773E8"/>
    <w:rsid w:val="00F817B9"/>
    <w:rsid w:val="00F8217D"/>
    <w:rsid w:val="00F838B8"/>
    <w:rsid w:val="00F83AC6"/>
    <w:rsid w:val="00F85F42"/>
    <w:rsid w:val="00F87034"/>
    <w:rsid w:val="00F91BFB"/>
    <w:rsid w:val="00F92F12"/>
    <w:rsid w:val="00F95B15"/>
    <w:rsid w:val="00FA2804"/>
    <w:rsid w:val="00FA6899"/>
    <w:rsid w:val="00FA7D87"/>
    <w:rsid w:val="00FB34FB"/>
    <w:rsid w:val="00FB74D9"/>
    <w:rsid w:val="00FB7A9B"/>
    <w:rsid w:val="00FC0B2A"/>
    <w:rsid w:val="00FC66AD"/>
    <w:rsid w:val="00FC74D4"/>
    <w:rsid w:val="00FC7ACE"/>
    <w:rsid w:val="00FD3AD6"/>
    <w:rsid w:val="00FD4380"/>
    <w:rsid w:val="00FE04DC"/>
    <w:rsid w:val="00FE5EA7"/>
    <w:rsid w:val="00FF2721"/>
    <w:rsid w:val="00FF7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08B76"/>
  <w15:chartTrackingRefBased/>
  <w15:docId w15:val="{24A24CB4-852F-493F-98C1-0D076061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6B8"/>
    <w:pPr>
      <w:spacing w:after="200" w:line="276" w:lineRule="auto"/>
    </w:pPr>
    <w:rPr>
      <w:sz w:val="22"/>
      <w:szCs w:val="22"/>
      <w:lang w:eastAsia="en-US"/>
    </w:rPr>
  </w:style>
  <w:style w:type="paragraph" w:styleId="Heading1">
    <w:name w:val="heading 1"/>
    <w:aliases w:val="Heading,Heading 1 - chapter,Chapter,Chapter head,L1,CH,. (1.0),Do Not Use,Numbered 1,H1,H11,H12,Chapter1,Chapter2,Chapter Hdg,Section Heading,Heading 1 Char Char,Heading 1 Char Char Char Char Char Char,Outline1,1 ghost,g,Oscar Faber 1,Section"/>
    <w:basedOn w:val="Normal"/>
    <w:next w:val="Default"/>
    <w:link w:val="Heading1Char"/>
    <w:qFormat/>
    <w:rsid w:val="00112E4F"/>
    <w:pPr>
      <w:spacing w:after="0" w:line="240" w:lineRule="auto"/>
      <w:ind w:firstLine="284"/>
      <w:outlineLvl w:val="0"/>
    </w:pPr>
    <w:rPr>
      <w:rFonts w:ascii="Arial" w:hAnsi="Arial" w:cs="Arial"/>
      <w:b/>
      <w:bCs/>
    </w:rPr>
  </w:style>
  <w:style w:type="paragraph" w:styleId="Heading2">
    <w:name w:val="heading 2"/>
    <w:basedOn w:val="Default"/>
    <w:next w:val="Default"/>
    <w:link w:val="Heading2Char"/>
    <w:qFormat/>
    <w:rsid w:val="00DD24AE"/>
    <w:pPr>
      <w:numPr>
        <w:ilvl w:val="1"/>
        <w:numId w:val="5"/>
      </w:numPr>
      <w:outlineLvl w:val="1"/>
    </w:pPr>
    <w:rPr>
      <w:rFonts w:eastAsia="Times New Roman" w:cs="Times New Roman"/>
      <w:color w:val="auto"/>
      <w:sz w:val="20"/>
      <w:lang w:val="en-US" w:eastAsia="en-US"/>
    </w:rPr>
  </w:style>
  <w:style w:type="paragraph" w:styleId="Heading3">
    <w:name w:val="heading 3"/>
    <w:basedOn w:val="Default"/>
    <w:next w:val="Default"/>
    <w:link w:val="Heading3Char"/>
    <w:qFormat/>
    <w:rsid w:val="00DD24AE"/>
    <w:pPr>
      <w:numPr>
        <w:ilvl w:val="2"/>
        <w:numId w:val="5"/>
      </w:numPr>
      <w:outlineLvl w:val="2"/>
    </w:pPr>
    <w:rPr>
      <w:rFonts w:eastAsia="Times New Roman" w:cs="Times New Roman"/>
      <w:color w:val="auto"/>
      <w:sz w:val="20"/>
      <w:lang w:val="en-US" w:eastAsia="en-US"/>
    </w:rPr>
  </w:style>
  <w:style w:type="paragraph" w:styleId="Heading4">
    <w:name w:val="heading 4"/>
    <w:aliases w:val="Table"/>
    <w:basedOn w:val="Normal"/>
    <w:next w:val="Normal"/>
    <w:link w:val="Heading4Char"/>
    <w:qFormat/>
    <w:rsid w:val="00DD24AE"/>
    <w:pPr>
      <w:keepNext/>
      <w:numPr>
        <w:ilvl w:val="3"/>
        <w:numId w:val="5"/>
      </w:numPr>
      <w:spacing w:before="240" w:after="60" w:line="240" w:lineRule="auto"/>
      <w:outlineLvl w:val="3"/>
    </w:pPr>
    <w:rPr>
      <w:rFonts w:ascii="Times New Roman" w:eastAsia="Times New Roman" w:hAnsi="Times New Roman"/>
      <w:b/>
      <w:bCs/>
      <w:sz w:val="28"/>
      <w:szCs w:val="28"/>
    </w:rPr>
  </w:style>
  <w:style w:type="paragraph" w:styleId="Heading5">
    <w:name w:val="heading 5"/>
    <w:aliases w:val="Table Appendices,Level 3 - i,h5,1cm Indent,Heading 5(unused),Level 3 - (i),Third Level Heading,Response Type,Response Type1,Response Type2,Response Type3,Response Type4,Response Type5,Response Type6,Response Type7,Appendix A to X,H5"/>
    <w:basedOn w:val="Normal"/>
    <w:next w:val="Normal"/>
    <w:link w:val="Heading5Char"/>
    <w:qFormat/>
    <w:rsid w:val="00DD24AE"/>
    <w:pPr>
      <w:numPr>
        <w:ilvl w:val="4"/>
        <w:numId w:val="5"/>
      </w:num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DD24AE"/>
    <w:pPr>
      <w:numPr>
        <w:ilvl w:val="5"/>
        <w:numId w:val="5"/>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DD24AE"/>
    <w:pPr>
      <w:numPr>
        <w:ilvl w:val="6"/>
        <w:numId w:val="5"/>
      </w:num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DD24AE"/>
    <w:pPr>
      <w:numPr>
        <w:ilvl w:val="7"/>
        <w:numId w:val="5"/>
      </w:num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DD24AE"/>
    <w:pPr>
      <w:numPr>
        <w:ilvl w:val="8"/>
        <w:numId w:val="5"/>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BCD"/>
    <w:pPr>
      <w:tabs>
        <w:tab w:val="center" w:pos="4513"/>
        <w:tab w:val="right" w:pos="9026"/>
      </w:tabs>
    </w:pPr>
  </w:style>
  <w:style w:type="character" w:customStyle="1" w:styleId="HeaderChar">
    <w:name w:val="Header Char"/>
    <w:link w:val="Header"/>
    <w:uiPriority w:val="99"/>
    <w:rsid w:val="000A2BCD"/>
    <w:rPr>
      <w:sz w:val="22"/>
      <w:szCs w:val="22"/>
      <w:lang w:eastAsia="en-US"/>
    </w:rPr>
  </w:style>
  <w:style w:type="paragraph" w:styleId="Footer">
    <w:name w:val="footer"/>
    <w:basedOn w:val="Normal"/>
    <w:link w:val="FooterChar"/>
    <w:uiPriority w:val="99"/>
    <w:unhideWhenUsed/>
    <w:rsid w:val="000A2BCD"/>
    <w:pPr>
      <w:tabs>
        <w:tab w:val="center" w:pos="4513"/>
        <w:tab w:val="right" w:pos="9026"/>
      </w:tabs>
    </w:pPr>
  </w:style>
  <w:style w:type="character" w:customStyle="1" w:styleId="FooterChar">
    <w:name w:val="Footer Char"/>
    <w:link w:val="Footer"/>
    <w:uiPriority w:val="99"/>
    <w:rsid w:val="000A2BCD"/>
    <w:rPr>
      <w:sz w:val="22"/>
      <w:szCs w:val="22"/>
      <w:lang w:eastAsia="en-US"/>
    </w:rPr>
  </w:style>
  <w:style w:type="paragraph" w:styleId="BalloonText">
    <w:name w:val="Balloon Text"/>
    <w:basedOn w:val="Normal"/>
    <w:link w:val="BalloonTextChar"/>
    <w:uiPriority w:val="99"/>
    <w:semiHidden/>
    <w:unhideWhenUsed/>
    <w:rsid w:val="000A2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2BCD"/>
    <w:rPr>
      <w:rFonts w:ascii="Tahoma" w:hAnsi="Tahoma" w:cs="Tahoma"/>
      <w:sz w:val="16"/>
      <w:szCs w:val="16"/>
      <w:lang w:eastAsia="en-US"/>
    </w:rPr>
  </w:style>
  <w:style w:type="paragraph" w:styleId="ListParagraph">
    <w:name w:val="List Paragraph"/>
    <w:basedOn w:val="Normal"/>
    <w:uiPriority w:val="34"/>
    <w:qFormat/>
    <w:rsid w:val="003D299E"/>
    <w:pPr>
      <w:spacing w:after="120"/>
      <w:ind w:left="720"/>
      <w:contextualSpacing/>
    </w:pPr>
    <w:rPr>
      <w:rFonts w:ascii="Arial" w:hAnsi="Arial"/>
      <w:sz w:val="24"/>
    </w:rPr>
  </w:style>
  <w:style w:type="paragraph" w:customStyle="1" w:styleId="PGBodyBullets">
    <w:name w:val="PG Body Bullets"/>
    <w:basedOn w:val="Normal"/>
    <w:qFormat/>
    <w:rsid w:val="00E3491B"/>
    <w:pPr>
      <w:numPr>
        <w:numId w:val="1"/>
      </w:numPr>
      <w:spacing w:before="40" w:after="240" w:line="240" w:lineRule="auto"/>
      <w:outlineLvl w:val="3"/>
    </w:pPr>
    <w:rPr>
      <w:rFonts w:ascii="Arial" w:eastAsia="Yu Gothic Light" w:hAnsi="Arial"/>
      <w:iCs/>
      <w:color w:val="000000"/>
      <w:sz w:val="24"/>
    </w:rPr>
  </w:style>
  <w:style w:type="paragraph" w:styleId="Caption">
    <w:name w:val="caption"/>
    <w:basedOn w:val="Normal"/>
    <w:next w:val="Normal"/>
    <w:unhideWhenUsed/>
    <w:qFormat/>
    <w:rsid w:val="00E3491B"/>
    <w:pPr>
      <w:spacing w:line="240" w:lineRule="auto"/>
    </w:pPr>
    <w:rPr>
      <w:rFonts w:ascii="Arial" w:eastAsia="Times New Roman" w:hAnsi="Arial"/>
      <w:iCs/>
      <w:color w:val="44546A"/>
      <w:szCs w:val="18"/>
    </w:rPr>
  </w:style>
  <w:style w:type="paragraph" w:styleId="FootnoteText">
    <w:name w:val="footnote text"/>
    <w:basedOn w:val="Normal"/>
    <w:link w:val="FootnoteTextChar"/>
    <w:uiPriority w:val="99"/>
    <w:semiHidden/>
    <w:unhideWhenUsed/>
    <w:rsid w:val="00423964"/>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423964"/>
    <w:rPr>
      <w:rFonts w:ascii="Times New Roman" w:eastAsia="Times New Roman" w:hAnsi="Times New Roman"/>
    </w:rPr>
  </w:style>
  <w:style w:type="character" w:styleId="FootnoteReference">
    <w:name w:val="footnote reference"/>
    <w:uiPriority w:val="99"/>
    <w:semiHidden/>
    <w:unhideWhenUsed/>
    <w:rsid w:val="00423964"/>
    <w:rPr>
      <w:vertAlign w:val="superscript"/>
    </w:rPr>
  </w:style>
  <w:style w:type="character" w:styleId="Strong">
    <w:name w:val="Strong"/>
    <w:qFormat/>
    <w:rsid w:val="00423964"/>
    <w:rPr>
      <w:b/>
      <w:bCs/>
    </w:rPr>
  </w:style>
  <w:style w:type="table" w:styleId="TableGrid">
    <w:name w:val="Table Grid"/>
    <w:basedOn w:val="TableNormal"/>
    <w:uiPriority w:val="39"/>
    <w:rsid w:val="00FC6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Char,Heading 1 - chapter Char,Chapter Char,Chapter head Char,L1 Char,CH Char,. (1.0) Char,Do Not Use Char,Numbered 1 Char,H1 Char,H11 Char,H12 Char,Chapter1 Char,Chapter2 Char,Chapter Hdg Char,Section Heading Char,Outline1 Char"/>
    <w:link w:val="Heading1"/>
    <w:rsid w:val="00112E4F"/>
    <w:rPr>
      <w:rFonts w:ascii="Arial" w:hAnsi="Arial" w:cs="Arial"/>
      <w:b/>
      <w:bCs/>
      <w:sz w:val="22"/>
      <w:szCs w:val="22"/>
      <w:lang w:eastAsia="en-US"/>
    </w:rPr>
  </w:style>
  <w:style w:type="character" w:customStyle="1" w:styleId="Heading2Char">
    <w:name w:val="Heading 2 Char"/>
    <w:link w:val="Heading2"/>
    <w:rsid w:val="00DD24AE"/>
    <w:rPr>
      <w:rFonts w:ascii="Arial" w:eastAsia="Times New Roman" w:hAnsi="Arial"/>
      <w:szCs w:val="24"/>
      <w:lang w:val="en-US" w:eastAsia="en-US"/>
    </w:rPr>
  </w:style>
  <w:style w:type="character" w:customStyle="1" w:styleId="Heading3Char">
    <w:name w:val="Heading 3 Char"/>
    <w:link w:val="Heading3"/>
    <w:rsid w:val="00DD24AE"/>
    <w:rPr>
      <w:rFonts w:ascii="Arial" w:eastAsia="Times New Roman" w:hAnsi="Arial"/>
      <w:szCs w:val="24"/>
      <w:lang w:val="en-US" w:eastAsia="en-US"/>
    </w:rPr>
  </w:style>
  <w:style w:type="character" w:customStyle="1" w:styleId="Heading4Char">
    <w:name w:val="Heading 4 Char"/>
    <w:aliases w:val="Table Char"/>
    <w:link w:val="Heading4"/>
    <w:rsid w:val="00DD24AE"/>
    <w:rPr>
      <w:rFonts w:ascii="Times New Roman" w:eastAsia="Times New Roman" w:hAnsi="Times New Roman"/>
      <w:b/>
      <w:bCs/>
      <w:sz w:val="28"/>
      <w:szCs w:val="28"/>
      <w:lang w:eastAsia="en-US"/>
    </w:rPr>
  </w:style>
  <w:style w:type="character" w:customStyle="1" w:styleId="Heading5Char">
    <w:name w:val="Heading 5 Char"/>
    <w:aliases w:val="Table Appendices Char,Level 3 - i Char,h5 Char,1cm Indent Char,Heading 5(unused) Char,Level 3 - (i) Char,Third Level Heading Char,Response Type Char,Response Type1 Char,Response Type2 Char,Response Type3 Char,Response Type4 Char,H5 Char"/>
    <w:link w:val="Heading5"/>
    <w:rsid w:val="00DD24AE"/>
    <w:rPr>
      <w:rFonts w:ascii="Times New Roman" w:eastAsia="Times New Roman" w:hAnsi="Times New Roman"/>
      <w:b/>
      <w:bCs/>
      <w:i/>
      <w:iCs/>
      <w:sz w:val="26"/>
      <w:szCs w:val="26"/>
      <w:lang w:eastAsia="en-US"/>
    </w:rPr>
  </w:style>
  <w:style w:type="character" w:customStyle="1" w:styleId="Heading6Char">
    <w:name w:val="Heading 6 Char"/>
    <w:link w:val="Heading6"/>
    <w:rsid w:val="00DD24AE"/>
    <w:rPr>
      <w:rFonts w:ascii="Times New Roman" w:eastAsia="Times New Roman" w:hAnsi="Times New Roman"/>
      <w:b/>
      <w:bCs/>
      <w:sz w:val="22"/>
      <w:szCs w:val="22"/>
      <w:lang w:eastAsia="en-US"/>
    </w:rPr>
  </w:style>
  <w:style w:type="character" w:customStyle="1" w:styleId="Heading7Char">
    <w:name w:val="Heading 7 Char"/>
    <w:link w:val="Heading7"/>
    <w:rsid w:val="00DD24AE"/>
    <w:rPr>
      <w:rFonts w:ascii="Times New Roman" w:eastAsia="Times New Roman" w:hAnsi="Times New Roman"/>
      <w:sz w:val="24"/>
      <w:szCs w:val="24"/>
      <w:lang w:eastAsia="en-US"/>
    </w:rPr>
  </w:style>
  <w:style w:type="character" w:customStyle="1" w:styleId="Heading8Char">
    <w:name w:val="Heading 8 Char"/>
    <w:link w:val="Heading8"/>
    <w:rsid w:val="00DD24AE"/>
    <w:rPr>
      <w:rFonts w:ascii="Times New Roman" w:eastAsia="Times New Roman" w:hAnsi="Times New Roman"/>
      <w:i/>
      <w:iCs/>
      <w:sz w:val="24"/>
      <w:szCs w:val="24"/>
      <w:lang w:eastAsia="en-US"/>
    </w:rPr>
  </w:style>
  <w:style w:type="character" w:customStyle="1" w:styleId="Heading9Char">
    <w:name w:val="Heading 9 Char"/>
    <w:link w:val="Heading9"/>
    <w:rsid w:val="00DD24AE"/>
    <w:rPr>
      <w:rFonts w:ascii="Arial" w:eastAsia="Times New Roman" w:hAnsi="Arial" w:cs="Arial"/>
      <w:sz w:val="22"/>
      <w:szCs w:val="22"/>
      <w:lang w:eastAsia="en-US"/>
    </w:rPr>
  </w:style>
  <w:style w:type="paragraph" w:customStyle="1" w:styleId="Default">
    <w:name w:val="Default"/>
    <w:rsid w:val="00DD24AE"/>
    <w:pPr>
      <w:autoSpaceDE w:val="0"/>
      <w:autoSpaceDN w:val="0"/>
      <w:adjustRightInd w:val="0"/>
    </w:pPr>
    <w:rPr>
      <w:rFonts w:ascii="Arial" w:hAnsi="Arial" w:cs="Arial"/>
      <w:color w:val="000000"/>
      <w:sz w:val="24"/>
      <w:szCs w:val="24"/>
    </w:rPr>
  </w:style>
  <w:style w:type="paragraph" w:styleId="Title">
    <w:name w:val="Title"/>
    <w:basedOn w:val="Default"/>
    <w:next w:val="Default"/>
    <w:link w:val="TitleChar"/>
    <w:qFormat/>
    <w:rsid w:val="00DD24AE"/>
    <w:rPr>
      <w:rFonts w:eastAsia="Times New Roman" w:cs="Times New Roman"/>
      <w:color w:val="auto"/>
      <w:sz w:val="20"/>
      <w:lang w:val="en-US" w:eastAsia="en-US"/>
    </w:rPr>
  </w:style>
  <w:style w:type="character" w:customStyle="1" w:styleId="TitleChar">
    <w:name w:val="Title Char"/>
    <w:link w:val="Title"/>
    <w:rsid w:val="00DD24AE"/>
    <w:rPr>
      <w:rFonts w:ascii="Arial" w:eastAsia="Times New Roman" w:hAnsi="Arial"/>
      <w:szCs w:val="24"/>
      <w:lang w:val="en-US" w:eastAsia="en-US"/>
    </w:rPr>
  </w:style>
  <w:style w:type="paragraph" w:styleId="BodyTextIndent">
    <w:name w:val="Body Text Indent"/>
    <w:basedOn w:val="Normal"/>
    <w:link w:val="BodyTextIndentChar"/>
    <w:rsid w:val="003C5195"/>
    <w:pPr>
      <w:spacing w:after="0" w:line="240" w:lineRule="auto"/>
      <w:ind w:left="2340" w:hanging="2340"/>
    </w:pPr>
    <w:rPr>
      <w:rFonts w:ascii="Arial" w:eastAsia="Times New Roman" w:hAnsi="Arial"/>
      <w:sz w:val="24"/>
      <w:szCs w:val="24"/>
    </w:rPr>
  </w:style>
  <w:style w:type="character" w:customStyle="1" w:styleId="BodyTextIndentChar">
    <w:name w:val="Body Text Indent Char"/>
    <w:link w:val="BodyTextIndent"/>
    <w:rsid w:val="003C5195"/>
    <w:rPr>
      <w:rFonts w:ascii="Arial" w:eastAsia="Times New Roman" w:hAnsi="Arial"/>
      <w:sz w:val="24"/>
      <w:szCs w:val="24"/>
      <w:lang w:eastAsia="en-US"/>
    </w:rPr>
  </w:style>
  <w:style w:type="numbering" w:customStyle="1" w:styleId="Style1">
    <w:name w:val="Style1"/>
    <w:uiPriority w:val="99"/>
    <w:rsid w:val="003C5195"/>
    <w:pPr>
      <w:numPr>
        <w:numId w:val="6"/>
      </w:numPr>
    </w:pPr>
  </w:style>
  <w:style w:type="character" w:styleId="CommentReference">
    <w:name w:val="annotation reference"/>
    <w:uiPriority w:val="99"/>
    <w:semiHidden/>
    <w:unhideWhenUsed/>
    <w:rsid w:val="00E45B00"/>
    <w:rPr>
      <w:sz w:val="16"/>
      <w:szCs w:val="16"/>
    </w:rPr>
  </w:style>
  <w:style w:type="paragraph" w:styleId="CommentText">
    <w:name w:val="annotation text"/>
    <w:basedOn w:val="Normal"/>
    <w:link w:val="CommentTextChar"/>
    <w:uiPriority w:val="99"/>
    <w:unhideWhenUsed/>
    <w:rsid w:val="00E45B00"/>
    <w:rPr>
      <w:sz w:val="20"/>
      <w:szCs w:val="20"/>
    </w:rPr>
  </w:style>
  <w:style w:type="character" w:customStyle="1" w:styleId="CommentTextChar">
    <w:name w:val="Comment Text Char"/>
    <w:link w:val="CommentText"/>
    <w:uiPriority w:val="99"/>
    <w:rsid w:val="00E45B00"/>
    <w:rPr>
      <w:lang w:eastAsia="en-US"/>
    </w:rPr>
  </w:style>
  <w:style w:type="paragraph" w:styleId="CommentSubject">
    <w:name w:val="annotation subject"/>
    <w:basedOn w:val="CommentText"/>
    <w:next w:val="CommentText"/>
    <w:link w:val="CommentSubjectChar"/>
    <w:uiPriority w:val="99"/>
    <w:semiHidden/>
    <w:unhideWhenUsed/>
    <w:rsid w:val="00E45B00"/>
    <w:rPr>
      <w:b/>
      <w:bCs/>
    </w:rPr>
  </w:style>
  <w:style w:type="character" w:customStyle="1" w:styleId="CommentSubjectChar">
    <w:name w:val="Comment Subject Char"/>
    <w:link w:val="CommentSubject"/>
    <w:uiPriority w:val="99"/>
    <w:semiHidden/>
    <w:rsid w:val="00E45B00"/>
    <w:rPr>
      <w:b/>
      <w:bCs/>
      <w:lang w:eastAsia="en-US"/>
    </w:rPr>
  </w:style>
  <w:style w:type="character" w:styleId="Hyperlink">
    <w:name w:val="Hyperlink"/>
    <w:uiPriority w:val="99"/>
    <w:unhideWhenUsed/>
    <w:rsid w:val="002D386C"/>
    <w:rPr>
      <w:color w:val="0563C1"/>
      <w:u w:val="single"/>
    </w:rPr>
  </w:style>
  <w:style w:type="character" w:styleId="UnresolvedMention">
    <w:name w:val="Unresolved Mention"/>
    <w:uiPriority w:val="99"/>
    <w:semiHidden/>
    <w:unhideWhenUsed/>
    <w:rsid w:val="002D386C"/>
    <w:rPr>
      <w:color w:val="605E5C"/>
      <w:shd w:val="clear" w:color="auto" w:fill="E1DFDD"/>
    </w:rPr>
  </w:style>
  <w:style w:type="paragraph" w:styleId="BodyText">
    <w:name w:val="Body Text"/>
    <w:basedOn w:val="Normal"/>
    <w:link w:val="BodyTextChar"/>
    <w:uiPriority w:val="1"/>
    <w:unhideWhenUsed/>
    <w:qFormat/>
    <w:rsid w:val="00721A1B"/>
    <w:pPr>
      <w:spacing w:after="120"/>
    </w:pPr>
  </w:style>
  <w:style w:type="character" w:customStyle="1" w:styleId="BodyTextChar">
    <w:name w:val="Body Text Char"/>
    <w:link w:val="BodyText"/>
    <w:uiPriority w:val="99"/>
    <w:semiHidden/>
    <w:rsid w:val="00721A1B"/>
    <w:rPr>
      <w:sz w:val="22"/>
      <w:szCs w:val="22"/>
      <w:lang w:eastAsia="en-US"/>
    </w:rPr>
  </w:style>
  <w:style w:type="paragraph" w:customStyle="1" w:styleId="BodytextAppendices">
    <w:name w:val="Body text_Appendices"/>
    <w:basedOn w:val="Normal"/>
    <w:uiPriority w:val="1"/>
    <w:qFormat/>
    <w:rsid w:val="00721A1B"/>
    <w:pPr>
      <w:tabs>
        <w:tab w:val="left" w:pos="0"/>
      </w:tabs>
      <w:spacing w:after="360" w:line="360" w:lineRule="auto"/>
      <w:ind w:left="3600" w:hanging="360"/>
      <w:jc w:val="both"/>
    </w:pPr>
    <w:rPr>
      <w:rFonts w:ascii="Arial" w:eastAsia="Times New Roman" w:hAnsi="Arial"/>
      <w:sz w:val="20"/>
      <w:szCs w:val="20"/>
      <w:lang w:eastAsia="en-GB"/>
    </w:rPr>
  </w:style>
  <w:style w:type="paragraph" w:customStyle="1" w:styleId="HeadingAppendices">
    <w:name w:val="Heading Appendices"/>
    <w:basedOn w:val="Normal"/>
    <w:next w:val="BodytextAppendices"/>
    <w:uiPriority w:val="2"/>
    <w:qFormat/>
    <w:rsid w:val="00721A1B"/>
    <w:pPr>
      <w:keepNext/>
      <w:keepLines/>
      <w:pageBreakBefore/>
      <w:spacing w:after="600" w:line="360" w:lineRule="auto"/>
      <w:ind w:left="2880" w:hanging="360"/>
      <w:jc w:val="both"/>
    </w:pPr>
    <w:rPr>
      <w:rFonts w:ascii="Arial" w:eastAsia="Times New Roman" w:hAnsi="Arial"/>
      <w:b/>
      <w:caps/>
      <w:sz w:val="28"/>
      <w:szCs w:val="20"/>
      <w:lang w:eastAsia="en-GB"/>
    </w:rPr>
  </w:style>
  <w:style w:type="paragraph" w:customStyle="1" w:styleId="10BulletBodytext">
    <w:name w:val="10 Bullet Body text"/>
    <w:basedOn w:val="Normal"/>
    <w:uiPriority w:val="99"/>
    <w:qFormat/>
    <w:rsid w:val="00721A1B"/>
    <w:pPr>
      <w:numPr>
        <w:numId w:val="12"/>
      </w:numPr>
      <w:spacing w:after="0" w:line="240" w:lineRule="exact"/>
    </w:pPr>
    <w:rPr>
      <w:rFonts w:ascii="Times New Roman" w:eastAsia="MS Mincho" w:hAnsi="Times New Roman"/>
      <w:bCs/>
      <w:noProof/>
      <w:color w:val="000000"/>
      <w:szCs w:val="18"/>
      <w:lang w:eastAsia="en-GB"/>
    </w:rPr>
  </w:style>
  <w:style w:type="paragraph" w:styleId="Revision">
    <w:name w:val="Revision"/>
    <w:hidden/>
    <w:uiPriority w:val="99"/>
    <w:semiHidden/>
    <w:rsid w:val="003F238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2545">
      <w:bodyDiv w:val="1"/>
      <w:marLeft w:val="0"/>
      <w:marRight w:val="0"/>
      <w:marTop w:val="0"/>
      <w:marBottom w:val="0"/>
      <w:divBdr>
        <w:top w:val="none" w:sz="0" w:space="0" w:color="auto"/>
        <w:left w:val="none" w:sz="0" w:space="0" w:color="auto"/>
        <w:bottom w:val="none" w:sz="0" w:space="0" w:color="auto"/>
        <w:right w:val="none" w:sz="0" w:space="0" w:color="auto"/>
      </w:divBdr>
    </w:div>
    <w:div w:id="48774385">
      <w:bodyDiv w:val="1"/>
      <w:marLeft w:val="0"/>
      <w:marRight w:val="0"/>
      <w:marTop w:val="0"/>
      <w:marBottom w:val="0"/>
      <w:divBdr>
        <w:top w:val="none" w:sz="0" w:space="0" w:color="auto"/>
        <w:left w:val="none" w:sz="0" w:space="0" w:color="auto"/>
        <w:bottom w:val="none" w:sz="0" w:space="0" w:color="auto"/>
        <w:right w:val="none" w:sz="0" w:space="0" w:color="auto"/>
      </w:divBdr>
    </w:div>
    <w:div w:id="81806522">
      <w:bodyDiv w:val="1"/>
      <w:marLeft w:val="0"/>
      <w:marRight w:val="0"/>
      <w:marTop w:val="0"/>
      <w:marBottom w:val="0"/>
      <w:divBdr>
        <w:top w:val="none" w:sz="0" w:space="0" w:color="auto"/>
        <w:left w:val="none" w:sz="0" w:space="0" w:color="auto"/>
        <w:bottom w:val="none" w:sz="0" w:space="0" w:color="auto"/>
        <w:right w:val="none" w:sz="0" w:space="0" w:color="auto"/>
      </w:divBdr>
    </w:div>
    <w:div w:id="187332332">
      <w:bodyDiv w:val="1"/>
      <w:marLeft w:val="0"/>
      <w:marRight w:val="0"/>
      <w:marTop w:val="0"/>
      <w:marBottom w:val="0"/>
      <w:divBdr>
        <w:top w:val="none" w:sz="0" w:space="0" w:color="auto"/>
        <w:left w:val="none" w:sz="0" w:space="0" w:color="auto"/>
        <w:bottom w:val="none" w:sz="0" w:space="0" w:color="auto"/>
        <w:right w:val="none" w:sz="0" w:space="0" w:color="auto"/>
      </w:divBdr>
    </w:div>
    <w:div w:id="225183992">
      <w:bodyDiv w:val="1"/>
      <w:marLeft w:val="0"/>
      <w:marRight w:val="0"/>
      <w:marTop w:val="0"/>
      <w:marBottom w:val="0"/>
      <w:divBdr>
        <w:top w:val="none" w:sz="0" w:space="0" w:color="auto"/>
        <w:left w:val="none" w:sz="0" w:space="0" w:color="auto"/>
        <w:bottom w:val="none" w:sz="0" w:space="0" w:color="auto"/>
        <w:right w:val="none" w:sz="0" w:space="0" w:color="auto"/>
      </w:divBdr>
    </w:div>
    <w:div w:id="281494928">
      <w:bodyDiv w:val="1"/>
      <w:marLeft w:val="0"/>
      <w:marRight w:val="0"/>
      <w:marTop w:val="0"/>
      <w:marBottom w:val="0"/>
      <w:divBdr>
        <w:top w:val="none" w:sz="0" w:space="0" w:color="auto"/>
        <w:left w:val="none" w:sz="0" w:space="0" w:color="auto"/>
        <w:bottom w:val="none" w:sz="0" w:space="0" w:color="auto"/>
        <w:right w:val="none" w:sz="0" w:space="0" w:color="auto"/>
      </w:divBdr>
    </w:div>
    <w:div w:id="336538286">
      <w:bodyDiv w:val="1"/>
      <w:marLeft w:val="0"/>
      <w:marRight w:val="0"/>
      <w:marTop w:val="0"/>
      <w:marBottom w:val="0"/>
      <w:divBdr>
        <w:top w:val="none" w:sz="0" w:space="0" w:color="auto"/>
        <w:left w:val="none" w:sz="0" w:space="0" w:color="auto"/>
        <w:bottom w:val="none" w:sz="0" w:space="0" w:color="auto"/>
        <w:right w:val="none" w:sz="0" w:space="0" w:color="auto"/>
      </w:divBdr>
    </w:div>
    <w:div w:id="403374887">
      <w:bodyDiv w:val="1"/>
      <w:marLeft w:val="0"/>
      <w:marRight w:val="0"/>
      <w:marTop w:val="0"/>
      <w:marBottom w:val="0"/>
      <w:divBdr>
        <w:top w:val="none" w:sz="0" w:space="0" w:color="auto"/>
        <w:left w:val="none" w:sz="0" w:space="0" w:color="auto"/>
        <w:bottom w:val="none" w:sz="0" w:space="0" w:color="auto"/>
        <w:right w:val="none" w:sz="0" w:space="0" w:color="auto"/>
      </w:divBdr>
    </w:div>
    <w:div w:id="439494291">
      <w:bodyDiv w:val="1"/>
      <w:marLeft w:val="0"/>
      <w:marRight w:val="0"/>
      <w:marTop w:val="0"/>
      <w:marBottom w:val="0"/>
      <w:divBdr>
        <w:top w:val="none" w:sz="0" w:space="0" w:color="auto"/>
        <w:left w:val="none" w:sz="0" w:space="0" w:color="auto"/>
        <w:bottom w:val="none" w:sz="0" w:space="0" w:color="auto"/>
        <w:right w:val="none" w:sz="0" w:space="0" w:color="auto"/>
      </w:divBdr>
    </w:div>
    <w:div w:id="464782547">
      <w:bodyDiv w:val="1"/>
      <w:marLeft w:val="0"/>
      <w:marRight w:val="0"/>
      <w:marTop w:val="0"/>
      <w:marBottom w:val="0"/>
      <w:divBdr>
        <w:top w:val="none" w:sz="0" w:space="0" w:color="auto"/>
        <w:left w:val="none" w:sz="0" w:space="0" w:color="auto"/>
        <w:bottom w:val="none" w:sz="0" w:space="0" w:color="auto"/>
        <w:right w:val="none" w:sz="0" w:space="0" w:color="auto"/>
      </w:divBdr>
    </w:div>
    <w:div w:id="492255002">
      <w:bodyDiv w:val="1"/>
      <w:marLeft w:val="0"/>
      <w:marRight w:val="0"/>
      <w:marTop w:val="0"/>
      <w:marBottom w:val="0"/>
      <w:divBdr>
        <w:top w:val="none" w:sz="0" w:space="0" w:color="auto"/>
        <w:left w:val="none" w:sz="0" w:space="0" w:color="auto"/>
        <w:bottom w:val="none" w:sz="0" w:space="0" w:color="auto"/>
        <w:right w:val="none" w:sz="0" w:space="0" w:color="auto"/>
      </w:divBdr>
    </w:div>
    <w:div w:id="596207353">
      <w:bodyDiv w:val="1"/>
      <w:marLeft w:val="0"/>
      <w:marRight w:val="0"/>
      <w:marTop w:val="0"/>
      <w:marBottom w:val="0"/>
      <w:divBdr>
        <w:top w:val="none" w:sz="0" w:space="0" w:color="auto"/>
        <w:left w:val="none" w:sz="0" w:space="0" w:color="auto"/>
        <w:bottom w:val="none" w:sz="0" w:space="0" w:color="auto"/>
        <w:right w:val="none" w:sz="0" w:space="0" w:color="auto"/>
      </w:divBdr>
    </w:div>
    <w:div w:id="623537667">
      <w:bodyDiv w:val="1"/>
      <w:marLeft w:val="0"/>
      <w:marRight w:val="0"/>
      <w:marTop w:val="0"/>
      <w:marBottom w:val="0"/>
      <w:divBdr>
        <w:top w:val="none" w:sz="0" w:space="0" w:color="auto"/>
        <w:left w:val="none" w:sz="0" w:space="0" w:color="auto"/>
        <w:bottom w:val="none" w:sz="0" w:space="0" w:color="auto"/>
        <w:right w:val="none" w:sz="0" w:space="0" w:color="auto"/>
      </w:divBdr>
    </w:div>
    <w:div w:id="639922382">
      <w:bodyDiv w:val="1"/>
      <w:marLeft w:val="0"/>
      <w:marRight w:val="0"/>
      <w:marTop w:val="0"/>
      <w:marBottom w:val="0"/>
      <w:divBdr>
        <w:top w:val="none" w:sz="0" w:space="0" w:color="auto"/>
        <w:left w:val="none" w:sz="0" w:space="0" w:color="auto"/>
        <w:bottom w:val="none" w:sz="0" w:space="0" w:color="auto"/>
        <w:right w:val="none" w:sz="0" w:space="0" w:color="auto"/>
      </w:divBdr>
    </w:div>
    <w:div w:id="719590898">
      <w:bodyDiv w:val="1"/>
      <w:marLeft w:val="0"/>
      <w:marRight w:val="0"/>
      <w:marTop w:val="0"/>
      <w:marBottom w:val="0"/>
      <w:divBdr>
        <w:top w:val="none" w:sz="0" w:space="0" w:color="auto"/>
        <w:left w:val="none" w:sz="0" w:space="0" w:color="auto"/>
        <w:bottom w:val="none" w:sz="0" w:space="0" w:color="auto"/>
        <w:right w:val="none" w:sz="0" w:space="0" w:color="auto"/>
      </w:divBdr>
    </w:div>
    <w:div w:id="825364346">
      <w:bodyDiv w:val="1"/>
      <w:marLeft w:val="0"/>
      <w:marRight w:val="0"/>
      <w:marTop w:val="0"/>
      <w:marBottom w:val="0"/>
      <w:divBdr>
        <w:top w:val="none" w:sz="0" w:space="0" w:color="auto"/>
        <w:left w:val="none" w:sz="0" w:space="0" w:color="auto"/>
        <w:bottom w:val="none" w:sz="0" w:space="0" w:color="auto"/>
        <w:right w:val="none" w:sz="0" w:space="0" w:color="auto"/>
      </w:divBdr>
    </w:div>
    <w:div w:id="911546670">
      <w:bodyDiv w:val="1"/>
      <w:marLeft w:val="0"/>
      <w:marRight w:val="0"/>
      <w:marTop w:val="0"/>
      <w:marBottom w:val="0"/>
      <w:divBdr>
        <w:top w:val="none" w:sz="0" w:space="0" w:color="auto"/>
        <w:left w:val="none" w:sz="0" w:space="0" w:color="auto"/>
        <w:bottom w:val="none" w:sz="0" w:space="0" w:color="auto"/>
        <w:right w:val="none" w:sz="0" w:space="0" w:color="auto"/>
      </w:divBdr>
    </w:div>
    <w:div w:id="1045523686">
      <w:bodyDiv w:val="1"/>
      <w:marLeft w:val="0"/>
      <w:marRight w:val="0"/>
      <w:marTop w:val="0"/>
      <w:marBottom w:val="0"/>
      <w:divBdr>
        <w:top w:val="none" w:sz="0" w:space="0" w:color="auto"/>
        <w:left w:val="none" w:sz="0" w:space="0" w:color="auto"/>
        <w:bottom w:val="none" w:sz="0" w:space="0" w:color="auto"/>
        <w:right w:val="none" w:sz="0" w:space="0" w:color="auto"/>
      </w:divBdr>
    </w:div>
    <w:div w:id="1051222713">
      <w:bodyDiv w:val="1"/>
      <w:marLeft w:val="0"/>
      <w:marRight w:val="0"/>
      <w:marTop w:val="0"/>
      <w:marBottom w:val="0"/>
      <w:divBdr>
        <w:top w:val="none" w:sz="0" w:space="0" w:color="auto"/>
        <w:left w:val="none" w:sz="0" w:space="0" w:color="auto"/>
        <w:bottom w:val="none" w:sz="0" w:space="0" w:color="auto"/>
        <w:right w:val="none" w:sz="0" w:space="0" w:color="auto"/>
      </w:divBdr>
    </w:div>
    <w:div w:id="1178933629">
      <w:bodyDiv w:val="1"/>
      <w:marLeft w:val="0"/>
      <w:marRight w:val="0"/>
      <w:marTop w:val="0"/>
      <w:marBottom w:val="0"/>
      <w:divBdr>
        <w:top w:val="none" w:sz="0" w:space="0" w:color="auto"/>
        <w:left w:val="none" w:sz="0" w:space="0" w:color="auto"/>
        <w:bottom w:val="none" w:sz="0" w:space="0" w:color="auto"/>
        <w:right w:val="none" w:sz="0" w:space="0" w:color="auto"/>
      </w:divBdr>
    </w:div>
    <w:div w:id="1187597564">
      <w:bodyDiv w:val="1"/>
      <w:marLeft w:val="0"/>
      <w:marRight w:val="0"/>
      <w:marTop w:val="0"/>
      <w:marBottom w:val="0"/>
      <w:divBdr>
        <w:top w:val="none" w:sz="0" w:space="0" w:color="auto"/>
        <w:left w:val="none" w:sz="0" w:space="0" w:color="auto"/>
        <w:bottom w:val="none" w:sz="0" w:space="0" w:color="auto"/>
        <w:right w:val="none" w:sz="0" w:space="0" w:color="auto"/>
      </w:divBdr>
    </w:div>
    <w:div w:id="1235434961">
      <w:bodyDiv w:val="1"/>
      <w:marLeft w:val="0"/>
      <w:marRight w:val="0"/>
      <w:marTop w:val="0"/>
      <w:marBottom w:val="0"/>
      <w:divBdr>
        <w:top w:val="none" w:sz="0" w:space="0" w:color="auto"/>
        <w:left w:val="none" w:sz="0" w:space="0" w:color="auto"/>
        <w:bottom w:val="none" w:sz="0" w:space="0" w:color="auto"/>
        <w:right w:val="none" w:sz="0" w:space="0" w:color="auto"/>
      </w:divBdr>
    </w:div>
    <w:div w:id="1369993344">
      <w:bodyDiv w:val="1"/>
      <w:marLeft w:val="0"/>
      <w:marRight w:val="0"/>
      <w:marTop w:val="0"/>
      <w:marBottom w:val="0"/>
      <w:divBdr>
        <w:top w:val="none" w:sz="0" w:space="0" w:color="auto"/>
        <w:left w:val="none" w:sz="0" w:space="0" w:color="auto"/>
        <w:bottom w:val="none" w:sz="0" w:space="0" w:color="auto"/>
        <w:right w:val="none" w:sz="0" w:space="0" w:color="auto"/>
      </w:divBdr>
    </w:div>
    <w:div w:id="1424497205">
      <w:bodyDiv w:val="1"/>
      <w:marLeft w:val="0"/>
      <w:marRight w:val="0"/>
      <w:marTop w:val="0"/>
      <w:marBottom w:val="0"/>
      <w:divBdr>
        <w:top w:val="none" w:sz="0" w:space="0" w:color="auto"/>
        <w:left w:val="none" w:sz="0" w:space="0" w:color="auto"/>
        <w:bottom w:val="none" w:sz="0" w:space="0" w:color="auto"/>
        <w:right w:val="none" w:sz="0" w:space="0" w:color="auto"/>
      </w:divBdr>
    </w:div>
    <w:div w:id="1501920756">
      <w:bodyDiv w:val="1"/>
      <w:marLeft w:val="0"/>
      <w:marRight w:val="0"/>
      <w:marTop w:val="0"/>
      <w:marBottom w:val="0"/>
      <w:divBdr>
        <w:top w:val="none" w:sz="0" w:space="0" w:color="auto"/>
        <w:left w:val="none" w:sz="0" w:space="0" w:color="auto"/>
        <w:bottom w:val="none" w:sz="0" w:space="0" w:color="auto"/>
        <w:right w:val="none" w:sz="0" w:space="0" w:color="auto"/>
      </w:divBdr>
    </w:div>
    <w:div w:id="1530147374">
      <w:bodyDiv w:val="1"/>
      <w:marLeft w:val="0"/>
      <w:marRight w:val="0"/>
      <w:marTop w:val="0"/>
      <w:marBottom w:val="0"/>
      <w:divBdr>
        <w:top w:val="none" w:sz="0" w:space="0" w:color="auto"/>
        <w:left w:val="none" w:sz="0" w:space="0" w:color="auto"/>
        <w:bottom w:val="none" w:sz="0" w:space="0" w:color="auto"/>
        <w:right w:val="none" w:sz="0" w:space="0" w:color="auto"/>
      </w:divBdr>
    </w:div>
    <w:div w:id="1647053118">
      <w:bodyDiv w:val="1"/>
      <w:marLeft w:val="0"/>
      <w:marRight w:val="0"/>
      <w:marTop w:val="0"/>
      <w:marBottom w:val="0"/>
      <w:divBdr>
        <w:top w:val="none" w:sz="0" w:space="0" w:color="auto"/>
        <w:left w:val="none" w:sz="0" w:space="0" w:color="auto"/>
        <w:bottom w:val="none" w:sz="0" w:space="0" w:color="auto"/>
        <w:right w:val="none" w:sz="0" w:space="0" w:color="auto"/>
      </w:divBdr>
    </w:div>
    <w:div w:id="1720662043">
      <w:bodyDiv w:val="1"/>
      <w:marLeft w:val="0"/>
      <w:marRight w:val="0"/>
      <w:marTop w:val="0"/>
      <w:marBottom w:val="0"/>
      <w:divBdr>
        <w:top w:val="none" w:sz="0" w:space="0" w:color="auto"/>
        <w:left w:val="none" w:sz="0" w:space="0" w:color="auto"/>
        <w:bottom w:val="none" w:sz="0" w:space="0" w:color="auto"/>
        <w:right w:val="none" w:sz="0" w:space="0" w:color="auto"/>
      </w:divBdr>
    </w:div>
    <w:div w:id="1848211940">
      <w:bodyDiv w:val="1"/>
      <w:marLeft w:val="0"/>
      <w:marRight w:val="0"/>
      <w:marTop w:val="0"/>
      <w:marBottom w:val="0"/>
      <w:divBdr>
        <w:top w:val="none" w:sz="0" w:space="0" w:color="auto"/>
        <w:left w:val="none" w:sz="0" w:space="0" w:color="auto"/>
        <w:bottom w:val="none" w:sz="0" w:space="0" w:color="auto"/>
        <w:right w:val="none" w:sz="0" w:space="0" w:color="auto"/>
      </w:divBdr>
    </w:div>
    <w:div w:id="1978995913">
      <w:bodyDiv w:val="1"/>
      <w:marLeft w:val="0"/>
      <w:marRight w:val="0"/>
      <w:marTop w:val="0"/>
      <w:marBottom w:val="0"/>
      <w:divBdr>
        <w:top w:val="none" w:sz="0" w:space="0" w:color="auto"/>
        <w:left w:val="none" w:sz="0" w:space="0" w:color="auto"/>
        <w:bottom w:val="none" w:sz="0" w:space="0" w:color="auto"/>
        <w:right w:val="none" w:sz="0" w:space="0" w:color="auto"/>
      </w:divBdr>
    </w:div>
    <w:div w:id="2005158713">
      <w:bodyDiv w:val="1"/>
      <w:marLeft w:val="0"/>
      <w:marRight w:val="0"/>
      <w:marTop w:val="0"/>
      <w:marBottom w:val="0"/>
      <w:divBdr>
        <w:top w:val="none" w:sz="0" w:space="0" w:color="auto"/>
        <w:left w:val="none" w:sz="0" w:space="0" w:color="auto"/>
        <w:bottom w:val="none" w:sz="0" w:space="0" w:color="auto"/>
        <w:right w:val="none" w:sz="0" w:space="0" w:color="auto"/>
      </w:divBdr>
    </w:div>
    <w:div w:id="2100907529">
      <w:bodyDiv w:val="1"/>
      <w:marLeft w:val="0"/>
      <w:marRight w:val="0"/>
      <w:marTop w:val="0"/>
      <w:marBottom w:val="0"/>
      <w:divBdr>
        <w:top w:val="none" w:sz="0" w:space="0" w:color="auto"/>
        <w:left w:val="none" w:sz="0" w:space="0" w:color="auto"/>
        <w:bottom w:val="none" w:sz="0" w:space="0" w:color="auto"/>
        <w:right w:val="none" w:sz="0" w:space="0" w:color="auto"/>
      </w:divBdr>
    </w:div>
    <w:div w:id="2115319415">
      <w:bodyDiv w:val="1"/>
      <w:marLeft w:val="0"/>
      <w:marRight w:val="0"/>
      <w:marTop w:val="0"/>
      <w:marBottom w:val="0"/>
      <w:divBdr>
        <w:top w:val="none" w:sz="0" w:space="0" w:color="auto"/>
        <w:left w:val="none" w:sz="0" w:space="0" w:color="auto"/>
        <w:bottom w:val="none" w:sz="0" w:space="0" w:color="auto"/>
        <w:right w:val="none" w:sz="0" w:space="0" w:color="auto"/>
      </w:divBdr>
    </w:div>
    <w:div w:id="2126121881">
      <w:bodyDiv w:val="1"/>
      <w:marLeft w:val="0"/>
      <w:marRight w:val="0"/>
      <w:marTop w:val="0"/>
      <w:marBottom w:val="0"/>
      <w:divBdr>
        <w:top w:val="none" w:sz="0" w:space="0" w:color="auto"/>
        <w:left w:val="none" w:sz="0" w:space="0" w:color="auto"/>
        <w:bottom w:val="none" w:sz="0" w:space="0" w:color="auto"/>
        <w:right w:val="none" w:sz="0" w:space="0" w:color="auto"/>
      </w:divBdr>
    </w:div>
    <w:div w:id="21283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7349672F6EF4D84B62CADE17FD03C" ma:contentTypeVersion="18" ma:contentTypeDescription="Create a new document." ma:contentTypeScope="" ma:versionID="0aa646d65809bc09ee00d1bc88558b72">
  <xsd:schema xmlns:xsd="http://www.w3.org/2001/XMLSchema" xmlns:xs="http://www.w3.org/2001/XMLSchema" xmlns:p="http://schemas.microsoft.com/office/2006/metadata/properties" xmlns:ns2="c204197b-fd5e-437a-a547-069cb2cdbbab" xmlns:ns3="5dda43e7-510b-4a2f-a84e-9c6912073d2b" targetNamespace="http://schemas.microsoft.com/office/2006/metadata/properties" ma:root="true" ma:fieldsID="f5d52e3bcac16c6f5c9a8617eea23013" ns2:_="" ns3:_="">
    <xsd:import namespace="c204197b-fd5e-437a-a547-069cb2cdbbab"/>
    <xsd:import namespace="5dda43e7-510b-4a2f-a84e-9c6912073d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4197b-fd5e-437a-a547-069cb2cdb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da43e7-510b-4a2f-a84e-9c6912073d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4b83c9-c3ef-4d32-9fb1-9d27794433c1}" ma:internalName="TaxCatchAll" ma:showField="CatchAllData" ma:web="5dda43e7-510b-4a2f-a84e-9c6912073d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dda43e7-510b-4a2f-a84e-9c6912073d2b"/>
    <lcf76f155ced4ddcb4097134ff3c332f xmlns="c204197b-fd5e-437a-a547-069cb2cdbb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7F70A-C653-4528-BAF0-54727BE8A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4197b-fd5e-437a-a547-069cb2cdbbab"/>
    <ds:schemaRef ds:uri="5dda43e7-510b-4a2f-a84e-9c6912073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14B06-C6FE-4F8F-BF03-5B6A178A518A}">
  <ds:schemaRefs>
    <ds:schemaRef ds:uri="http://schemas.openxmlformats.org/officeDocument/2006/bibliography"/>
  </ds:schemaRefs>
</ds:datastoreItem>
</file>

<file path=customXml/itemProps3.xml><?xml version="1.0" encoding="utf-8"?>
<ds:datastoreItem xmlns:ds="http://schemas.openxmlformats.org/officeDocument/2006/customXml" ds:itemID="{C7EDFEBD-18F0-4080-B33F-62B9FB3D406D}">
  <ds:schemaRefs>
    <ds:schemaRef ds:uri="http://schemas.microsoft.com/office/2006/metadata/properties"/>
    <ds:schemaRef ds:uri="http://schemas.microsoft.com/office/infopath/2007/PartnerControls"/>
    <ds:schemaRef ds:uri="5dda43e7-510b-4a2f-a84e-9c6912073d2b"/>
    <ds:schemaRef ds:uri="c204197b-fd5e-437a-a547-069cb2cdbbab"/>
  </ds:schemaRefs>
</ds:datastoreItem>
</file>

<file path=customXml/itemProps4.xml><?xml version="1.0" encoding="utf-8"?>
<ds:datastoreItem xmlns:ds="http://schemas.openxmlformats.org/officeDocument/2006/customXml" ds:itemID="{157EFBED-08DB-4AAD-862B-A03FE28783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2613</Words>
  <Characters>14087</Characters>
  <Application>Microsoft Office Word</Application>
  <DocSecurity>0</DocSecurity>
  <Lines>563</Lines>
  <Paragraphs>388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Built Student Accommodation: Supply and Demand Update November 2024</dc:title>
  <dc:subject/>
  <dc:creator>Service Birmingham</dc:creator>
  <cp:keywords/>
  <cp:lastModifiedBy>Blessed Ephraim</cp:lastModifiedBy>
  <cp:revision>2</cp:revision>
  <cp:lastPrinted>2019-11-11T11:44:00Z</cp:lastPrinted>
  <dcterms:created xsi:type="dcterms:W3CDTF">2025-02-19T10:40:00Z</dcterms:created>
  <dcterms:modified xsi:type="dcterms:W3CDTF">2025-02-19T10:40:00Z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0x0101006C67349672F6EF4D84B62CADE17FD03C</vt:lpwstr>
  </property>
  <property fmtid="{D5CDD505-2E9C-101B-9397-08002B2CF9AE}" pid="3" name="MSIP_Label_a17471b1-27ab-4640-9264-e69a67407ca3_Enabled">
    <vt:lpwstr>true</vt:lpwstr>
  </property>
  <property fmtid="{D5CDD505-2E9C-101B-9397-08002B2CF9AE}" pid="4" name="MSIP_Label_a17471b1-27ab-4640-9264-e69a67407ca3_SetDate">
    <vt:lpwstr>2023-12-05T17:31:28Z</vt:lpwstr>
  </property>
  <property fmtid="{D5CDD505-2E9C-101B-9397-08002B2CF9AE}" pid="5" name="MSIP_Label_a17471b1-27ab-4640-9264-e69a67407ca3_Method">
    <vt:lpwstr>Standard</vt:lpwstr>
  </property>
  <property fmtid="{D5CDD505-2E9C-101B-9397-08002B2CF9AE}" pid="6" name="MSIP_Label_a17471b1-27ab-4640-9264-e69a67407ca3_Name">
    <vt:lpwstr>BCC - OFFICIAL</vt:lpwstr>
  </property>
  <property fmtid="{D5CDD505-2E9C-101B-9397-08002B2CF9AE}" pid="7" name="MSIP_Label_a17471b1-27ab-4640-9264-e69a67407ca3_SiteId">
    <vt:lpwstr>699ace67-d2e4-4bcd-b303-d2bbe2b9bbf1</vt:lpwstr>
  </property>
  <property fmtid="{D5CDD505-2E9C-101B-9397-08002B2CF9AE}" pid="8" name="MSIP_Label_a17471b1-27ab-4640-9264-e69a67407ca3_ActionId">
    <vt:lpwstr>da604355-998d-495d-af29-53095e635dc9</vt:lpwstr>
  </property>
  <property fmtid="{D5CDD505-2E9C-101B-9397-08002B2CF9AE}" pid="9" name="MSIP_Label_a17471b1-27ab-4640-9264-e69a67407ca3_ContentBits">
    <vt:lpwstr>2</vt:lpwstr>
  </property>
  <property fmtid="{D5CDD505-2E9C-101B-9397-08002B2CF9AE}" pid="10" name="MediaServiceImageTags">
    <vt:lpwstr/>
  </property>
</Properties>
</file>