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59CD" w14:textId="77777777" w:rsidR="004753F4" w:rsidRDefault="00373A53" w:rsidP="00FE0F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6777CA7" wp14:editId="1CF4A291">
            <wp:simplePos x="0" y="0"/>
            <wp:positionH relativeFrom="column">
              <wp:posOffset>-275962</wp:posOffset>
            </wp:positionH>
            <wp:positionV relativeFrom="paragraph">
              <wp:posOffset>-290795</wp:posOffset>
            </wp:positionV>
            <wp:extent cx="4381560" cy="1152525"/>
            <wp:effectExtent l="0" t="0" r="0" b="0"/>
            <wp:wrapNone/>
            <wp:docPr id="2" name="Picture 17" descr="Birmingham Ci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Birmingham Cit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7"/>
                    <a:stretch/>
                  </pic:blipFill>
                  <pic:spPr bwMode="auto">
                    <a:xfrm>
                      <a:off x="0" y="0"/>
                      <a:ext cx="43815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7CD8A" w14:textId="77777777" w:rsidR="008544CD" w:rsidRDefault="008544CD" w:rsidP="008544CD">
      <w:pPr>
        <w:pStyle w:val="NoSpacing"/>
      </w:pPr>
    </w:p>
    <w:p w14:paraId="45A4E639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6220F04C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24AF7A6A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14C1F241" w14:textId="630D3670" w:rsidR="008544CD" w:rsidRPr="0098710E" w:rsidRDefault="008544CD" w:rsidP="0098710E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98710E">
        <w:rPr>
          <w:rFonts w:ascii="Arial" w:hAnsi="Arial" w:cs="Arial"/>
          <w:b/>
          <w:bCs/>
          <w:color w:val="auto"/>
          <w:sz w:val="22"/>
          <w:szCs w:val="22"/>
        </w:rPr>
        <w:t>Report to:</w:t>
      </w:r>
      <w:r w:rsidR="006E7A5E" w:rsidRPr="0098710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24971" w:rsidRPr="0098710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44F3E" w:rsidRPr="0098710E">
        <w:rPr>
          <w:rFonts w:ascii="Arial" w:hAnsi="Arial" w:cs="Arial"/>
          <w:b/>
          <w:bCs/>
          <w:color w:val="auto"/>
          <w:sz w:val="22"/>
          <w:szCs w:val="22"/>
        </w:rPr>
        <w:t>Schools</w:t>
      </w:r>
      <w:r w:rsidR="00A21599" w:rsidRPr="0098710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32E4C" w:rsidRPr="0098710E">
        <w:rPr>
          <w:rFonts w:ascii="Arial" w:hAnsi="Arial" w:cs="Arial"/>
          <w:b/>
          <w:bCs/>
          <w:color w:val="auto"/>
          <w:sz w:val="22"/>
          <w:szCs w:val="22"/>
        </w:rPr>
        <w:t>Forum</w:t>
      </w:r>
      <w:r w:rsidR="00C4422C" w:rsidRPr="0098710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F776A12" w14:textId="77777777" w:rsidR="00F32E4C" w:rsidRPr="00EB6BA8" w:rsidRDefault="00F32E4C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32D3929" w14:textId="305E686A" w:rsidR="008544CD" w:rsidRPr="00EB6BA8" w:rsidRDefault="00EC624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Date:</w:t>
      </w:r>
      <w:r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824971"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241562">
        <w:rPr>
          <w:rFonts w:asciiTheme="minorHAnsi" w:hAnsiTheme="minorHAnsi" w:cstheme="minorHAnsi"/>
          <w:sz w:val="24"/>
          <w:szCs w:val="24"/>
        </w:rPr>
        <w:t>06</w:t>
      </w:r>
      <w:r w:rsidR="009E2F64">
        <w:rPr>
          <w:rFonts w:asciiTheme="minorHAnsi" w:hAnsiTheme="minorHAnsi" w:cstheme="minorHAnsi"/>
          <w:sz w:val="24"/>
          <w:szCs w:val="24"/>
        </w:rPr>
        <w:t xml:space="preserve"> January 2022</w:t>
      </w:r>
    </w:p>
    <w:p w14:paraId="08F6C738" w14:textId="77777777" w:rsidR="008544CD" w:rsidRPr="00EB6BA8" w:rsidRDefault="008544C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E456357" w14:textId="0E978A3C" w:rsidR="008544CD" w:rsidRPr="00EB6BA8" w:rsidRDefault="008544CD" w:rsidP="00AB1C46">
      <w:pPr>
        <w:pStyle w:val="NoSpacing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 xml:space="preserve">Report </w:t>
      </w:r>
      <w:proofErr w:type="gramStart"/>
      <w:r w:rsidRPr="00EB6BA8">
        <w:rPr>
          <w:rFonts w:asciiTheme="minorHAnsi" w:hAnsiTheme="minorHAnsi" w:cstheme="minorHAnsi"/>
          <w:b/>
          <w:sz w:val="24"/>
          <w:szCs w:val="24"/>
        </w:rPr>
        <w:t>of:</w:t>
      </w:r>
      <w:proofErr w:type="gramEnd"/>
      <w:r w:rsidR="00FE7435" w:rsidRPr="00EB6BA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24971"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824971" w:rsidRPr="00EB6BA8">
        <w:rPr>
          <w:rFonts w:asciiTheme="minorHAnsi" w:hAnsiTheme="minorHAnsi" w:cstheme="minorHAnsi"/>
          <w:sz w:val="24"/>
          <w:szCs w:val="24"/>
        </w:rPr>
        <w:t>Lindsey Trivett</w:t>
      </w:r>
      <w:r w:rsidR="00FE7435" w:rsidRPr="00EB6BA8">
        <w:rPr>
          <w:rFonts w:asciiTheme="minorHAnsi" w:hAnsiTheme="minorHAnsi" w:cstheme="minorHAnsi"/>
          <w:sz w:val="24"/>
          <w:szCs w:val="24"/>
        </w:rPr>
        <w:t xml:space="preserve">, Head of </w:t>
      </w:r>
      <w:r w:rsidR="00824971" w:rsidRPr="00EB6BA8">
        <w:rPr>
          <w:rFonts w:asciiTheme="minorHAnsi" w:hAnsiTheme="minorHAnsi" w:cstheme="minorHAnsi"/>
          <w:sz w:val="24"/>
          <w:szCs w:val="24"/>
        </w:rPr>
        <w:t>Early Years</w:t>
      </w:r>
      <w:r w:rsidR="0099379A">
        <w:rPr>
          <w:rFonts w:asciiTheme="minorHAnsi" w:hAnsiTheme="minorHAnsi" w:cstheme="minorHAnsi"/>
          <w:sz w:val="24"/>
          <w:szCs w:val="24"/>
        </w:rPr>
        <w:t xml:space="preserve"> and</w:t>
      </w:r>
      <w:r w:rsidR="00824971" w:rsidRPr="00EB6BA8">
        <w:rPr>
          <w:rFonts w:asciiTheme="minorHAnsi" w:hAnsiTheme="minorHAnsi" w:cstheme="minorHAnsi"/>
          <w:sz w:val="24"/>
          <w:szCs w:val="24"/>
        </w:rPr>
        <w:t xml:space="preserve"> Childcare</w:t>
      </w:r>
      <w:r w:rsidR="0099379A">
        <w:rPr>
          <w:rFonts w:asciiTheme="minorHAnsi" w:hAnsiTheme="minorHAnsi" w:cstheme="minorHAnsi"/>
          <w:sz w:val="24"/>
          <w:szCs w:val="24"/>
        </w:rPr>
        <w:t xml:space="preserve"> </w:t>
      </w:r>
      <w:r w:rsidR="00FE7435" w:rsidRPr="00EB6BA8">
        <w:rPr>
          <w:rFonts w:asciiTheme="minorHAnsi" w:hAnsiTheme="minorHAnsi" w:cstheme="minorHAnsi"/>
          <w:sz w:val="24"/>
          <w:szCs w:val="24"/>
        </w:rPr>
        <w:t>–</w:t>
      </w:r>
      <w:r w:rsidR="003E5F22">
        <w:rPr>
          <w:rFonts w:asciiTheme="minorHAnsi" w:hAnsiTheme="minorHAnsi" w:cstheme="minorHAnsi"/>
          <w:sz w:val="24"/>
          <w:szCs w:val="24"/>
        </w:rPr>
        <w:t xml:space="preserve"> </w:t>
      </w:r>
      <w:r w:rsidR="00017E0C">
        <w:rPr>
          <w:rFonts w:asciiTheme="minorHAnsi" w:hAnsiTheme="minorHAnsi" w:cstheme="minorHAnsi"/>
          <w:sz w:val="24"/>
          <w:szCs w:val="24"/>
        </w:rPr>
        <w:t>Directorate</w:t>
      </w:r>
      <w:r w:rsidR="003E5F22">
        <w:rPr>
          <w:rFonts w:asciiTheme="minorHAnsi" w:hAnsiTheme="minorHAnsi" w:cstheme="minorHAnsi"/>
          <w:sz w:val="24"/>
          <w:szCs w:val="24"/>
        </w:rPr>
        <w:t xml:space="preserve"> for Education and Skills</w:t>
      </w:r>
    </w:p>
    <w:p w14:paraId="4701030E" w14:textId="77777777" w:rsidR="008544CD" w:rsidRPr="00EB6BA8" w:rsidRDefault="008544C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CDF1312" w14:textId="635D7137" w:rsidR="00554D03" w:rsidRPr="00EB6BA8" w:rsidRDefault="00EC624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Title:</w:t>
      </w:r>
      <w:r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647879">
        <w:rPr>
          <w:rFonts w:asciiTheme="minorHAnsi" w:hAnsiTheme="minorHAnsi" w:cstheme="minorHAnsi"/>
          <w:b/>
          <w:sz w:val="24"/>
          <w:szCs w:val="24"/>
        </w:rPr>
        <w:tab/>
      </w:r>
      <w:r w:rsidR="005524CB" w:rsidRPr="005524CB">
        <w:rPr>
          <w:rFonts w:asciiTheme="minorHAnsi" w:hAnsiTheme="minorHAnsi" w:cstheme="minorHAnsi"/>
          <w:sz w:val="24"/>
          <w:szCs w:val="24"/>
        </w:rPr>
        <w:t>Early Years Rate Review 2022</w:t>
      </w:r>
      <w:r w:rsidR="009E2F64">
        <w:rPr>
          <w:rFonts w:asciiTheme="minorHAnsi" w:hAnsiTheme="minorHAnsi" w:cstheme="minorHAnsi"/>
          <w:sz w:val="24"/>
          <w:szCs w:val="24"/>
        </w:rPr>
        <w:t>-23</w:t>
      </w:r>
      <w:r w:rsidR="00E947BF">
        <w:rPr>
          <w:rFonts w:asciiTheme="minorHAnsi" w:hAnsiTheme="minorHAnsi" w:cstheme="minorHAnsi"/>
          <w:sz w:val="24"/>
          <w:szCs w:val="24"/>
        </w:rPr>
        <w:t xml:space="preserve"> (including projection for </w:t>
      </w:r>
      <w:r w:rsidR="001B5F4A">
        <w:rPr>
          <w:rFonts w:asciiTheme="minorHAnsi" w:hAnsiTheme="minorHAnsi" w:cstheme="minorHAnsi"/>
          <w:sz w:val="24"/>
          <w:szCs w:val="24"/>
        </w:rPr>
        <w:t>23/24 and 24/25).</w:t>
      </w:r>
    </w:p>
    <w:p w14:paraId="64EB4AFD" w14:textId="1393BA64" w:rsidR="007E4DB4" w:rsidRPr="00EB6BA8" w:rsidRDefault="007E4DB4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1A8C79E" w14:textId="77777777" w:rsidR="0096441D" w:rsidRPr="00EB6BA8" w:rsidRDefault="00554D03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 xml:space="preserve">Status:  </w:t>
      </w:r>
      <w:r w:rsidR="00DF5859" w:rsidRPr="00EB6BA8">
        <w:rPr>
          <w:rFonts w:asciiTheme="minorHAnsi" w:hAnsiTheme="minorHAnsi" w:cstheme="minorHAnsi"/>
          <w:b/>
          <w:sz w:val="24"/>
          <w:szCs w:val="24"/>
        </w:rPr>
        <w:tab/>
      </w:r>
      <w:r w:rsidRPr="00EB6BA8">
        <w:rPr>
          <w:rFonts w:asciiTheme="minorHAnsi" w:hAnsiTheme="minorHAnsi" w:cstheme="minorHAnsi"/>
          <w:sz w:val="24"/>
          <w:szCs w:val="24"/>
        </w:rPr>
        <w:t>For Information</w:t>
      </w:r>
      <w:r w:rsidR="00B66331">
        <w:rPr>
          <w:rFonts w:asciiTheme="minorHAnsi" w:hAnsiTheme="minorHAnsi" w:cstheme="minorHAnsi"/>
          <w:sz w:val="24"/>
          <w:szCs w:val="24"/>
        </w:rPr>
        <w:t>/Agreement</w:t>
      </w:r>
    </w:p>
    <w:p w14:paraId="32FECDF8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4306733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FF413FF" w14:textId="43802FA1" w:rsidR="0096441D" w:rsidRPr="00B766D1" w:rsidRDefault="00BA36DC" w:rsidP="00FE35F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66D1">
        <w:rPr>
          <w:rFonts w:asciiTheme="minorHAnsi" w:hAnsiTheme="minorHAnsi" w:cstheme="minorHAnsi"/>
          <w:b/>
          <w:sz w:val="24"/>
          <w:szCs w:val="24"/>
          <w:u w:val="single"/>
        </w:rPr>
        <w:t>Purpose of the Report</w:t>
      </w:r>
    </w:p>
    <w:p w14:paraId="51B0233C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D44898A" w14:textId="7A0A2227" w:rsidR="008544CD" w:rsidRPr="00194E46" w:rsidRDefault="000F2CDA" w:rsidP="00242C0B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2C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report details the findings of the Early Years Rates Review Group and </w:t>
      </w:r>
      <w:r w:rsidR="002844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recommends the amendments to </w:t>
      </w:r>
      <w:r w:rsidR="009C2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 </w:t>
      </w:r>
      <w:r w:rsidR="002844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made </w:t>
      </w:r>
      <w:r w:rsidR="00D108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Early Years DSG Funding for the </w:t>
      </w:r>
      <w:r w:rsidR="00241562">
        <w:rPr>
          <w:rFonts w:asciiTheme="minorHAnsi" w:hAnsiTheme="minorHAnsi" w:cstheme="minorHAnsi"/>
          <w:color w:val="000000" w:themeColor="text1"/>
          <w:sz w:val="24"/>
          <w:szCs w:val="24"/>
        </w:rPr>
        <w:t>3-year</w:t>
      </w:r>
      <w:r w:rsidR="00B62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08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financial </w:t>
      </w:r>
      <w:r w:rsidR="003C44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period </w:t>
      </w:r>
      <w:r w:rsidR="00D108A3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9A6EE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108A3">
        <w:rPr>
          <w:rFonts w:asciiTheme="minorHAnsi" w:hAnsiTheme="minorHAnsi" w:cstheme="minorHAnsi"/>
          <w:color w:val="000000" w:themeColor="text1"/>
          <w:sz w:val="24"/>
          <w:szCs w:val="24"/>
        </w:rPr>
        <w:t>-202</w:t>
      </w:r>
      <w:r w:rsidR="009A6EE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3C446B">
        <w:rPr>
          <w:rFonts w:asciiTheme="minorHAnsi" w:hAnsiTheme="minorHAnsi" w:cstheme="minorHAnsi"/>
          <w:color w:val="000000" w:themeColor="text1"/>
          <w:sz w:val="24"/>
          <w:szCs w:val="24"/>
        </w:rPr>
        <w:t>; 23-24; and 24-25</w:t>
      </w:r>
      <w:r w:rsidR="00FA10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F2C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C2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review this year has been aligned to </w:t>
      </w:r>
      <w:r w:rsidR="00AC4B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allocations </w:t>
      </w:r>
      <w:r w:rsidR="00060EE3">
        <w:rPr>
          <w:rFonts w:asciiTheme="minorHAnsi" w:hAnsiTheme="minorHAnsi" w:cstheme="minorHAnsi"/>
          <w:color w:val="000000" w:themeColor="text1"/>
          <w:sz w:val="24"/>
          <w:szCs w:val="24"/>
        </w:rPr>
        <w:t>within the</w:t>
      </w:r>
      <w:r w:rsidR="00AC4B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8744E">
        <w:rPr>
          <w:rFonts w:asciiTheme="minorHAnsi" w:hAnsiTheme="minorHAnsi" w:cstheme="minorHAnsi"/>
          <w:color w:val="000000" w:themeColor="text1"/>
          <w:sz w:val="24"/>
          <w:szCs w:val="24"/>
        </w:rPr>
        <w:t>Central Govt. Spending Review</w:t>
      </w:r>
      <w:r w:rsidR="00060E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6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recently announced that covers the period of </w:t>
      </w:r>
      <w:r w:rsidR="009A6EE9">
        <w:rPr>
          <w:rFonts w:asciiTheme="minorHAnsi" w:hAnsiTheme="minorHAnsi" w:cstheme="minorHAnsi"/>
          <w:color w:val="000000" w:themeColor="text1"/>
          <w:sz w:val="24"/>
          <w:szCs w:val="24"/>
        </w:rPr>
        <w:t>three years</w:t>
      </w:r>
      <w:r w:rsidR="00B766D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A44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review and recommendations </w:t>
      </w:r>
      <w:r w:rsidR="00194E46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r w:rsidR="009A6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cover the whole 3-year period with an annual review</w:t>
      </w:r>
      <w:r w:rsidR="006555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5D5DAD" w14:textId="77777777" w:rsidR="0002427F" w:rsidRPr="00EB6BA8" w:rsidRDefault="0002427F" w:rsidP="00EB6BA8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</w:p>
    <w:p w14:paraId="0DDFC171" w14:textId="77777777" w:rsidR="00C664CC" w:rsidRPr="00CE0312" w:rsidRDefault="00DF5859" w:rsidP="00FE35F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0312">
        <w:rPr>
          <w:rFonts w:asciiTheme="minorHAnsi" w:hAnsiTheme="minorHAnsi" w:cstheme="minorHAnsi"/>
          <w:b/>
          <w:sz w:val="24"/>
          <w:szCs w:val="24"/>
          <w:u w:val="single"/>
        </w:rPr>
        <w:t>Background Context</w:t>
      </w:r>
    </w:p>
    <w:p w14:paraId="5C0CCECF" w14:textId="77777777" w:rsidR="0096441D" w:rsidRPr="00EB6BA8" w:rsidRDefault="0096441D" w:rsidP="00EB6B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65903AA" w14:textId="7E18F0B8" w:rsidR="00017E0C" w:rsidRPr="00655585" w:rsidRDefault="007A5A4D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>Within the framework for the Early Years block of the DSG t</w:t>
      </w:r>
      <w:r w:rsidR="005C3C53" w:rsidRPr="00655585">
        <w:rPr>
          <w:rFonts w:asciiTheme="minorHAnsi" w:hAnsiTheme="minorHAnsi" w:cstheme="minorHAnsi"/>
          <w:sz w:val="24"/>
          <w:szCs w:val="24"/>
        </w:rPr>
        <w:t xml:space="preserve">here are </w:t>
      </w:r>
      <w:r w:rsidR="008E0F3C" w:rsidRPr="00655585">
        <w:rPr>
          <w:rFonts w:asciiTheme="minorHAnsi" w:hAnsiTheme="minorHAnsi" w:cstheme="minorHAnsi"/>
          <w:sz w:val="24"/>
          <w:szCs w:val="24"/>
        </w:rPr>
        <w:t>several</w:t>
      </w:r>
      <w:r w:rsidR="00017E0C" w:rsidRPr="00655585">
        <w:rPr>
          <w:rFonts w:asciiTheme="minorHAnsi" w:hAnsiTheme="minorHAnsi" w:cstheme="minorHAnsi"/>
          <w:sz w:val="24"/>
          <w:szCs w:val="24"/>
        </w:rPr>
        <w:t xml:space="preserve"> requirements for LAs which are intended to ensure that funding is fairly distributed to providers. The</w:t>
      </w:r>
      <w:r w:rsidR="005C3C53" w:rsidRPr="00655585">
        <w:rPr>
          <w:rFonts w:asciiTheme="minorHAnsi" w:hAnsiTheme="minorHAnsi" w:cstheme="minorHAnsi"/>
          <w:sz w:val="24"/>
          <w:szCs w:val="24"/>
        </w:rPr>
        <w:t>se</w:t>
      </w:r>
      <w:r w:rsidR="00017E0C" w:rsidRPr="00655585">
        <w:rPr>
          <w:rFonts w:asciiTheme="minorHAnsi" w:hAnsiTheme="minorHAnsi" w:cstheme="minorHAnsi"/>
          <w:sz w:val="24"/>
          <w:szCs w:val="24"/>
        </w:rPr>
        <w:t xml:space="preserve"> </w:t>
      </w:r>
      <w:r w:rsidR="008E0F3C" w:rsidRPr="00655585">
        <w:rPr>
          <w:rFonts w:asciiTheme="minorHAnsi" w:hAnsiTheme="minorHAnsi" w:cstheme="minorHAnsi"/>
          <w:sz w:val="24"/>
          <w:szCs w:val="24"/>
        </w:rPr>
        <w:t>are: -</w:t>
      </w:r>
    </w:p>
    <w:p w14:paraId="1FEE4609" w14:textId="50375580" w:rsidR="00017E0C" w:rsidRPr="00655585" w:rsidRDefault="00017E0C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>A minimum amount of funding that must be passed through to providers</w:t>
      </w:r>
      <w:r w:rsidR="005C3C53" w:rsidRPr="00655585">
        <w:rPr>
          <w:rFonts w:asciiTheme="minorHAnsi" w:hAnsiTheme="minorHAnsi" w:cstheme="minorHAnsi"/>
          <w:sz w:val="24"/>
          <w:szCs w:val="24"/>
        </w:rPr>
        <w:t xml:space="preserve"> (</w:t>
      </w:r>
      <w:r w:rsidRPr="00655585">
        <w:rPr>
          <w:rFonts w:asciiTheme="minorHAnsi" w:hAnsiTheme="minorHAnsi" w:cstheme="minorHAnsi"/>
          <w:sz w:val="24"/>
          <w:szCs w:val="24"/>
        </w:rPr>
        <w:t>95%).</w:t>
      </w:r>
    </w:p>
    <w:p w14:paraId="1301805E" w14:textId="75D7F2A1" w:rsidR="00017E0C" w:rsidRPr="00655585" w:rsidRDefault="00017E0C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>A universal base rate for all types of provider.</w:t>
      </w:r>
    </w:p>
    <w:p w14:paraId="3BA6595C" w14:textId="52C5A75F" w:rsidR="00017E0C" w:rsidRPr="00655585" w:rsidRDefault="00017E0C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>Supplementary funding for Maintained Nursery Schools</w:t>
      </w:r>
      <w:r w:rsidR="003D610B" w:rsidRPr="00655585">
        <w:rPr>
          <w:rFonts w:asciiTheme="minorHAnsi" w:hAnsiTheme="minorHAnsi" w:cstheme="minorHAnsi"/>
          <w:sz w:val="24"/>
          <w:szCs w:val="24"/>
        </w:rPr>
        <w:t xml:space="preserve"> (ringfenced to MNS only)</w:t>
      </w:r>
      <w:r w:rsidR="005C3C53" w:rsidRPr="00655585">
        <w:rPr>
          <w:rFonts w:asciiTheme="minorHAnsi" w:hAnsiTheme="minorHAnsi" w:cstheme="minorHAnsi"/>
          <w:sz w:val="24"/>
          <w:szCs w:val="24"/>
        </w:rPr>
        <w:t>.</w:t>
      </w:r>
    </w:p>
    <w:p w14:paraId="77BEF5A3" w14:textId="693E98F1" w:rsidR="00017E0C" w:rsidRPr="00655585" w:rsidRDefault="003D610B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 xml:space="preserve">A </w:t>
      </w:r>
      <w:r w:rsidR="00F80814" w:rsidRPr="00655585">
        <w:rPr>
          <w:rFonts w:asciiTheme="minorHAnsi" w:hAnsiTheme="minorHAnsi" w:cstheme="minorHAnsi"/>
          <w:sz w:val="24"/>
          <w:szCs w:val="24"/>
        </w:rPr>
        <w:t>maximum</w:t>
      </w:r>
      <w:r w:rsidRPr="00655585">
        <w:rPr>
          <w:rFonts w:asciiTheme="minorHAnsi" w:hAnsiTheme="minorHAnsi" w:cstheme="minorHAnsi"/>
          <w:sz w:val="24"/>
          <w:szCs w:val="24"/>
        </w:rPr>
        <w:t xml:space="preserve"> cap of 10%</w:t>
      </w:r>
      <w:r w:rsidR="00F80814" w:rsidRPr="00655585">
        <w:rPr>
          <w:rFonts w:asciiTheme="minorHAnsi" w:hAnsiTheme="minorHAnsi" w:cstheme="minorHAnsi"/>
          <w:sz w:val="24"/>
          <w:szCs w:val="24"/>
        </w:rPr>
        <w:t xml:space="preserve"> on the amount of funding that can be used for the</w:t>
      </w:r>
      <w:r w:rsidR="00017E0C" w:rsidRPr="00655585">
        <w:rPr>
          <w:rFonts w:asciiTheme="minorHAnsi" w:hAnsiTheme="minorHAnsi" w:cstheme="minorHAnsi"/>
          <w:sz w:val="24"/>
          <w:szCs w:val="24"/>
        </w:rPr>
        <w:t xml:space="preserve"> mandatory and discretionary supplements.</w:t>
      </w:r>
    </w:p>
    <w:p w14:paraId="73E25889" w14:textId="787C7F73" w:rsidR="00017E0C" w:rsidRPr="00655585" w:rsidRDefault="008E0F3C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 xml:space="preserve">A </w:t>
      </w:r>
      <w:r w:rsidR="00017E0C" w:rsidRPr="00655585">
        <w:rPr>
          <w:rFonts w:asciiTheme="minorHAnsi" w:hAnsiTheme="minorHAnsi" w:cstheme="minorHAnsi"/>
          <w:sz w:val="24"/>
          <w:szCs w:val="24"/>
        </w:rPr>
        <w:t>Disability Access Fund linked to children that access Disability Living Allowance.</w:t>
      </w:r>
    </w:p>
    <w:p w14:paraId="4D6B7661" w14:textId="48A47C21" w:rsidR="00017E0C" w:rsidRPr="00655585" w:rsidRDefault="00017E0C" w:rsidP="00017E0C">
      <w:pPr>
        <w:pStyle w:val="NoSpacing"/>
        <w:numPr>
          <w:ilvl w:val="0"/>
          <w:numId w:val="25"/>
        </w:numPr>
        <w:spacing w:after="120"/>
        <w:ind w:left="851"/>
        <w:rPr>
          <w:rFonts w:asciiTheme="minorHAnsi" w:hAnsiTheme="minorHAnsi" w:cstheme="minorHAnsi"/>
          <w:sz w:val="24"/>
          <w:szCs w:val="24"/>
        </w:rPr>
      </w:pPr>
      <w:r w:rsidRPr="00655585">
        <w:rPr>
          <w:rFonts w:asciiTheme="minorHAnsi" w:hAnsiTheme="minorHAnsi" w:cstheme="minorHAnsi"/>
          <w:sz w:val="24"/>
          <w:szCs w:val="24"/>
        </w:rPr>
        <w:t xml:space="preserve">A requirement for </w:t>
      </w:r>
      <w:r w:rsidR="00FA6239" w:rsidRPr="00655585">
        <w:rPr>
          <w:rFonts w:asciiTheme="minorHAnsi" w:hAnsiTheme="minorHAnsi" w:cstheme="minorHAnsi"/>
          <w:sz w:val="24"/>
          <w:szCs w:val="24"/>
        </w:rPr>
        <w:t>a</w:t>
      </w:r>
      <w:r w:rsidRPr="00655585">
        <w:rPr>
          <w:rFonts w:asciiTheme="minorHAnsi" w:hAnsiTheme="minorHAnsi" w:cstheme="minorHAnsi"/>
          <w:sz w:val="24"/>
          <w:szCs w:val="24"/>
        </w:rPr>
        <w:t xml:space="preserve"> SEND inclusion fund (</w:t>
      </w:r>
      <w:r w:rsidR="00493E38">
        <w:rPr>
          <w:rFonts w:asciiTheme="minorHAnsi" w:hAnsiTheme="minorHAnsi" w:cstheme="minorHAnsi"/>
          <w:sz w:val="24"/>
          <w:szCs w:val="24"/>
        </w:rPr>
        <w:t xml:space="preserve">in Birmingham this is known as </w:t>
      </w:r>
      <w:r w:rsidRPr="00655585">
        <w:rPr>
          <w:rFonts w:asciiTheme="minorHAnsi" w:hAnsiTheme="minorHAnsi" w:cstheme="minorHAnsi"/>
          <w:sz w:val="24"/>
          <w:szCs w:val="24"/>
        </w:rPr>
        <w:t>ISEY).</w:t>
      </w:r>
    </w:p>
    <w:p w14:paraId="2C2E5515" w14:textId="1F84DB80" w:rsidR="00817725" w:rsidRPr="001B5F4A" w:rsidRDefault="00FA6239" w:rsidP="00242C0B">
      <w:pPr>
        <w:pStyle w:val="NoSpacing"/>
        <w:spacing w:after="120"/>
        <w:rPr>
          <w:rFonts w:asciiTheme="minorHAnsi" w:hAnsiTheme="minorHAnsi" w:cstheme="minorHAnsi"/>
          <w:color w:val="FF0000"/>
          <w:sz w:val="24"/>
          <w:szCs w:val="24"/>
        </w:rPr>
      </w:pPr>
      <w:r w:rsidRPr="00493E38">
        <w:rPr>
          <w:rFonts w:asciiTheme="minorHAnsi" w:hAnsiTheme="minorHAnsi" w:cstheme="minorHAnsi"/>
          <w:sz w:val="24"/>
          <w:szCs w:val="24"/>
        </w:rPr>
        <w:t>Birmingham City Council has a</w:t>
      </w:r>
      <w:r w:rsidR="00287BA3" w:rsidRPr="00493E38">
        <w:rPr>
          <w:rFonts w:asciiTheme="minorHAnsi" w:hAnsiTheme="minorHAnsi" w:cstheme="minorHAnsi"/>
          <w:sz w:val="24"/>
          <w:szCs w:val="24"/>
        </w:rPr>
        <w:t xml:space="preserve"> commitment to undertake an </w:t>
      </w:r>
      <w:r w:rsidR="00C93AD3" w:rsidRPr="00493E38">
        <w:rPr>
          <w:rFonts w:asciiTheme="minorHAnsi" w:hAnsiTheme="minorHAnsi" w:cstheme="minorHAnsi"/>
          <w:sz w:val="24"/>
          <w:szCs w:val="24"/>
        </w:rPr>
        <w:t xml:space="preserve">annual EY rates review </w:t>
      </w:r>
      <w:r w:rsidR="00E50292" w:rsidRPr="00493E38">
        <w:rPr>
          <w:rFonts w:asciiTheme="minorHAnsi" w:hAnsiTheme="minorHAnsi" w:cstheme="minorHAnsi"/>
          <w:sz w:val="24"/>
          <w:szCs w:val="24"/>
        </w:rPr>
        <w:t>of the current</w:t>
      </w:r>
      <w:r w:rsidR="00F37437" w:rsidRPr="00493E38">
        <w:rPr>
          <w:rFonts w:asciiTheme="minorHAnsi" w:hAnsiTheme="minorHAnsi" w:cstheme="minorHAnsi"/>
          <w:sz w:val="24"/>
          <w:szCs w:val="24"/>
        </w:rPr>
        <w:t xml:space="preserve"> formula</w:t>
      </w:r>
      <w:r w:rsidR="00A74FB6" w:rsidRPr="00493E38">
        <w:rPr>
          <w:rFonts w:asciiTheme="minorHAnsi" w:hAnsiTheme="minorHAnsi" w:cstheme="minorHAnsi"/>
          <w:sz w:val="24"/>
          <w:szCs w:val="24"/>
        </w:rPr>
        <w:t xml:space="preserve">, with the </w:t>
      </w:r>
      <w:r w:rsidR="00D713B3" w:rsidRPr="00493E38">
        <w:rPr>
          <w:rFonts w:asciiTheme="minorHAnsi" w:hAnsiTheme="minorHAnsi" w:cstheme="minorHAnsi"/>
          <w:sz w:val="24"/>
          <w:szCs w:val="24"/>
        </w:rPr>
        <w:t>intention</w:t>
      </w:r>
      <w:r w:rsidR="00A74FB6" w:rsidRPr="00493E38">
        <w:rPr>
          <w:rFonts w:asciiTheme="minorHAnsi" w:hAnsiTheme="minorHAnsi" w:cstheme="minorHAnsi"/>
          <w:sz w:val="24"/>
          <w:szCs w:val="24"/>
        </w:rPr>
        <w:t xml:space="preserve"> of linking any large-scale changes to national changes</w:t>
      </w:r>
      <w:r w:rsidR="0071679F" w:rsidRPr="00493E38">
        <w:rPr>
          <w:rFonts w:asciiTheme="minorHAnsi" w:hAnsiTheme="minorHAnsi" w:cstheme="minorHAnsi"/>
          <w:sz w:val="24"/>
          <w:szCs w:val="24"/>
        </w:rPr>
        <w:t xml:space="preserve"> usually agreed for a </w:t>
      </w:r>
      <w:r w:rsidR="00B16E1D" w:rsidRPr="00493E38">
        <w:rPr>
          <w:rFonts w:asciiTheme="minorHAnsi" w:hAnsiTheme="minorHAnsi" w:cstheme="minorHAnsi"/>
          <w:sz w:val="24"/>
          <w:szCs w:val="24"/>
        </w:rPr>
        <w:t>three-year</w:t>
      </w:r>
      <w:r w:rsidR="0071679F" w:rsidRPr="00493E38">
        <w:rPr>
          <w:rFonts w:asciiTheme="minorHAnsi" w:hAnsiTheme="minorHAnsi" w:cstheme="minorHAnsi"/>
          <w:sz w:val="24"/>
          <w:szCs w:val="24"/>
        </w:rPr>
        <w:t xml:space="preserve"> period</w:t>
      </w:r>
      <w:r w:rsidR="00A74FB6" w:rsidRPr="00493E38">
        <w:rPr>
          <w:rFonts w:asciiTheme="minorHAnsi" w:hAnsiTheme="minorHAnsi" w:cstheme="minorHAnsi"/>
          <w:sz w:val="24"/>
          <w:szCs w:val="24"/>
        </w:rPr>
        <w:t xml:space="preserve"> in line with the </w:t>
      </w:r>
      <w:r w:rsidR="00D713B3" w:rsidRPr="00493E38">
        <w:rPr>
          <w:rFonts w:asciiTheme="minorHAnsi" w:hAnsiTheme="minorHAnsi" w:cstheme="minorHAnsi"/>
          <w:sz w:val="24"/>
          <w:szCs w:val="24"/>
        </w:rPr>
        <w:t xml:space="preserve">governments </w:t>
      </w:r>
      <w:r w:rsidR="00257CDF" w:rsidRPr="00493E38">
        <w:rPr>
          <w:rFonts w:asciiTheme="minorHAnsi" w:hAnsiTheme="minorHAnsi" w:cstheme="minorHAnsi"/>
          <w:sz w:val="24"/>
          <w:szCs w:val="24"/>
        </w:rPr>
        <w:t xml:space="preserve">Comprehensive Spending Review (CSR) timetable. </w:t>
      </w:r>
    </w:p>
    <w:p w14:paraId="1337FD39" w14:textId="29FECA59" w:rsidR="00596C1C" w:rsidRPr="00C04546" w:rsidRDefault="00257CDF" w:rsidP="00242C0B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C04546">
        <w:rPr>
          <w:rFonts w:asciiTheme="minorHAnsi" w:hAnsiTheme="minorHAnsi" w:cstheme="minorHAnsi"/>
          <w:sz w:val="24"/>
          <w:szCs w:val="24"/>
        </w:rPr>
        <w:t xml:space="preserve">HM Treasury </w:t>
      </w:r>
      <w:r w:rsidR="003943E9" w:rsidRPr="00C04546">
        <w:rPr>
          <w:rFonts w:asciiTheme="minorHAnsi" w:hAnsiTheme="minorHAnsi" w:cstheme="minorHAnsi"/>
          <w:sz w:val="24"/>
          <w:szCs w:val="24"/>
        </w:rPr>
        <w:t xml:space="preserve">has recently </w:t>
      </w:r>
      <w:r w:rsidRPr="00C04546">
        <w:rPr>
          <w:rFonts w:asciiTheme="minorHAnsi" w:hAnsiTheme="minorHAnsi" w:cstheme="minorHAnsi"/>
          <w:sz w:val="24"/>
          <w:szCs w:val="24"/>
        </w:rPr>
        <w:t>a</w:t>
      </w:r>
      <w:r w:rsidR="003943E9" w:rsidRPr="00C04546">
        <w:rPr>
          <w:rFonts w:asciiTheme="minorHAnsi" w:hAnsiTheme="minorHAnsi" w:cstheme="minorHAnsi"/>
          <w:sz w:val="24"/>
          <w:szCs w:val="24"/>
        </w:rPr>
        <w:t>nnounced a</w:t>
      </w:r>
      <w:r w:rsidRPr="00C04546">
        <w:rPr>
          <w:rFonts w:asciiTheme="minorHAnsi" w:hAnsiTheme="minorHAnsi" w:cstheme="minorHAnsi"/>
          <w:sz w:val="24"/>
          <w:szCs w:val="24"/>
        </w:rPr>
        <w:t xml:space="preserve"> </w:t>
      </w:r>
      <w:r w:rsidR="00A804FE" w:rsidRPr="00C04546">
        <w:rPr>
          <w:rFonts w:asciiTheme="minorHAnsi" w:hAnsiTheme="minorHAnsi" w:cstheme="minorHAnsi"/>
          <w:sz w:val="24"/>
          <w:szCs w:val="24"/>
        </w:rPr>
        <w:t>three</w:t>
      </w:r>
      <w:r w:rsidR="00596C1C" w:rsidRPr="00C04546">
        <w:rPr>
          <w:rFonts w:asciiTheme="minorHAnsi" w:hAnsiTheme="minorHAnsi" w:cstheme="minorHAnsi"/>
          <w:sz w:val="24"/>
          <w:szCs w:val="24"/>
        </w:rPr>
        <w:t>-year</w:t>
      </w:r>
      <w:r w:rsidRPr="00C04546">
        <w:rPr>
          <w:rFonts w:asciiTheme="minorHAnsi" w:hAnsiTheme="minorHAnsi" w:cstheme="minorHAnsi"/>
          <w:sz w:val="24"/>
          <w:szCs w:val="24"/>
        </w:rPr>
        <w:t xml:space="preserve"> settlement for 2022</w:t>
      </w:r>
      <w:r w:rsidR="00A804FE" w:rsidRPr="00C04546">
        <w:rPr>
          <w:rFonts w:asciiTheme="minorHAnsi" w:hAnsiTheme="minorHAnsi" w:cstheme="minorHAnsi"/>
          <w:sz w:val="24"/>
          <w:szCs w:val="24"/>
        </w:rPr>
        <w:t xml:space="preserve"> – 2025</w:t>
      </w:r>
      <w:r w:rsidRPr="00C04546">
        <w:rPr>
          <w:rFonts w:asciiTheme="minorHAnsi" w:hAnsiTheme="minorHAnsi" w:cstheme="minorHAnsi"/>
          <w:sz w:val="24"/>
          <w:szCs w:val="24"/>
        </w:rPr>
        <w:t xml:space="preserve">. </w:t>
      </w:r>
      <w:r w:rsidR="00596C1C" w:rsidRPr="00C04546">
        <w:rPr>
          <w:rFonts w:asciiTheme="minorHAnsi" w:hAnsiTheme="minorHAnsi" w:cstheme="minorHAnsi"/>
          <w:sz w:val="24"/>
          <w:szCs w:val="24"/>
        </w:rPr>
        <w:t xml:space="preserve">Within this </w:t>
      </w:r>
      <w:r w:rsidR="00817725" w:rsidRPr="00C04546">
        <w:rPr>
          <w:rFonts w:asciiTheme="minorHAnsi" w:hAnsiTheme="minorHAnsi" w:cstheme="minorHAnsi"/>
          <w:sz w:val="24"/>
          <w:szCs w:val="24"/>
        </w:rPr>
        <w:t>there is a</w:t>
      </w:r>
      <w:r w:rsidR="00596C1C" w:rsidRPr="00C04546">
        <w:rPr>
          <w:rFonts w:asciiTheme="minorHAnsi" w:hAnsiTheme="minorHAnsi" w:cstheme="minorHAnsi"/>
          <w:sz w:val="24"/>
          <w:szCs w:val="24"/>
        </w:rPr>
        <w:t xml:space="preserve"> commitment to additional Early Years funding</w:t>
      </w:r>
      <w:r w:rsidR="00A804FE" w:rsidRPr="00C04546">
        <w:rPr>
          <w:rFonts w:asciiTheme="minorHAnsi" w:hAnsiTheme="minorHAnsi" w:cstheme="minorHAnsi"/>
          <w:sz w:val="24"/>
          <w:szCs w:val="24"/>
        </w:rPr>
        <w:t xml:space="preserve"> over each of the next three years</w:t>
      </w:r>
      <w:r w:rsidR="00596C1C" w:rsidRPr="00C04546">
        <w:rPr>
          <w:rFonts w:asciiTheme="minorHAnsi" w:hAnsiTheme="minorHAnsi" w:cstheme="minorHAnsi"/>
          <w:sz w:val="24"/>
          <w:szCs w:val="24"/>
        </w:rPr>
        <w:t xml:space="preserve"> </w:t>
      </w:r>
      <w:r w:rsidR="004F3581" w:rsidRPr="00C04546">
        <w:rPr>
          <w:rFonts w:asciiTheme="minorHAnsi" w:hAnsiTheme="minorHAnsi" w:cstheme="minorHAnsi"/>
          <w:sz w:val="24"/>
          <w:szCs w:val="24"/>
        </w:rPr>
        <w:t xml:space="preserve">through the national formula. </w:t>
      </w:r>
      <w:r w:rsidR="00EA03BE" w:rsidRPr="00C04546">
        <w:rPr>
          <w:rFonts w:asciiTheme="minorHAnsi" w:hAnsiTheme="minorHAnsi" w:cstheme="minorHAnsi"/>
          <w:sz w:val="24"/>
          <w:szCs w:val="24"/>
        </w:rPr>
        <w:t>Nationally the a</w:t>
      </w:r>
      <w:r w:rsidR="00C678D5" w:rsidRPr="00C04546">
        <w:rPr>
          <w:rFonts w:asciiTheme="minorHAnsi" w:hAnsiTheme="minorHAnsi" w:cstheme="minorHAnsi"/>
          <w:sz w:val="24"/>
          <w:szCs w:val="24"/>
        </w:rPr>
        <w:t>dditional</w:t>
      </w:r>
      <w:r w:rsidR="00EA03BE" w:rsidRPr="00C04546">
        <w:rPr>
          <w:rFonts w:asciiTheme="minorHAnsi" w:hAnsiTheme="minorHAnsi" w:cstheme="minorHAnsi"/>
          <w:sz w:val="24"/>
          <w:szCs w:val="24"/>
        </w:rPr>
        <w:t xml:space="preserve"> investment in early years education has been confirmed as £1</w:t>
      </w:r>
      <w:r w:rsidR="00FD76F8" w:rsidRPr="00C04546">
        <w:rPr>
          <w:rFonts w:asciiTheme="minorHAnsi" w:hAnsiTheme="minorHAnsi" w:cstheme="minorHAnsi"/>
          <w:sz w:val="24"/>
          <w:szCs w:val="24"/>
        </w:rPr>
        <w:t>60m in 2022/23; £180m in 2023/24; and £170m in 2024/25</w:t>
      </w:r>
      <w:r w:rsidR="00CF1638" w:rsidRPr="00C04546">
        <w:rPr>
          <w:rFonts w:asciiTheme="minorHAnsi" w:hAnsiTheme="minorHAnsi" w:cstheme="minorHAnsi"/>
          <w:sz w:val="24"/>
          <w:szCs w:val="24"/>
        </w:rPr>
        <w:t>.</w:t>
      </w:r>
      <w:r w:rsidR="00C678D5" w:rsidRPr="00C04546">
        <w:rPr>
          <w:rFonts w:asciiTheme="minorHAnsi" w:hAnsiTheme="minorHAnsi" w:cstheme="minorHAnsi"/>
          <w:sz w:val="24"/>
          <w:szCs w:val="24"/>
        </w:rPr>
        <w:t xml:space="preserve"> </w:t>
      </w:r>
      <w:r w:rsidR="00596C1C" w:rsidRPr="00C04546">
        <w:rPr>
          <w:rFonts w:asciiTheme="minorHAnsi" w:hAnsiTheme="minorHAnsi" w:cstheme="minorHAnsi"/>
          <w:sz w:val="24"/>
          <w:szCs w:val="24"/>
        </w:rPr>
        <w:t xml:space="preserve">This will mean an </w:t>
      </w:r>
      <w:r w:rsidR="00596C1C" w:rsidRPr="00C04546">
        <w:rPr>
          <w:rFonts w:asciiTheme="minorHAnsi" w:hAnsiTheme="minorHAnsi" w:cstheme="minorHAnsi"/>
          <w:sz w:val="24"/>
          <w:szCs w:val="24"/>
        </w:rPr>
        <w:lastRenderedPageBreak/>
        <w:t xml:space="preserve">increase on the hourly per child rate in the national formula </w:t>
      </w:r>
      <w:r w:rsidR="00B714CE" w:rsidRPr="00C04546">
        <w:rPr>
          <w:rFonts w:asciiTheme="minorHAnsi" w:hAnsiTheme="minorHAnsi" w:cstheme="minorHAnsi"/>
          <w:sz w:val="24"/>
          <w:szCs w:val="24"/>
        </w:rPr>
        <w:t xml:space="preserve">paid to the LA </w:t>
      </w:r>
      <w:r w:rsidR="00596C1C" w:rsidRPr="00C04546">
        <w:rPr>
          <w:rFonts w:asciiTheme="minorHAnsi" w:hAnsiTheme="minorHAnsi" w:cstheme="minorHAnsi"/>
          <w:sz w:val="24"/>
          <w:szCs w:val="24"/>
        </w:rPr>
        <w:t>for two, three- and four-year olds.</w:t>
      </w:r>
      <w:r w:rsidR="004F3581" w:rsidRPr="00C04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30F68F" w14:textId="77777777" w:rsidR="00B87E20" w:rsidRPr="00C04546" w:rsidRDefault="00DE4F00" w:rsidP="00E01300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C04546">
        <w:rPr>
          <w:rFonts w:asciiTheme="minorHAnsi" w:hAnsiTheme="minorHAnsi" w:cstheme="minorHAnsi"/>
          <w:sz w:val="24"/>
          <w:szCs w:val="24"/>
        </w:rPr>
        <w:t xml:space="preserve">The Early Years DSG Steering Group has </w:t>
      </w:r>
      <w:r w:rsidR="00CF1638" w:rsidRPr="00C04546">
        <w:rPr>
          <w:rFonts w:asciiTheme="minorHAnsi" w:hAnsiTheme="minorHAnsi" w:cstheme="minorHAnsi"/>
          <w:sz w:val="24"/>
          <w:szCs w:val="24"/>
        </w:rPr>
        <w:t>not met</w:t>
      </w:r>
      <w:r w:rsidRPr="00C04546">
        <w:rPr>
          <w:rFonts w:asciiTheme="minorHAnsi" w:hAnsiTheme="minorHAnsi" w:cstheme="minorHAnsi"/>
          <w:sz w:val="24"/>
          <w:szCs w:val="24"/>
        </w:rPr>
        <w:t xml:space="preserve"> over the last financial year</w:t>
      </w:r>
      <w:r w:rsidR="00FA4236" w:rsidRPr="00C04546">
        <w:rPr>
          <w:rFonts w:asciiTheme="minorHAnsi" w:hAnsiTheme="minorHAnsi" w:cstheme="minorHAnsi"/>
          <w:sz w:val="24"/>
          <w:szCs w:val="24"/>
        </w:rPr>
        <w:t xml:space="preserve">. The purpose of the group is </w:t>
      </w:r>
      <w:r w:rsidRPr="00C04546">
        <w:rPr>
          <w:rFonts w:asciiTheme="minorHAnsi" w:hAnsiTheme="minorHAnsi" w:cstheme="minorHAnsi"/>
          <w:sz w:val="24"/>
          <w:szCs w:val="24"/>
        </w:rPr>
        <w:t xml:space="preserve">to review the delivery of services that are funded by the DSG and to provide some governance and challenge. </w:t>
      </w:r>
      <w:r w:rsidR="006A108F" w:rsidRPr="00C04546">
        <w:rPr>
          <w:rFonts w:asciiTheme="minorHAnsi" w:hAnsiTheme="minorHAnsi" w:cstheme="minorHAnsi"/>
          <w:sz w:val="24"/>
          <w:szCs w:val="24"/>
        </w:rPr>
        <w:t xml:space="preserve">This has been </w:t>
      </w:r>
      <w:r w:rsidR="00FA4236" w:rsidRPr="00C04546">
        <w:rPr>
          <w:rFonts w:asciiTheme="minorHAnsi" w:hAnsiTheme="minorHAnsi" w:cstheme="minorHAnsi"/>
          <w:sz w:val="24"/>
          <w:szCs w:val="24"/>
        </w:rPr>
        <w:t>very</w:t>
      </w:r>
      <w:r w:rsidR="006A108F" w:rsidRPr="00C04546">
        <w:rPr>
          <w:rFonts w:asciiTheme="minorHAnsi" w:hAnsiTheme="minorHAnsi" w:cstheme="minorHAnsi"/>
          <w:sz w:val="24"/>
          <w:szCs w:val="24"/>
        </w:rPr>
        <w:t xml:space="preserve"> challenging within the context of the Council’s response to the ongoing COVID-19 pandemic</w:t>
      </w:r>
      <w:r w:rsidR="00D37162" w:rsidRPr="00C04546">
        <w:rPr>
          <w:rFonts w:asciiTheme="minorHAnsi" w:hAnsiTheme="minorHAnsi" w:cstheme="minorHAnsi"/>
          <w:sz w:val="24"/>
          <w:szCs w:val="24"/>
        </w:rPr>
        <w:t xml:space="preserve"> which has impacted on the </w:t>
      </w:r>
      <w:r w:rsidR="000C79E8" w:rsidRPr="00C04546">
        <w:rPr>
          <w:rFonts w:asciiTheme="minorHAnsi" w:hAnsiTheme="minorHAnsi" w:cstheme="minorHAnsi"/>
          <w:sz w:val="24"/>
          <w:szCs w:val="24"/>
        </w:rPr>
        <w:t>council’s</w:t>
      </w:r>
      <w:r w:rsidR="00FA4236" w:rsidRPr="00C04546">
        <w:rPr>
          <w:rFonts w:asciiTheme="minorHAnsi" w:hAnsiTheme="minorHAnsi" w:cstheme="minorHAnsi"/>
          <w:sz w:val="24"/>
          <w:szCs w:val="24"/>
        </w:rPr>
        <w:t xml:space="preserve"> resources to maintain all levels </w:t>
      </w:r>
      <w:r w:rsidR="00A03292" w:rsidRPr="00C04546">
        <w:rPr>
          <w:rFonts w:asciiTheme="minorHAnsi" w:hAnsiTheme="minorHAnsi" w:cstheme="minorHAnsi"/>
          <w:sz w:val="24"/>
          <w:szCs w:val="24"/>
        </w:rPr>
        <w:t xml:space="preserve">of business as usual. There </w:t>
      </w:r>
      <w:r w:rsidR="000C79E8" w:rsidRPr="00C04546">
        <w:rPr>
          <w:rFonts w:asciiTheme="minorHAnsi" w:hAnsiTheme="minorHAnsi" w:cstheme="minorHAnsi"/>
          <w:sz w:val="24"/>
          <w:szCs w:val="24"/>
        </w:rPr>
        <w:t>have</w:t>
      </w:r>
      <w:r w:rsidR="00A03292" w:rsidRPr="00C04546">
        <w:rPr>
          <w:rFonts w:asciiTheme="minorHAnsi" w:hAnsiTheme="minorHAnsi" w:cstheme="minorHAnsi"/>
          <w:sz w:val="24"/>
          <w:szCs w:val="24"/>
        </w:rPr>
        <w:t xml:space="preserve"> been regular fortnightly meetings with </w:t>
      </w:r>
      <w:r w:rsidR="000C79E8" w:rsidRPr="00C04546">
        <w:rPr>
          <w:rFonts w:asciiTheme="minorHAnsi" w:hAnsiTheme="minorHAnsi" w:cstheme="minorHAnsi"/>
          <w:sz w:val="24"/>
          <w:szCs w:val="24"/>
        </w:rPr>
        <w:t>the Head of Early Years</w:t>
      </w:r>
      <w:r w:rsidR="00405E8E" w:rsidRPr="00C04546">
        <w:rPr>
          <w:rFonts w:asciiTheme="minorHAnsi" w:hAnsiTheme="minorHAnsi" w:cstheme="minorHAnsi"/>
          <w:sz w:val="24"/>
          <w:szCs w:val="24"/>
        </w:rPr>
        <w:t xml:space="preserve"> which has provided an opportunity for the sector to input into the work activities of the central team, and to </w:t>
      </w:r>
      <w:r w:rsidR="003F0570" w:rsidRPr="00C04546">
        <w:rPr>
          <w:rFonts w:asciiTheme="minorHAnsi" w:hAnsiTheme="minorHAnsi" w:cstheme="minorHAnsi"/>
          <w:sz w:val="24"/>
          <w:szCs w:val="24"/>
        </w:rPr>
        <w:t xml:space="preserve">co-design the work </w:t>
      </w:r>
      <w:r w:rsidRPr="00C04546">
        <w:rPr>
          <w:rFonts w:asciiTheme="minorHAnsi" w:hAnsiTheme="minorHAnsi" w:cstheme="minorHAnsi"/>
          <w:sz w:val="24"/>
          <w:szCs w:val="24"/>
        </w:rPr>
        <w:t>programme</w:t>
      </w:r>
      <w:r w:rsidR="003F0570" w:rsidRPr="00C04546">
        <w:rPr>
          <w:rFonts w:asciiTheme="minorHAnsi" w:hAnsiTheme="minorHAnsi" w:cstheme="minorHAnsi"/>
          <w:sz w:val="24"/>
          <w:szCs w:val="24"/>
        </w:rPr>
        <w:t xml:space="preserve"> throughout the year</w:t>
      </w:r>
      <w:r w:rsidR="00D37162" w:rsidRPr="00C045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14E552" w14:textId="18280ECC" w:rsidR="00DE4F00" w:rsidRPr="00C04546" w:rsidRDefault="00AA31EE" w:rsidP="00E01300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C04546">
        <w:rPr>
          <w:rFonts w:asciiTheme="minorHAnsi" w:hAnsiTheme="minorHAnsi" w:cstheme="minorHAnsi"/>
          <w:sz w:val="24"/>
          <w:szCs w:val="24"/>
        </w:rPr>
        <w:t>The</w:t>
      </w:r>
      <w:r w:rsidR="00DE4F00" w:rsidRPr="00C04546">
        <w:rPr>
          <w:rFonts w:asciiTheme="minorHAnsi" w:hAnsiTheme="minorHAnsi" w:cstheme="minorHAnsi"/>
          <w:sz w:val="24"/>
          <w:szCs w:val="24"/>
        </w:rPr>
        <w:t xml:space="preserve"> Early Years Improvement and Outcomes Partnership, chaired by the Head of Early Years, </w:t>
      </w:r>
      <w:r w:rsidRPr="00C04546">
        <w:rPr>
          <w:rFonts w:asciiTheme="minorHAnsi" w:hAnsiTheme="minorHAnsi" w:cstheme="minorHAnsi"/>
          <w:sz w:val="24"/>
          <w:szCs w:val="24"/>
        </w:rPr>
        <w:t>has also been impacted</w:t>
      </w:r>
      <w:r w:rsidR="00333866" w:rsidRPr="00C04546">
        <w:rPr>
          <w:rFonts w:asciiTheme="minorHAnsi" w:hAnsiTheme="minorHAnsi" w:cstheme="minorHAnsi"/>
          <w:sz w:val="24"/>
          <w:szCs w:val="24"/>
        </w:rPr>
        <w:t xml:space="preserve">. </w:t>
      </w:r>
      <w:r w:rsidR="00FD6703" w:rsidRPr="00C04546">
        <w:rPr>
          <w:rFonts w:asciiTheme="minorHAnsi" w:hAnsiTheme="minorHAnsi" w:cstheme="minorHAnsi"/>
          <w:sz w:val="24"/>
          <w:szCs w:val="24"/>
        </w:rPr>
        <w:t>However,</w:t>
      </w:r>
      <w:r w:rsidR="00333866" w:rsidRPr="00C04546">
        <w:rPr>
          <w:rFonts w:asciiTheme="minorHAnsi" w:hAnsiTheme="minorHAnsi" w:cstheme="minorHAnsi"/>
          <w:sz w:val="24"/>
          <w:szCs w:val="24"/>
        </w:rPr>
        <w:t xml:space="preserve"> the priority </w:t>
      </w:r>
      <w:r w:rsidR="00895DBF" w:rsidRPr="00C04546">
        <w:rPr>
          <w:rFonts w:asciiTheme="minorHAnsi" w:hAnsiTheme="minorHAnsi" w:cstheme="minorHAnsi"/>
          <w:sz w:val="24"/>
          <w:szCs w:val="24"/>
        </w:rPr>
        <w:t>focus</w:t>
      </w:r>
      <w:r w:rsidR="00333866" w:rsidRPr="00C04546">
        <w:rPr>
          <w:rFonts w:asciiTheme="minorHAnsi" w:hAnsiTheme="minorHAnsi" w:cstheme="minorHAnsi"/>
          <w:sz w:val="24"/>
          <w:szCs w:val="24"/>
        </w:rPr>
        <w:t>ed</w:t>
      </w:r>
      <w:r w:rsidR="00895DBF" w:rsidRPr="00C04546">
        <w:rPr>
          <w:rFonts w:asciiTheme="minorHAnsi" w:hAnsiTheme="minorHAnsi" w:cstheme="minorHAnsi"/>
          <w:sz w:val="24"/>
          <w:szCs w:val="24"/>
        </w:rPr>
        <w:t xml:space="preserve"> work on Speech, Language and Communication has been driven forward</w:t>
      </w:r>
      <w:r w:rsidR="00C41897" w:rsidRPr="00C04546">
        <w:rPr>
          <w:rFonts w:asciiTheme="minorHAnsi" w:hAnsiTheme="minorHAnsi" w:cstheme="minorHAnsi"/>
          <w:sz w:val="24"/>
          <w:szCs w:val="24"/>
        </w:rPr>
        <w:t xml:space="preserve"> </w:t>
      </w:r>
      <w:r w:rsidR="00C04546" w:rsidRPr="00C04546">
        <w:rPr>
          <w:rFonts w:asciiTheme="minorHAnsi" w:hAnsiTheme="minorHAnsi" w:cstheme="minorHAnsi"/>
          <w:sz w:val="24"/>
          <w:szCs w:val="24"/>
        </w:rPr>
        <w:t xml:space="preserve">with </w:t>
      </w:r>
      <w:r w:rsidR="00DE4F00" w:rsidRPr="00C04546">
        <w:rPr>
          <w:rFonts w:asciiTheme="minorHAnsi" w:hAnsiTheme="minorHAnsi" w:cstheme="minorHAnsi"/>
          <w:sz w:val="24"/>
          <w:szCs w:val="24"/>
        </w:rPr>
        <w:t>the resources provided from the central retained element of the Early Years DSG</w:t>
      </w:r>
      <w:r w:rsidR="00C41897" w:rsidRPr="00C04546">
        <w:rPr>
          <w:rFonts w:asciiTheme="minorHAnsi" w:hAnsiTheme="minorHAnsi" w:cstheme="minorHAnsi"/>
          <w:sz w:val="24"/>
          <w:szCs w:val="24"/>
        </w:rPr>
        <w:t xml:space="preserve"> and the Innovate to Save funding</w:t>
      </w:r>
      <w:r w:rsidR="00DE4F00" w:rsidRPr="00C04546">
        <w:rPr>
          <w:rFonts w:asciiTheme="minorHAnsi" w:hAnsiTheme="minorHAnsi" w:cstheme="minorHAnsi"/>
          <w:sz w:val="24"/>
          <w:szCs w:val="24"/>
        </w:rPr>
        <w:t>.</w:t>
      </w:r>
    </w:p>
    <w:p w14:paraId="02AE7706" w14:textId="77777777" w:rsidR="00DE4F00" w:rsidRPr="00A758F9" w:rsidRDefault="00DE4F00" w:rsidP="00242C0B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 xml:space="preserve">The main focus of work this year has </w:t>
      </w:r>
      <w:proofErr w:type="gramStart"/>
      <w:r w:rsidRPr="00A758F9">
        <w:rPr>
          <w:rFonts w:asciiTheme="minorHAnsi" w:hAnsiTheme="minorHAnsi" w:cstheme="minorHAnsi"/>
          <w:sz w:val="24"/>
          <w:szCs w:val="24"/>
        </w:rPr>
        <w:t>been:-</w:t>
      </w:r>
      <w:proofErr w:type="gramEnd"/>
    </w:p>
    <w:p w14:paraId="6FEEB4C2" w14:textId="1F30F63D" w:rsidR="00507D45" w:rsidRPr="00A758F9" w:rsidRDefault="00775E2A" w:rsidP="00DE4F00">
      <w:pPr>
        <w:pStyle w:val="NoSpacing"/>
        <w:numPr>
          <w:ilvl w:val="0"/>
          <w:numId w:val="32"/>
        </w:numPr>
        <w:spacing w:after="120"/>
        <w:ind w:hanging="294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 xml:space="preserve">Delivery of the </w:t>
      </w:r>
      <w:proofErr w:type="spellStart"/>
      <w:r w:rsidRPr="00A758F9">
        <w:rPr>
          <w:rFonts w:asciiTheme="minorHAnsi" w:hAnsiTheme="minorHAnsi" w:cstheme="minorHAnsi"/>
          <w:sz w:val="24"/>
          <w:szCs w:val="24"/>
        </w:rPr>
        <w:t>WellComm</w:t>
      </w:r>
      <w:proofErr w:type="spellEnd"/>
      <w:r w:rsidRPr="00A758F9">
        <w:rPr>
          <w:rFonts w:asciiTheme="minorHAnsi" w:hAnsiTheme="minorHAnsi" w:cstheme="minorHAnsi"/>
          <w:sz w:val="24"/>
          <w:szCs w:val="24"/>
        </w:rPr>
        <w:t xml:space="preserve"> project within the overall developing Speech and Language </w:t>
      </w:r>
      <w:r w:rsidR="00507D45" w:rsidRPr="00A758F9">
        <w:rPr>
          <w:rFonts w:asciiTheme="minorHAnsi" w:hAnsiTheme="minorHAnsi" w:cstheme="minorHAnsi"/>
          <w:sz w:val="24"/>
          <w:szCs w:val="24"/>
        </w:rPr>
        <w:t>strategy for the city.</w:t>
      </w:r>
      <w:r w:rsidRPr="00A758F9">
        <w:rPr>
          <w:rFonts w:asciiTheme="minorHAnsi" w:hAnsiTheme="minorHAnsi" w:cstheme="minorHAnsi"/>
          <w:sz w:val="24"/>
          <w:szCs w:val="24"/>
        </w:rPr>
        <w:t xml:space="preserve"> </w:t>
      </w:r>
      <w:r w:rsidR="00507D45" w:rsidRPr="00A758F9">
        <w:rPr>
          <w:rFonts w:asciiTheme="minorHAnsi" w:hAnsiTheme="minorHAnsi" w:cstheme="minorHAnsi"/>
          <w:sz w:val="24"/>
          <w:szCs w:val="24"/>
        </w:rPr>
        <w:t xml:space="preserve">This has now been rolled out across </w:t>
      </w:r>
      <w:r w:rsidR="00EF6BB4" w:rsidRPr="00A758F9">
        <w:rPr>
          <w:rFonts w:asciiTheme="minorHAnsi" w:hAnsiTheme="minorHAnsi" w:cstheme="minorHAnsi"/>
          <w:sz w:val="24"/>
          <w:szCs w:val="24"/>
        </w:rPr>
        <w:t xml:space="preserve">all 10 districts and changes are being made to the Impulse system to allow for the development of a baseline data collection at child level </w:t>
      </w:r>
      <w:r w:rsidR="0091584F" w:rsidRPr="00A758F9">
        <w:rPr>
          <w:rFonts w:asciiTheme="minorHAnsi" w:hAnsiTheme="minorHAnsi" w:cstheme="minorHAnsi"/>
          <w:sz w:val="24"/>
          <w:szCs w:val="24"/>
        </w:rPr>
        <w:t xml:space="preserve">to enable progress tracking </w:t>
      </w:r>
      <w:r w:rsidR="00C07F6B" w:rsidRPr="00A758F9">
        <w:rPr>
          <w:rFonts w:asciiTheme="minorHAnsi" w:hAnsiTheme="minorHAnsi" w:cstheme="minorHAnsi"/>
          <w:sz w:val="24"/>
          <w:szCs w:val="24"/>
        </w:rPr>
        <w:t>of</w:t>
      </w:r>
      <w:r w:rsidR="0091584F" w:rsidRPr="00A758F9">
        <w:rPr>
          <w:rFonts w:asciiTheme="minorHAnsi" w:hAnsiTheme="minorHAnsi" w:cstheme="minorHAnsi"/>
          <w:sz w:val="24"/>
          <w:szCs w:val="24"/>
        </w:rPr>
        <w:t xml:space="preserve"> a </w:t>
      </w:r>
      <w:r w:rsidR="00C07F6B" w:rsidRPr="00A758F9">
        <w:rPr>
          <w:rFonts w:asciiTheme="minorHAnsi" w:hAnsiTheme="minorHAnsi" w:cstheme="minorHAnsi"/>
          <w:sz w:val="24"/>
          <w:szCs w:val="24"/>
        </w:rPr>
        <w:t>child’s</w:t>
      </w:r>
      <w:r w:rsidR="0091584F" w:rsidRPr="00A758F9">
        <w:rPr>
          <w:rFonts w:asciiTheme="minorHAnsi" w:hAnsiTheme="minorHAnsi" w:cstheme="minorHAnsi"/>
          <w:sz w:val="24"/>
          <w:szCs w:val="24"/>
        </w:rPr>
        <w:t xml:space="preserve"> journey of being ready for school</w:t>
      </w:r>
      <w:r w:rsidR="00C07F6B" w:rsidRPr="00A758F9">
        <w:rPr>
          <w:rFonts w:asciiTheme="minorHAnsi" w:hAnsiTheme="minorHAnsi" w:cstheme="minorHAnsi"/>
          <w:sz w:val="24"/>
          <w:szCs w:val="24"/>
        </w:rPr>
        <w:t>.</w:t>
      </w:r>
    </w:p>
    <w:p w14:paraId="7A18DAF2" w14:textId="6D849B1E" w:rsidR="00DE4F00" w:rsidRPr="00A758F9" w:rsidRDefault="00C07F6B" w:rsidP="00DE4F00">
      <w:pPr>
        <w:pStyle w:val="NoSpacing"/>
        <w:numPr>
          <w:ilvl w:val="0"/>
          <w:numId w:val="32"/>
        </w:numPr>
        <w:spacing w:after="120"/>
        <w:ind w:hanging="294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>SEND</w:t>
      </w:r>
      <w:r w:rsidR="00DE4F00" w:rsidRPr="00A758F9">
        <w:rPr>
          <w:rFonts w:asciiTheme="minorHAnsi" w:hAnsiTheme="minorHAnsi" w:cstheme="minorHAnsi"/>
          <w:sz w:val="24"/>
          <w:szCs w:val="24"/>
        </w:rPr>
        <w:t xml:space="preserve"> –Early Years </w:t>
      </w:r>
      <w:r w:rsidR="0005785C" w:rsidRPr="00A758F9">
        <w:rPr>
          <w:rFonts w:asciiTheme="minorHAnsi" w:hAnsiTheme="minorHAnsi" w:cstheme="minorHAnsi"/>
          <w:sz w:val="24"/>
          <w:szCs w:val="24"/>
        </w:rPr>
        <w:t>has</w:t>
      </w:r>
      <w:r w:rsidR="00890AB0" w:rsidRPr="00A758F9">
        <w:rPr>
          <w:rFonts w:asciiTheme="minorHAnsi" w:hAnsiTheme="minorHAnsi" w:cstheme="minorHAnsi"/>
          <w:sz w:val="24"/>
          <w:szCs w:val="24"/>
        </w:rPr>
        <w:t xml:space="preserve"> (and contin</w:t>
      </w:r>
      <w:r w:rsidR="00967BAF">
        <w:rPr>
          <w:rFonts w:asciiTheme="minorHAnsi" w:hAnsiTheme="minorHAnsi" w:cstheme="minorHAnsi"/>
          <w:sz w:val="24"/>
          <w:szCs w:val="24"/>
        </w:rPr>
        <w:t>ue</w:t>
      </w:r>
      <w:r w:rsidR="00890AB0" w:rsidRPr="00A758F9">
        <w:rPr>
          <w:rFonts w:asciiTheme="minorHAnsi" w:hAnsiTheme="minorHAnsi" w:cstheme="minorHAnsi"/>
          <w:sz w:val="24"/>
          <w:szCs w:val="24"/>
        </w:rPr>
        <w:t xml:space="preserve">s to be) </w:t>
      </w:r>
      <w:r w:rsidR="00DE4F00" w:rsidRPr="00A758F9">
        <w:rPr>
          <w:rFonts w:asciiTheme="minorHAnsi" w:hAnsiTheme="minorHAnsi" w:cstheme="minorHAnsi"/>
          <w:sz w:val="24"/>
          <w:szCs w:val="24"/>
        </w:rPr>
        <w:t>fully considered within the wider Council review of SEND.</w:t>
      </w:r>
    </w:p>
    <w:p w14:paraId="75B51FDF" w14:textId="77777777" w:rsidR="000251E1" w:rsidRPr="00A758F9" w:rsidRDefault="00653B83" w:rsidP="00DE4F00">
      <w:pPr>
        <w:pStyle w:val="NoSpacing"/>
        <w:numPr>
          <w:ilvl w:val="0"/>
          <w:numId w:val="32"/>
        </w:numPr>
        <w:spacing w:after="12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 xml:space="preserve">Focus on improving the take-up rates of </w:t>
      </w:r>
      <w:r w:rsidR="00330AD4" w:rsidRPr="00A758F9">
        <w:rPr>
          <w:rFonts w:asciiTheme="minorHAnsi" w:hAnsiTheme="minorHAnsi" w:cstheme="minorHAnsi"/>
          <w:sz w:val="24"/>
          <w:szCs w:val="24"/>
        </w:rPr>
        <w:t xml:space="preserve">2-year-olds – Working with </w:t>
      </w:r>
      <w:r w:rsidR="000251E1" w:rsidRPr="00A758F9">
        <w:rPr>
          <w:rFonts w:asciiTheme="minorHAnsi" w:hAnsiTheme="minorHAnsi" w:cstheme="minorHAnsi"/>
          <w:sz w:val="24"/>
          <w:szCs w:val="24"/>
        </w:rPr>
        <w:t>Children’s</w:t>
      </w:r>
      <w:r w:rsidR="00330AD4" w:rsidRPr="00A758F9">
        <w:rPr>
          <w:rFonts w:asciiTheme="minorHAnsi" w:hAnsiTheme="minorHAnsi" w:cstheme="minorHAnsi"/>
          <w:sz w:val="24"/>
          <w:szCs w:val="24"/>
        </w:rPr>
        <w:t xml:space="preserve"> Centres and other professionals to encourage the take-up of the </w:t>
      </w:r>
      <w:r w:rsidR="000251E1" w:rsidRPr="00A758F9">
        <w:rPr>
          <w:rFonts w:asciiTheme="minorHAnsi" w:hAnsiTheme="minorHAnsi" w:cstheme="minorHAnsi"/>
          <w:sz w:val="24"/>
          <w:szCs w:val="24"/>
        </w:rPr>
        <w:t xml:space="preserve">targeted 2-year-old offer. </w:t>
      </w:r>
    </w:p>
    <w:p w14:paraId="269477D8" w14:textId="511F84D4" w:rsidR="00DE4F00" w:rsidRPr="00A758F9" w:rsidRDefault="00DE4F00" w:rsidP="00DE4F00">
      <w:pPr>
        <w:pStyle w:val="NoSpacing"/>
        <w:numPr>
          <w:ilvl w:val="0"/>
          <w:numId w:val="32"/>
        </w:numPr>
        <w:spacing w:after="12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>Annual Rates Review for 2</w:t>
      </w:r>
      <w:r w:rsidR="00890AB0" w:rsidRPr="00A758F9">
        <w:rPr>
          <w:rFonts w:asciiTheme="minorHAnsi" w:hAnsiTheme="minorHAnsi" w:cstheme="minorHAnsi"/>
          <w:sz w:val="24"/>
          <w:szCs w:val="24"/>
        </w:rPr>
        <w:t>2</w:t>
      </w:r>
      <w:r w:rsidRPr="00A758F9">
        <w:rPr>
          <w:rFonts w:asciiTheme="minorHAnsi" w:hAnsiTheme="minorHAnsi" w:cstheme="minorHAnsi"/>
          <w:sz w:val="24"/>
          <w:szCs w:val="24"/>
        </w:rPr>
        <w:t>/2</w:t>
      </w:r>
      <w:r w:rsidR="00653B83" w:rsidRPr="00A758F9">
        <w:rPr>
          <w:rFonts w:asciiTheme="minorHAnsi" w:hAnsiTheme="minorHAnsi" w:cstheme="minorHAnsi"/>
          <w:sz w:val="24"/>
          <w:szCs w:val="24"/>
        </w:rPr>
        <w:t>3</w:t>
      </w:r>
      <w:r w:rsidRPr="00A758F9">
        <w:rPr>
          <w:rFonts w:asciiTheme="minorHAnsi" w:hAnsiTheme="minorHAnsi" w:cstheme="minorHAnsi"/>
          <w:sz w:val="24"/>
          <w:szCs w:val="24"/>
        </w:rPr>
        <w:t xml:space="preserve"> – This was </w:t>
      </w:r>
      <w:r w:rsidR="006D5D4B" w:rsidRPr="00A758F9">
        <w:rPr>
          <w:rFonts w:asciiTheme="minorHAnsi" w:hAnsiTheme="minorHAnsi" w:cstheme="minorHAnsi"/>
          <w:sz w:val="24"/>
          <w:szCs w:val="24"/>
        </w:rPr>
        <w:t xml:space="preserve">delayed in order to be able to take account of the Comprehensive Spending Review which wasn’t announced until November. As in previous years </w:t>
      </w:r>
      <w:r w:rsidRPr="00A758F9">
        <w:rPr>
          <w:rFonts w:asciiTheme="minorHAnsi" w:hAnsiTheme="minorHAnsi" w:cstheme="minorHAnsi"/>
          <w:sz w:val="24"/>
          <w:szCs w:val="24"/>
        </w:rPr>
        <w:t>a focus group was set-up as a consultative group</w:t>
      </w:r>
      <w:r w:rsidR="006D5D4B" w:rsidRPr="00A758F9">
        <w:rPr>
          <w:rFonts w:asciiTheme="minorHAnsi" w:hAnsiTheme="minorHAnsi" w:cstheme="minorHAnsi"/>
          <w:sz w:val="24"/>
          <w:szCs w:val="24"/>
        </w:rPr>
        <w:t xml:space="preserve"> with an open invitation sent to ALL </w:t>
      </w:r>
      <w:r w:rsidR="00B33994" w:rsidRPr="00A758F9">
        <w:rPr>
          <w:rFonts w:asciiTheme="minorHAnsi" w:hAnsiTheme="minorHAnsi" w:cstheme="minorHAnsi"/>
          <w:sz w:val="24"/>
          <w:szCs w:val="24"/>
        </w:rPr>
        <w:t>early education funded settings in the City.</w:t>
      </w:r>
      <w:r w:rsidRPr="00A758F9">
        <w:rPr>
          <w:rFonts w:asciiTheme="minorHAnsi" w:hAnsiTheme="minorHAnsi" w:cstheme="minorHAnsi"/>
          <w:sz w:val="24"/>
          <w:szCs w:val="24"/>
        </w:rPr>
        <w:t xml:space="preserve"> </w:t>
      </w:r>
      <w:r w:rsidR="00B33994" w:rsidRPr="00A758F9">
        <w:rPr>
          <w:rFonts w:asciiTheme="minorHAnsi" w:hAnsiTheme="minorHAnsi" w:cstheme="minorHAnsi"/>
          <w:sz w:val="24"/>
          <w:szCs w:val="24"/>
        </w:rPr>
        <w:t>T</w:t>
      </w:r>
      <w:r w:rsidRPr="00A758F9">
        <w:rPr>
          <w:rFonts w:asciiTheme="minorHAnsi" w:hAnsiTheme="minorHAnsi" w:cstheme="minorHAnsi"/>
          <w:sz w:val="24"/>
          <w:szCs w:val="24"/>
        </w:rPr>
        <w:t xml:space="preserve">he outcomes of the focus group </w:t>
      </w:r>
      <w:r w:rsidR="00B33994" w:rsidRPr="00A758F9">
        <w:rPr>
          <w:rFonts w:asciiTheme="minorHAnsi" w:hAnsiTheme="minorHAnsi" w:cstheme="minorHAnsi"/>
          <w:sz w:val="24"/>
          <w:szCs w:val="24"/>
        </w:rPr>
        <w:t xml:space="preserve">were developed </w:t>
      </w:r>
      <w:r w:rsidR="00AC4E4B" w:rsidRPr="00A758F9">
        <w:rPr>
          <w:rFonts w:asciiTheme="minorHAnsi" w:hAnsiTheme="minorHAnsi" w:cstheme="minorHAnsi"/>
          <w:sz w:val="24"/>
          <w:szCs w:val="24"/>
        </w:rPr>
        <w:t xml:space="preserve">into </w:t>
      </w:r>
      <w:r w:rsidRPr="00A758F9">
        <w:rPr>
          <w:rFonts w:asciiTheme="minorHAnsi" w:hAnsiTheme="minorHAnsi" w:cstheme="minorHAnsi"/>
          <w:sz w:val="24"/>
          <w:szCs w:val="24"/>
        </w:rPr>
        <w:t xml:space="preserve">the report for Early Years Forum. </w:t>
      </w:r>
    </w:p>
    <w:p w14:paraId="0399ADDF" w14:textId="39A2C994" w:rsidR="00DF5859" w:rsidRPr="00A758F9" w:rsidRDefault="005C3C53" w:rsidP="00FE35F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758F9">
        <w:rPr>
          <w:rFonts w:asciiTheme="minorHAnsi" w:hAnsiTheme="minorHAnsi" w:cstheme="minorHAnsi"/>
          <w:sz w:val="24"/>
          <w:szCs w:val="24"/>
        </w:rPr>
        <w:t>T</w:t>
      </w:r>
      <w:r w:rsidR="00405C66" w:rsidRPr="00A758F9">
        <w:rPr>
          <w:rFonts w:asciiTheme="minorHAnsi" w:hAnsiTheme="minorHAnsi" w:cstheme="minorHAnsi"/>
          <w:sz w:val="24"/>
          <w:szCs w:val="24"/>
        </w:rPr>
        <w:t xml:space="preserve">his paper outlines the </w:t>
      </w:r>
      <w:r w:rsidRPr="00A758F9">
        <w:rPr>
          <w:rFonts w:asciiTheme="minorHAnsi" w:hAnsiTheme="minorHAnsi" w:cstheme="minorHAnsi"/>
          <w:sz w:val="24"/>
          <w:szCs w:val="24"/>
        </w:rPr>
        <w:t xml:space="preserve">annual review undertaken and </w:t>
      </w:r>
      <w:r w:rsidR="00405C66" w:rsidRPr="00A758F9">
        <w:rPr>
          <w:rFonts w:asciiTheme="minorHAnsi" w:hAnsiTheme="minorHAnsi" w:cstheme="minorHAnsi"/>
          <w:sz w:val="24"/>
          <w:szCs w:val="24"/>
        </w:rPr>
        <w:t xml:space="preserve">recommendations for the allocation of the </w:t>
      </w:r>
      <w:r w:rsidRPr="00A758F9">
        <w:rPr>
          <w:rFonts w:asciiTheme="minorHAnsi" w:hAnsiTheme="minorHAnsi" w:cstheme="minorHAnsi"/>
          <w:sz w:val="24"/>
          <w:szCs w:val="24"/>
        </w:rPr>
        <w:t xml:space="preserve">Early Years </w:t>
      </w:r>
      <w:r w:rsidR="00405C66" w:rsidRPr="00A758F9">
        <w:rPr>
          <w:rFonts w:asciiTheme="minorHAnsi" w:hAnsiTheme="minorHAnsi" w:cstheme="minorHAnsi"/>
          <w:sz w:val="24"/>
          <w:szCs w:val="24"/>
        </w:rPr>
        <w:t>funding block</w:t>
      </w:r>
      <w:r w:rsidR="00656979" w:rsidRPr="00A758F9">
        <w:rPr>
          <w:rFonts w:asciiTheme="minorHAnsi" w:hAnsiTheme="minorHAnsi" w:cstheme="minorHAnsi"/>
          <w:sz w:val="24"/>
          <w:szCs w:val="24"/>
        </w:rPr>
        <w:t xml:space="preserve"> for </w:t>
      </w:r>
      <w:r w:rsidR="00A758F9" w:rsidRPr="00A758F9">
        <w:rPr>
          <w:rFonts w:asciiTheme="minorHAnsi" w:hAnsiTheme="minorHAnsi" w:cstheme="minorHAnsi"/>
          <w:sz w:val="24"/>
          <w:szCs w:val="24"/>
        </w:rPr>
        <w:t>the next 3-years associated to the CSR (</w:t>
      </w:r>
      <w:r w:rsidR="00656979" w:rsidRPr="00A758F9">
        <w:rPr>
          <w:rFonts w:asciiTheme="minorHAnsi" w:hAnsiTheme="minorHAnsi" w:cstheme="minorHAnsi"/>
          <w:sz w:val="24"/>
          <w:szCs w:val="24"/>
        </w:rPr>
        <w:t>20</w:t>
      </w:r>
      <w:r w:rsidR="00E50292" w:rsidRPr="00A758F9">
        <w:rPr>
          <w:rFonts w:asciiTheme="minorHAnsi" w:hAnsiTheme="minorHAnsi" w:cstheme="minorHAnsi"/>
          <w:sz w:val="24"/>
          <w:szCs w:val="24"/>
        </w:rPr>
        <w:t>2</w:t>
      </w:r>
      <w:r w:rsidR="00AC4E4B" w:rsidRPr="00A758F9">
        <w:rPr>
          <w:rFonts w:asciiTheme="minorHAnsi" w:hAnsiTheme="minorHAnsi" w:cstheme="minorHAnsi"/>
          <w:sz w:val="24"/>
          <w:szCs w:val="24"/>
        </w:rPr>
        <w:t>2</w:t>
      </w:r>
      <w:r w:rsidR="00656979" w:rsidRPr="00A758F9">
        <w:rPr>
          <w:rFonts w:asciiTheme="minorHAnsi" w:hAnsiTheme="minorHAnsi" w:cstheme="minorHAnsi"/>
          <w:sz w:val="24"/>
          <w:szCs w:val="24"/>
        </w:rPr>
        <w:t>/2</w:t>
      </w:r>
      <w:r w:rsidR="00AC4E4B" w:rsidRPr="00A758F9">
        <w:rPr>
          <w:rFonts w:asciiTheme="minorHAnsi" w:hAnsiTheme="minorHAnsi" w:cstheme="minorHAnsi"/>
          <w:sz w:val="24"/>
          <w:szCs w:val="24"/>
        </w:rPr>
        <w:t>5</w:t>
      </w:r>
      <w:r w:rsidR="00A758F9" w:rsidRPr="00A758F9">
        <w:rPr>
          <w:rFonts w:asciiTheme="minorHAnsi" w:hAnsiTheme="minorHAnsi" w:cstheme="minorHAnsi"/>
          <w:sz w:val="24"/>
          <w:szCs w:val="24"/>
        </w:rPr>
        <w:t>)</w:t>
      </w:r>
      <w:r w:rsidR="00405C66" w:rsidRPr="00A758F9">
        <w:rPr>
          <w:rFonts w:asciiTheme="minorHAnsi" w:hAnsiTheme="minorHAnsi" w:cstheme="minorHAnsi"/>
          <w:sz w:val="24"/>
          <w:szCs w:val="24"/>
        </w:rPr>
        <w:t>.</w:t>
      </w:r>
    </w:p>
    <w:p w14:paraId="39B006B3" w14:textId="77777777" w:rsidR="00632419" w:rsidRDefault="00632419" w:rsidP="00EB6BA8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</w:p>
    <w:p w14:paraId="43E528A8" w14:textId="2DEE6AD6" w:rsidR="000F6E3D" w:rsidRPr="00CE0312" w:rsidRDefault="000F6E3D" w:rsidP="00FE35F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0312">
        <w:rPr>
          <w:rFonts w:asciiTheme="minorHAnsi" w:hAnsiTheme="minorHAnsi" w:cstheme="minorHAnsi"/>
          <w:b/>
          <w:sz w:val="24"/>
          <w:szCs w:val="24"/>
          <w:u w:val="single"/>
        </w:rPr>
        <w:t xml:space="preserve">Annual Review </w:t>
      </w:r>
      <w:r w:rsidR="009F74A0" w:rsidRPr="00CE0312">
        <w:rPr>
          <w:rFonts w:asciiTheme="minorHAnsi" w:hAnsiTheme="minorHAnsi" w:cstheme="minorHAnsi"/>
          <w:b/>
          <w:sz w:val="24"/>
          <w:szCs w:val="24"/>
          <w:u w:val="single"/>
        </w:rPr>
        <w:t xml:space="preserve">Process </w:t>
      </w:r>
      <w:r w:rsidRPr="00CE0312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A758F9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CE0312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A758F9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</w:p>
    <w:p w14:paraId="21FE3DC2" w14:textId="31940F06" w:rsidR="000F6E3D" w:rsidRDefault="000F6E3D" w:rsidP="000F6E3D">
      <w:pPr>
        <w:pStyle w:val="NoSpacing"/>
        <w:ind w:left="6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C6654E" w14:textId="6998DA1E" w:rsidR="00500156" w:rsidRPr="003A4330" w:rsidRDefault="00500156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A4330">
        <w:rPr>
          <w:rFonts w:asciiTheme="minorHAnsi" w:hAnsiTheme="minorHAnsi" w:cstheme="minorHAnsi"/>
          <w:sz w:val="24"/>
          <w:szCs w:val="24"/>
        </w:rPr>
        <w:t xml:space="preserve">The annual review has </w:t>
      </w:r>
      <w:r w:rsidR="003A4330">
        <w:rPr>
          <w:rFonts w:asciiTheme="minorHAnsi" w:hAnsiTheme="minorHAnsi" w:cstheme="minorHAnsi"/>
          <w:sz w:val="24"/>
          <w:szCs w:val="24"/>
        </w:rPr>
        <w:t xml:space="preserve">again </w:t>
      </w:r>
      <w:r w:rsidRPr="003A4330">
        <w:rPr>
          <w:rFonts w:asciiTheme="minorHAnsi" w:hAnsiTheme="minorHAnsi" w:cstheme="minorHAnsi"/>
          <w:sz w:val="24"/>
          <w:szCs w:val="24"/>
        </w:rPr>
        <w:t xml:space="preserve">considered the </w:t>
      </w:r>
      <w:r w:rsidR="00017CE9" w:rsidRPr="003A4330">
        <w:rPr>
          <w:rFonts w:asciiTheme="minorHAnsi" w:hAnsiTheme="minorHAnsi" w:cstheme="minorHAnsi"/>
          <w:sz w:val="24"/>
          <w:szCs w:val="24"/>
        </w:rPr>
        <w:t xml:space="preserve">3 different aspects that make up the Early Years </w:t>
      </w:r>
      <w:proofErr w:type="gramStart"/>
      <w:r w:rsidR="00017CE9" w:rsidRPr="003A4330">
        <w:rPr>
          <w:rFonts w:asciiTheme="minorHAnsi" w:hAnsiTheme="minorHAnsi" w:cstheme="minorHAnsi"/>
          <w:sz w:val="24"/>
          <w:szCs w:val="24"/>
        </w:rPr>
        <w:t>Block:-</w:t>
      </w:r>
      <w:proofErr w:type="gramEnd"/>
    </w:p>
    <w:p w14:paraId="3D82D8CD" w14:textId="378F935E" w:rsidR="00017CE9" w:rsidRPr="003A4330" w:rsidRDefault="00017CE9" w:rsidP="00017CE9">
      <w:pPr>
        <w:pStyle w:val="NoSpacing"/>
        <w:numPr>
          <w:ilvl w:val="0"/>
          <w:numId w:val="3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A4330">
        <w:rPr>
          <w:rFonts w:asciiTheme="minorHAnsi" w:hAnsiTheme="minorHAnsi" w:cstheme="minorHAnsi"/>
          <w:sz w:val="24"/>
          <w:szCs w:val="24"/>
        </w:rPr>
        <w:t>Centrally Retained Element</w:t>
      </w:r>
      <w:r w:rsidR="005D1768" w:rsidRPr="003A4330">
        <w:rPr>
          <w:rFonts w:asciiTheme="minorHAnsi" w:hAnsiTheme="minorHAnsi" w:cstheme="minorHAnsi"/>
          <w:sz w:val="24"/>
          <w:szCs w:val="24"/>
        </w:rPr>
        <w:t xml:space="preserve"> (Maximum of 5%)</w:t>
      </w:r>
    </w:p>
    <w:p w14:paraId="59634AA7" w14:textId="07E5AF14" w:rsidR="00017CE9" w:rsidRPr="003A4330" w:rsidRDefault="003D0A0D" w:rsidP="00017CE9">
      <w:pPr>
        <w:pStyle w:val="NoSpacing"/>
        <w:numPr>
          <w:ilvl w:val="0"/>
          <w:numId w:val="3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A4330">
        <w:rPr>
          <w:rFonts w:asciiTheme="minorHAnsi" w:hAnsiTheme="minorHAnsi" w:cstheme="minorHAnsi"/>
          <w:sz w:val="24"/>
          <w:szCs w:val="24"/>
        </w:rPr>
        <w:t>Deprivation / FSM Supplements</w:t>
      </w:r>
    </w:p>
    <w:p w14:paraId="117A4D16" w14:textId="66D22A08" w:rsidR="003D0A0D" w:rsidRPr="003A4330" w:rsidRDefault="003D0A0D" w:rsidP="00017CE9">
      <w:pPr>
        <w:pStyle w:val="NoSpacing"/>
        <w:numPr>
          <w:ilvl w:val="0"/>
          <w:numId w:val="3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A4330">
        <w:rPr>
          <w:rFonts w:asciiTheme="minorHAnsi" w:hAnsiTheme="minorHAnsi" w:cstheme="minorHAnsi"/>
          <w:sz w:val="24"/>
          <w:szCs w:val="24"/>
        </w:rPr>
        <w:t xml:space="preserve">Rates to providers for 2, </w:t>
      </w:r>
      <w:r w:rsidR="007C659D" w:rsidRPr="003A4330">
        <w:rPr>
          <w:rFonts w:asciiTheme="minorHAnsi" w:hAnsiTheme="minorHAnsi" w:cstheme="minorHAnsi"/>
          <w:sz w:val="24"/>
          <w:szCs w:val="24"/>
        </w:rPr>
        <w:t>3- and 4-year</w:t>
      </w:r>
      <w:r w:rsidRPr="003A4330">
        <w:rPr>
          <w:rFonts w:asciiTheme="minorHAnsi" w:hAnsiTheme="minorHAnsi" w:cstheme="minorHAnsi"/>
          <w:sz w:val="24"/>
          <w:szCs w:val="24"/>
        </w:rPr>
        <w:t xml:space="preserve"> olds.</w:t>
      </w:r>
    </w:p>
    <w:p w14:paraId="2F6AE232" w14:textId="7F629E94" w:rsidR="00455E6A" w:rsidRPr="004A4325" w:rsidRDefault="007C3EB0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4A4325">
        <w:rPr>
          <w:rFonts w:asciiTheme="minorHAnsi" w:hAnsiTheme="minorHAnsi" w:cstheme="minorHAnsi"/>
          <w:sz w:val="24"/>
          <w:szCs w:val="24"/>
        </w:rPr>
        <w:t>As set out durin</w:t>
      </w:r>
      <w:r w:rsidR="00F418A5" w:rsidRPr="004A4325">
        <w:rPr>
          <w:rFonts w:asciiTheme="minorHAnsi" w:hAnsiTheme="minorHAnsi" w:cstheme="minorHAnsi"/>
          <w:sz w:val="24"/>
          <w:szCs w:val="24"/>
        </w:rPr>
        <w:t>g the</w:t>
      </w:r>
      <w:r w:rsidRPr="004A4325">
        <w:rPr>
          <w:rFonts w:asciiTheme="minorHAnsi" w:hAnsiTheme="minorHAnsi" w:cstheme="minorHAnsi"/>
          <w:sz w:val="24"/>
          <w:szCs w:val="24"/>
        </w:rPr>
        <w:t xml:space="preserve"> review for 2021/22</w:t>
      </w:r>
      <w:r w:rsidR="00F418A5" w:rsidRPr="004A4325">
        <w:rPr>
          <w:rFonts w:asciiTheme="minorHAnsi" w:hAnsiTheme="minorHAnsi" w:cstheme="minorHAnsi"/>
          <w:sz w:val="24"/>
          <w:szCs w:val="24"/>
        </w:rPr>
        <w:t xml:space="preserve"> this year’s process </w:t>
      </w:r>
      <w:r w:rsidR="004C4B13" w:rsidRPr="004A4325">
        <w:rPr>
          <w:rFonts w:asciiTheme="minorHAnsi" w:hAnsiTheme="minorHAnsi" w:cstheme="minorHAnsi"/>
          <w:sz w:val="24"/>
          <w:szCs w:val="24"/>
        </w:rPr>
        <w:t>has considered t</w:t>
      </w:r>
      <w:r w:rsidR="009522A6" w:rsidRPr="004A4325">
        <w:rPr>
          <w:rFonts w:asciiTheme="minorHAnsi" w:hAnsiTheme="minorHAnsi" w:cstheme="minorHAnsi"/>
          <w:sz w:val="24"/>
          <w:szCs w:val="24"/>
        </w:rPr>
        <w:t>hat the LA does not currently retain the maximum 5% that is allowable within the framework</w:t>
      </w:r>
      <w:r w:rsidR="004C4B13" w:rsidRPr="004A4325">
        <w:rPr>
          <w:rFonts w:asciiTheme="minorHAnsi" w:hAnsiTheme="minorHAnsi" w:cstheme="minorHAnsi"/>
          <w:sz w:val="24"/>
          <w:szCs w:val="24"/>
        </w:rPr>
        <w:t xml:space="preserve"> and the intent to progressively increase the amount towards the full 5%</w:t>
      </w:r>
      <w:r w:rsidR="00452A7F" w:rsidRPr="004A4325">
        <w:rPr>
          <w:rFonts w:asciiTheme="minorHAnsi" w:hAnsiTheme="minorHAnsi" w:cstheme="minorHAnsi"/>
          <w:sz w:val="24"/>
          <w:szCs w:val="24"/>
        </w:rPr>
        <w:t xml:space="preserve">. The LA funding outside of the DSG continues to be under </w:t>
      </w:r>
      <w:r w:rsidR="005A6EC1" w:rsidRPr="004A4325">
        <w:rPr>
          <w:rFonts w:asciiTheme="minorHAnsi" w:hAnsiTheme="minorHAnsi" w:cstheme="minorHAnsi"/>
          <w:sz w:val="24"/>
          <w:szCs w:val="24"/>
        </w:rPr>
        <w:t xml:space="preserve">considerable </w:t>
      </w:r>
      <w:r w:rsidR="00A660FD" w:rsidRPr="004A4325">
        <w:rPr>
          <w:rFonts w:asciiTheme="minorHAnsi" w:hAnsiTheme="minorHAnsi" w:cstheme="minorHAnsi"/>
          <w:sz w:val="24"/>
          <w:szCs w:val="24"/>
        </w:rPr>
        <w:t xml:space="preserve">pressure due to the ongoing COVID-19 pandemic. The activity of the </w:t>
      </w:r>
      <w:r w:rsidR="001E4309" w:rsidRPr="004A4325">
        <w:rPr>
          <w:rFonts w:asciiTheme="minorHAnsi" w:hAnsiTheme="minorHAnsi" w:cstheme="minorHAnsi"/>
          <w:sz w:val="24"/>
          <w:szCs w:val="24"/>
        </w:rPr>
        <w:t xml:space="preserve">central teams that support the delivery of the early years education entitlement continue to be funded from the </w:t>
      </w:r>
      <w:r w:rsidR="00286975" w:rsidRPr="004A4325">
        <w:rPr>
          <w:rFonts w:asciiTheme="minorHAnsi" w:hAnsiTheme="minorHAnsi" w:cstheme="minorHAnsi"/>
          <w:sz w:val="24"/>
          <w:szCs w:val="24"/>
        </w:rPr>
        <w:t xml:space="preserve">centrally retained EY DSG – with a high level of support being </w:t>
      </w:r>
      <w:r w:rsidR="00286975" w:rsidRPr="004A4325">
        <w:rPr>
          <w:rFonts w:asciiTheme="minorHAnsi" w:hAnsiTheme="minorHAnsi" w:cstheme="minorHAnsi"/>
          <w:sz w:val="24"/>
          <w:szCs w:val="24"/>
        </w:rPr>
        <w:lastRenderedPageBreak/>
        <w:t>offered univer</w:t>
      </w:r>
      <w:r w:rsidR="004A4325" w:rsidRPr="004A4325">
        <w:rPr>
          <w:rFonts w:asciiTheme="minorHAnsi" w:hAnsiTheme="minorHAnsi" w:cstheme="minorHAnsi"/>
          <w:sz w:val="24"/>
          <w:szCs w:val="24"/>
        </w:rPr>
        <w:t xml:space="preserve">sally to all </w:t>
      </w:r>
      <w:r w:rsidR="00F70C90" w:rsidRPr="004A4325">
        <w:rPr>
          <w:rFonts w:asciiTheme="minorHAnsi" w:hAnsiTheme="minorHAnsi" w:cstheme="minorHAnsi"/>
          <w:sz w:val="24"/>
          <w:szCs w:val="24"/>
        </w:rPr>
        <w:t xml:space="preserve">early years and childcare providers across the sector due to the ongoing </w:t>
      </w:r>
      <w:r w:rsidR="00F472AC" w:rsidRPr="004A4325">
        <w:rPr>
          <w:rFonts w:asciiTheme="minorHAnsi" w:hAnsiTheme="minorHAnsi" w:cstheme="minorHAnsi"/>
          <w:sz w:val="24"/>
          <w:szCs w:val="24"/>
        </w:rPr>
        <w:t xml:space="preserve">COVID-19 pandemic. </w:t>
      </w:r>
    </w:p>
    <w:p w14:paraId="2671C7C7" w14:textId="2DF15C3E" w:rsidR="00FE35F8" w:rsidRPr="00EB07E3" w:rsidRDefault="00FE35F8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EB07E3">
        <w:rPr>
          <w:rFonts w:asciiTheme="minorHAnsi" w:hAnsiTheme="minorHAnsi" w:cstheme="minorHAnsi"/>
          <w:sz w:val="24"/>
          <w:szCs w:val="24"/>
        </w:rPr>
        <w:t>The local increase for 202</w:t>
      </w:r>
      <w:r w:rsidR="00767D0A" w:rsidRPr="00EB07E3">
        <w:rPr>
          <w:rFonts w:asciiTheme="minorHAnsi" w:hAnsiTheme="minorHAnsi" w:cstheme="minorHAnsi"/>
          <w:sz w:val="24"/>
          <w:szCs w:val="24"/>
        </w:rPr>
        <w:t>1</w:t>
      </w:r>
      <w:r w:rsidRPr="00EB07E3">
        <w:rPr>
          <w:rFonts w:asciiTheme="minorHAnsi" w:hAnsiTheme="minorHAnsi" w:cstheme="minorHAnsi"/>
          <w:sz w:val="24"/>
          <w:szCs w:val="24"/>
        </w:rPr>
        <w:t>/2</w:t>
      </w:r>
      <w:r w:rsidR="00767D0A" w:rsidRPr="00EB07E3">
        <w:rPr>
          <w:rFonts w:asciiTheme="minorHAnsi" w:hAnsiTheme="minorHAnsi" w:cstheme="minorHAnsi"/>
          <w:sz w:val="24"/>
          <w:szCs w:val="24"/>
        </w:rPr>
        <w:t>2</w:t>
      </w:r>
      <w:r w:rsidRPr="00EB07E3">
        <w:rPr>
          <w:rFonts w:asciiTheme="minorHAnsi" w:hAnsiTheme="minorHAnsi" w:cstheme="minorHAnsi"/>
          <w:sz w:val="24"/>
          <w:szCs w:val="24"/>
        </w:rPr>
        <w:t xml:space="preserve"> </w:t>
      </w:r>
      <w:r w:rsidR="000F28B2" w:rsidRPr="00EB07E3">
        <w:rPr>
          <w:rFonts w:asciiTheme="minorHAnsi" w:hAnsiTheme="minorHAnsi" w:cstheme="minorHAnsi"/>
          <w:sz w:val="24"/>
          <w:szCs w:val="24"/>
        </w:rPr>
        <w:t>considered</w:t>
      </w:r>
      <w:r w:rsidRPr="00EB07E3">
        <w:rPr>
          <w:rFonts w:asciiTheme="minorHAnsi" w:hAnsiTheme="minorHAnsi" w:cstheme="minorHAnsi"/>
          <w:sz w:val="24"/>
          <w:szCs w:val="24"/>
        </w:rPr>
        <w:t xml:space="preserve"> the increase of £</w:t>
      </w:r>
      <w:r w:rsidR="00767D0A" w:rsidRPr="00EB07E3">
        <w:rPr>
          <w:rFonts w:asciiTheme="minorHAnsi" w:hAnsiTheme="minorHAnsi" w:cstheme="minorHAnsi"/>
          <w:sz w:val="24"/>
          <w:szCs w:val="24"/>
        </w:rPr>
        <w:t>44</w:t>
      </w:r>
      <w:r w:rsidRPr="00EB07E3">
        <w:rPr>
          <w:rFonts w:asciiTheme="minorHAnsi" w:hAnsiTheme="minorHAnsi" w:cstheme="minorHAnsi"/>
          <w:sz w:val="24"/>
          <w:szCs w:val="24"/>
        </w:rPr>
        <w:t>m national funding leading to an increase in the base rate of £0.08 for 2</w:t>
      </w:r>
      <w:r w:rsidR="00550B6C" w:rsidRPr="00EB07E3">
        <w:rPr>
          <w:rFonts w:asciiTheme="minorHAnsi" w:hAnsiTheme="minorHAnsi" w:cstheme="minorHAnsi"/>
          <w:sz w:val="24"/>
          <w:szCs w:val="24"/>
        </w:rPr>
        <w:t>-year-olds</w:t>
      </w:r>
      <w:r w:rsidRPr="00EB07E3">
        <w:rPr>
          <w:rFonts w:asciiTheme="minorHAnsi" w:hAnsiTheme="minorHAnsi" w:cstheme="minorHAnsi"/>
          <w:sz w:val="24"/>
          <w:szCs w:val="24"/>
        </w:rPr>
        <w:t xml:space="preserve">, </w:t>
      </w:r>
      <w:r w:rsidR="008A299D" w:rsidRPr="00EB07E3">
        <w:rPr>
          <w:rFonts w:asciiTheme="minorHAnsi" w:hAnsiTheme="minorHAnsi" w:cstheme="minorHAnsi"/>
          <w:sz w:val="24"/>
          <w:szCs w:val="24"/>
        </w:rPr>
        <w:t xml:space="preserve">and £0.04 for </w:t>
      </w:r>
      <w:r w:rsidR="000F28B2" w:rsidRPr="00EB07E3">
        <w:rPr>
          <w:rFonts w:asciiTheme="minorHAnsi" w:hAnsiTheme="minorHAnsi" w:cstheme="minorHAnsi"/>
          <w:sz w:val="24"/>
          <w:szCs w:val="24"/>
        </w:rPr>
        <w:t>3- and 4-year</w:t>
      </w:r>
      <w:r w:rsidRPr="00EB07E3">
        <w:rPr>
          <w:rFonts w:asciiTheme="minorHAnsi" w:hAnsiTheme="minorHAnsi" w:cstheme="minorHAnsi"/>
          <w:sz w:val="24"/>
          <w:szCs w:val="24"/>
        </w:rPr>
        <w:t xml:space="preserve"> olds. </w:t>
      </w:r>
      <w:r w:rsidR="00606C51" w:rsidRPr="00EB07E3">
        <w:rPr>
          <w:rFonts w:asciiTheme="minorHAnsi" w:hAnsiTheme="minorHAnsi" w:cstheme="minorHAnsi"/>
          <w:sz w:val="24"/>
          <w:szCs w:val="24"/>
        </w:rPr>
        <w:t xml:space="preserve">This was a 100% pass-through </w:t>
      </w:r>
      <w:r w:rsidR="003D19FE" w:rsidRPr="00EB07E3">
        <w:rPr>
          <w:rFonts w:asciiTheme="minorHAnsi" w:hAnsiTheme="minorHAnsi" w:cstheme="minorHAnsi"/>
          <w:sz w:val="24"/>
          <w:szCs w:val="24"/>
        </w:rPr>
        <w:t>of the increased funding received</w:t>
      </w:r>
      <w:r w:rsidR="001C1195" w:rsidRPr="00EB07E3">
        <w:rPr>
          <w:rFonts w:asciiTheme="minorHAnsi" w:hAnsiTheme="minorHAnsi" w:cstheme="minorHAnsi"/>
          <w:sz w:val="24"/>
          <w:szCs w:val="24"/>
        </w:rPr>
        <w:t xml:space="preserve"> for </w:t>
      </w:r>
      <w:r w:rsidR="000F28B2" w:rsidRPr="00EB07E3">
        <w:rPr>
          <w:rFonts w:asciiTheme="minorHAnsi" w:hAnsiTheme="minorHAnsi" w:cstheme="minorHAnsi"/>
          <w:sz w:val="24"/>
          <w:szCs w:val="24"/>
        </w:rPr>
        <w:t>2-year</w:t>
      </w:r>
      <w:r w:rsidR="00F5241D" w:rsidRPr="00EB07E3">
        <w:rPr>
          <w:rFonts w:asciiTheme="minorHAnsi" w:hAnsiTheme="minorHAnsi" w:cstheme="minorHAnsi"/>
          <w:sz w:val="24"/>
          <w:szCs w:val="24"/>
        </w:rPr>
        <w:t xml:space="preserve"> olds</w:t>
      </w:r>
      <w:r w:rsidR="004A49F3" w:rsidRPr="00EB07E3">
        <w:rPr>
          <w:rFonts w:asciiTheme="minorHAnsi" w:hAnsiTheme="minorHAnsi" w:cstheme="minorHAnsi"/>
          <w:sz w:val="24"/>
          <w:szCs w:val="24"/>
        </w:rPr>
        <w:t xml:space="preserve"> and 66% for </w:t>
      </w:r>
      <w:r w:rsidR="000F28B2" w:rsidRPr="00EB07E3">
        <w:rPr>
          <w:rFonts w:asciiTheme="minorHAnsi" w:hAnsiTheme="minorHAnsi" w:cstheme="minorHAnsi"/>
          <w:sz w:val="24"/>
          <w:szCs w:val="24"/>
        </w:rPr>
        <w:t>3- and 4-year</w:t>
      </w:r>
      <w:r w:rsidR="004A49F3" w:rsidRPr="00EB07E3">
        <w:rPr>
          <w:rFonts w:asciiTheme="minorHAnsi" w:hAnsiTheme="minorHAnsi" w:cstheme="minorHAnsi"/>
          <w:sz w:val="24"/>
          <w:szCs w:val="24"/>
        </w:rPr>
        <w:t xml:space="preserve"> olds.</w:t>
      </w:r>
      <w:r w:rsidR="003D19FE" w:rsidRPr="00EB07E3">
        <w:rPr>
          <w:rFonts w:asciiTheme="minorHAnsi" w:hAnsiTheme="minorHAnsi" w:cstheme="minorHAnsi"/>
          <w:sz w:val="24"/>
          <w:szCs w:val="24"/>
        </w:rPr>
        <w:t xml:space="preserve"> </w:t>
      </w:r>
      <w:r w:rsidRPr="00EB07E3">
        <w:rPr>
          <w:rFonts w:asciiTheme="minorHAnsi" w:hAnsiTheme="minorHAnsi" w:cstheme="minorHAnsi"/>
          <w:sz w:val="24"/>
          <w:szCs w:val="24"/>
        </w:rPr>
        <w:t xml:space="preserve">Deprivation rates </w:t>
      </w:r>
      <w:r w:rsidR="000F28B2" w:rsidRPr="00EB07E3">
        <w:rPr>
          <w:rFonts w:asciiTheme="minorHAnsi" w:hAnsiTheme="minorHAnsi" w:cstheme="minorHAnsi"/>
          <w:sz w:val="24"/>
          <w:szCs w:val="24"/>
        </w:rPr>
        <w:t>were also increase in</w:t>
      </w:r>
      <w:r w:rsidR="004328CD" w:rsidRPr="00EB07E3">
        <w:rPr>
          <w:rFonts w:asciiTheme="minorHAnsi" w:hAnsiTheme="minorHAnsi" w:cstheme="minorHAnsi"/>
          <w:sz w:val="24"/>
          <w:szCs w:val="24"/>
        </w:rPr>
        <w:t xml:space="preserve">-line with inflation for the first time in 4 years. </w:t>
      </w:r>
    </w:p>
    <w:p w14:paraId="420B0DCE" w14:textId="714BA3B4" w:rsidR="00234290" w:rsidRPr="00EB07E3" w:rsidRDefault="000A337A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EB07E3">
        <w:rPr>
          <w:rFonts w:asciiTheme="minorHAnsi" w:hAnsiTheme="minorHAnsi" w:cstheme="minorHAnsi"/>
          <w:sz w:val="24"/>
          <w:szCs w:val="24"/>
        </w:rPr>
        <w:t>There is not a prediction of a</w:t>
      </w:r>
      <w:r w:rsidR="00CA7623" w:rsidRPr="00EB07E3">
        <w:rPr>
          <w:rFonts w:asciiTheme="minorHAnsi" w:hAnsiTheme="minorHAnsi" w:cstheme="minorHAnsi"/>
          <w:sz w:val="24"/>
          <w:szCs w:val="24"/>
        </w:rPr>
        <w:t xml:space="preserve">n underspend on the budget </w:t>
      </w:r>
      <w:r w:rsidRPr="00EB07E3">
        <w:rPr>
          <w:rFonts w:asciiTheme="minorHAnsi" w:hAnsiTheme="minorHAnsi" w:cstheme="minorHAnsi"/>
          <w:sz w:val="24"/>
          <w:szCs w:val="24"/>
        </w:rPr>
        <w:t>for 202</w:t>
      </w:r>
      <w:r w:rsidR="00CB37C6" w:rsidRPr="00EB07E3">
        <w:rPr>
          <w:rFonts w:asciiTheme="minorHAnsi" w:hAnsiTheme="minorHAnsi" w:cstheme="minorHAnsi"/>
          <w:sz w:val="24"/>
          <w:szCs w:val="24"/>
        </w:rPr>
        <w:t>1/22</w:t>
      </w:r>
      <w:r w:rsidR="001B119D" w:rsidRPr="00EB07E3">
        <w:rPr>
          <w:rFonts w:asciiTheme="minorHAnsi" w:hAnsiTheme="minorHAnsi" w:cstheme="minorHAnsi"/>
          <w:sz w:val="24"/>
          <w:szCs w:val="24"/>
        </w:rPr>
        <w:t>.</w:t>
      </w:r>
      <w:r w:rsidRPr="00EB07E3">
        <w:rPr>
          <w:rFonts w:asciiTheme="minorHAnsi" w:hAnsiTheme="minorHAnsi" w:cstheme="minorHAnsi"/>
          <w:sz w:val="24"/>
          <w:szCs w:val="24"/>
        </w:rPr>
        <w:t xml:space="preserve"> </w:t>
      </w:r>
      <w:r w:rsidR="00C34722" w:rsidRPr="00EB07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A934A4" w14:textId="21C3D59A" w:rsidR="00704571" w:rsidRPr="002B1165" w:rsidRDefault="00704571" w:rsidP="00FE35F8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2B1165">
        <w:rPr>
          <w:rFonts w:asciiTheme="minorHAnsi" w:hAnsiTheme="minorHAnsi" w:cstheme="minorHAnsi"/>
          <w:sz w:val="24"/>
          <w:szCs w:val="24"/>
        </w:rPr>
        <w:t xml:space="preserve">The </w:t>
      </w:r>
      <w:r w:rsidR="00700EE3" w:rsidRPr="002B1165">
        <w:rPr>
          <w:rFonts w:asciiTheme="minorHAnsi" w:hAnsiTheme="minorHAnsi" w:cstheme="minorHAnsi"/>
          <w:sz w:val="24"/>
          <w:szCs w:val="24"/>
        </w:rPr>
        <w:t xml:space="preserve">indicative </w:t>
      </w:r>
      <w:r w:rsidR="00785908" w:rsidRPr="002B1165">
        <w:rPr>
          <w:rFonts w:asciiTheme="minorHAnsi" w:hAnsiTheme="minorHAnsi" w:cstheme="minorHAnsi"/>
          <w:sz w:val="24"/>
          <w:szCs w:val="24"/>
        </w:rPr>
        <w:t>allocated budget for the EY Block of the DSG for 202</w:t>
      </w:r>
      <w:r w:rsidR="009D7DBD" w:rsidRPr="002B1165">
        <w:rPr>
          <w:rFonts w:asciiTheme="minorHAnsi" w:hAnsiTheme="minorHAnsi" w:cstheme="minorHAnsi"/>
          <w:sz w:val="24"/>
          <w:szCs w:val="24"/>
        </w:rPr>
        <w:t>2</w:t>
      </w:r>
      <w:r w:rsidR="00785908" w:rsidRPr="002B1165">
        <w:rPr>
          <w:rFonts w:asciiTheme="minorHAnsi" w:hAnsiTheme="minorHAnsi" w:cstheme="minorHAnsi"/>
          <w:sz w:val="24"/>
          <w:szCs w:val="24"/>
        </w:rPr>
        <w:t>/2</w:t>
      </w:r>
      <w:r w:rsidR="009D7DBD" w:rsidRPr="002B1165">
        <w:rPr>
          <w:rFonts w:asciiTheme="minorHAnsi" w:hAnsiTheme="minorHAnsi" w:cstheme="minorHAnsi"/>
          <w:sz w:val="24"/>
          <w:szCs w:val="24"/>
        </w:rPr>
        <w:t xml:space="preserve">3 was confirmed </w:t>
      </w:r>
      <w:r w:rsidR="00700EE3" w:rsidRPr="002B1165">
        <w:rPr>
          <w:rFonts w:asciiTheme="minorHAnsi" w:hAnsiTheme="minorHAnsi" w:cstheme="minorHAnsi"/>
          <w:sz w:val="24"/>
          <w:szCs w:val="24"/>
        </w:rPr>
        <w:t xml:space="preserve">during December. </w:t>
      </w:r>
      <w:r w:rsidR="00785908" w:rsidRPr="002B1165">
        <w:rPr>
          <w:rFonts w:asciiTheme="minorHAnsi" w:hAnsiTheme="minorHAnsi" w:cstheme="minorHAnsi"/>
          <w:sz w:val="24"/>
          <w:szCs w:val="24"/>
        </w:rPr>
        <w:t xml:space="preserve">All work on the review has been undertaken using the </w:t>
      </w:r>
      <w:r w:rsidR="00700EE3" w:rsidRPr="002B1165">
        <w:rPr>
          <w:rFonts w:asciiTheme="minorHAnsi" w:hAnsiTheme="minorHAnsi" w:cstheme="minorHAnsi"/>
          <w:sz w:val="24"/>
          <w:szCs w:val="24"/>
        </w:rPr>
        <w:t xml:space="preserve">indicative budget </w:t>
      </w:r>
      <w:r w:rsidR="00785908" w:rsidRPr="002B1165">
        <w:rPr>
          <w:rFonts w:asciiTheme="minorHAnsi" w:hAnsiTheme="minorHAnsi" w:cstheme="minorHAnsi"/>
          <w:sz w:val="24"/>
          <w:szCs w:val="24"/>
        </w:rPr>
        <w:t>allocated for 20</w:t>
      </w:r>
      <w:r w:rsidR="009009E4">
        <w:rPr>
          <w:rFonts w:asciiTheme="minorHAnsi" w:hAnsiTheme="minorHAnsi" w:cstheme="minorHAnsi"/>
          <w:sz w:val="24"/>
          <w:szCs w:val="24"/>
        </w:rPr>
        <w:t>22</w:t>
      </w:r>
      <w:r w:rsidR="00096570" w:rsidRPr="002B1165">
        <w:rPr>
          <w:rFonts w:asciiTheme="minorHAnsi" w:hAnsiTheme="minorHAnsi" w:cstheme="minorHAnsi"/>
          <w:sz w:val="24"/>
          <w:szCs w:val="24"/>
        </w:rPr>
        <w:t>/2</w:t>
      </w:r>
      <w:r w:rsidR="009009E4">
        <w:rPr>
          <w:rFonts w:asciiTheme="minorHAnsi" w:hAnsiTheme="minorHAnsi" w:cstheme="minorHAnsi"/>
          <w:sz w:val="24"/>
          <w:szCs w:val="24"/>
        </w:rPr>
        <w:t>3</w:t>
      </w:r>
      <w:r w:rsidR="00096570" w:rsidRPr="002B1165">
        <w:rPr>
          <w:rFonts w:asciiTheme="minorHAnsi" w:hAnsiTheme="minorHAnsi" w:cstheme="minorHAnsi"/>
          <w:sz w:val="24"/>
          <w:szCs w:val="24"/>
        </w:rPr>
        <w:t xml:space="preserve">. </w:t>
      </w:r>
      <w:r w:rsidR="000B4C4E" w:rsidRPr="002B1165">
        <w:rPr>
          <w:rFonts w:asciiTheme="minorHAnsi" w:hAnsiTheme="minorHAnsi" w:cstheme="minorHAnsi"/>
          <w:sz w:val="24"/>
          <w:szCs w:val="24"/>
        </w:rPr>
        <w:t>It is important to note th</w:t>
      </w:r>
      <w:r w:rsidR="00096570" w:rsidRPr="002B1165">
        <w:rPr>
          <w:rFonts w:asciiTheme="minorHAnsi" w:hAnsiTheme="minorHAnsi" w:cstheme="minorHAnsi"/>
          <w:sz w:val="24"/>
          <w:szCs w:val="24"/>
        </w:rPr>
        <w:t xml:space="preserve">at the </w:t>
      </w:r>
      <w:r w:rsidR="00226879" w:rsidRPr="002B1165">
        <w:rPr>
          <w:rFonts w:asciiTheme="minorHAnsi" w:hAnsiTheme="minorHAnsi" w:cstheme="minorHAnsi"/>
          <w:sz w:val="24"/>
          <w:szCs w:val="24"/>
        </w:rPr>
        <w:t>starting</w:t>
      </w:r>
      <w:r w:rsidR="00096570" w:rsidRPr="002B1165">
        <w:rPr>
          <w:rFonts w:asciiTheme="minorHAnsi" w:hAnsiTheme="minorHAnsi" w:cstheme="minorHAnsi"/>
          <w:sz w:val="24"/>
          <w:szCs w:val="24"/>
        </w:rPr>
        <w:t xml:space="preserve"> point </w:t>
      </w:r>
      <w:r w:rsidR="00226879" w:rsidRPr="002B1165">
        <w:rPr>
          <w:rFonts w:asciiTheme="minorHAnsi" w:hAnsiTheme="minorHAnsi" w:cstheme="minorHAnsi"/>
          <w:sz w:val="24"/>
          <w:szCs w:val="24"/>
        </w:rPr>
        <w:t xml:space="preserve">for the rates review was </w:t>
      </w:r>
      <w:r w:rsidR="000B4C4E" w:rsidRPr="002B1165">
        <w:rPr>
          <w:rFonts w:asciiTheme="minorHAnsi" w:hAnsiTheme="minorHAnsi" w:cstheme="minorHAnsi"/>
          <w:sz w:val="24"/>
          <w:szCs w:val="24"/>
        </w:rPr>
        <w:t xml:space="preserve">the </w:t>
      </w:r>
      <w:r w:rsidR="003727C0" w:rsidRPr="002B11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underlying principles</w:t>
      </w:r>
      <w:r w:rsidR="000B4C4E" w:rsidRPr="002B1165">
        <w:rPr>
          <w:rFonts w:asciiTheme="minorHAnsi" w:hAnsiTheme="minorHAnsi" w:cstheme="minorHAnsi"/>
          <w:sz w:val="24"/>
          <w:szCs w:val="24"/>
        </w:rPr>
        <w:t xml:space="preserve"> </w:t>
      </w:r>
      <w:r w:rsidR="00504E8E" w:rsidRPr="002B1165">
        <w:rPr>
          <w:rFonts w:asciiTheme="minorHAnsi" w:hAnsiTheme="minorHAnsi" w:cstheme="minorHAnsi"/>
          <w:sz w:val="24"/>
          <w:szCs w:val="24"/>
        </w:rPr>
        <w:t xml:space="preserve">and using these to forecast forward for years 2 and 3. The </w:t>
      </w:r>
      <w:r w:rsidR="00226879" w:rsidRPr="002B1165">
        <w:rPr>
          <w:rFonts w:asciiTheme="minorHAnsi" w:hAnsiTheme="minorHAnsi" w:cstheme="minorHAnsi"/>
          <w:sz w:val="24"/>
          <w:szCs w:val="24"/>
        </w:rPr>
        <w:t xml:space="preserve">modelling </w:t>
      </w:r>
      <w:r w:rsidR="00504E8E" w:rsidRPr="002B1165">
        <w:rPr>
          <w:rFonts w:asciiTheme="minorHAnsi" w:hAnsiTheme="minorHAnsi" w:cstheme="minorHAnsi"/>
          <w:sz w:val="24"/>
          <w:szCs w:val="24"/>
        </w:rPr>
        <w:t xml:space="preserve">has then been used to </w:t>
      </w:r>
      <w:r w:rsidR="00226879" w:rsidRPr="002B1165">
        <w:rPr>
          <w:rFonts w:asciiTheme="minorHAnsi" w:hAnsiTheme="minorHAnsi" w:cstheme="minorHAnsi"/>
          <w:sz w:val="24"/>
          <w:szCs w:val="24"/>
        </w:rPr>
        <w:t>inform</w:t>
      </w:r>
      <w:r w:rsidR="00064F02" w:rsidRPr="002B1165">
        <w:rPr>
          <w:rFonts w:asciiTheme="minorHAnsi" w:hAnsiTheme="minorHAnsi" w:cstheme="minorHAnsi"/>
          <w:sz w:val="24"/>
          <w:szCs w:val="24"/>
        </w:rPr>
        <w:t xml:space="preserve"> </w:t>
      </w:r>
      <w:r w:rsidR="00555A5C" w:rsidRPr="002B1165">
        <w:rPr>
          <w:rFonts w:asciiTheme="minorHAnsi" w:hAnsiTheme="minorHAnsi" w:cstheme="minorHAnsi"/>
          <w:sz w:val="24"/>
          <w:szCs w:val="24"/>
        </w:rPr>
        <w:t xml:space="preserve">the basis of the recommendations. The </w:t>
      </w:r>
      <w:r w:rsidR="00555A5C" w:rsidRPr="002B11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actual amounts may vary</w:t>
      </w:r>
      <w:r w:rsidR="00555A5C" w:rsidRPr="002B1165">
        <w:rPr>
          <w:rFonts w:asciiTheme="minorHAnsi" w:hAnsiTheme="minorHAnsi" w:cstheme="minorHAnsi"/>
          <w:sz w:val="24"/>
          <w:szCs w:val="24"/>
        </w:rPr>
        <w:t xml:space="preserve"> </w:t>
      </w:r>
      <w:r w:rsidR="009D0A50" w:rsidRPr="002B1165">
        <w:rPr>
          <w:rFonts w:asciiTheme="minorHAnsi" w:hAnsiTheme="minorHAnsi" w:cstheme="minorHAnsi"/>
          <w:sz w:val="24"/>
          <w:szCs w:val="24"/>
        </w:rPr>
        <w:t xml:space="preserve">for 2023/24 and 2024/25 </w:t>
      </w:r>
      <w:r w:rsidR="00555A5C" w:rsidRPr="002B1165">
        <w:rPr>
          <w:rFonts w:asciiTheme="minorHAnsi" w:hAnsiTheme="minorHAnsi" w:cstheme="minorHAnsi"/>
          <w:sz w:val="24"/>
          <w:szCs w:val="24"/>
        </w:rPr>
        <w:t xml:space="preserve">once the budget settlement is known </w:t>
      </w:r>
      <w:r w:rsidR="009D0A50" w:rsidRPr="002B1165">
        <w:rPr>
          <w:rFonts w:asciiTheme="minorHAnsi" w:hAnsiTheme="minorHAnsi" w:cstheme="minorHAnsi"/>
          <w:sz w:val="24"/>
          <w:szCs w:val="24"/>
        </w:rPr>
        <w:t xml:space="preserve">for each year. An annual review will be required to confirm </w:t>
      </w:r>
      <w:r w:rsidR="002B1165" w:rsidRPr="002B1165">
        <w:rPr>
          <w:rFonts w:asciiTheme="minorHAnsi" w:hAnsiTheme="minorHAnsi" w:cstheme="minorHAnsi"/>
          <w:sz w:val="24"/>
          <w:szCs w:val="24"/>
        </w:rPr>
        <w:t>these years in future.</w:t>
      </w:r>
    </w:p>
    <w:p w14:paraId="08218196" w14:textId="77AFD8F0" w:rsidR="00BC2DBE" w:rsidRPr="00B206FD" w:rsidRDefault="00BC2DBE" w:rsidP="00242C0B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2B1165">
        <w:rPr>
          <w:rFonts w:asciiTheme="minorHAnsi" w:hAnsiTheme="minorHAnsi" w:cstheme="minorHAnsi"/>
          <w:sz w:val="24"/>
          <w:szCs w:val="24"/>
        </w:rPr>
        <w:t>The following requirements from the focus group have been modelled, calculated or identified</w:t>
      </w:r>
      <w:r w:rsidR="001B119D" w:rsidRPr="002B1165">
        <w:rPr>
          <w:rFonts w:asciiTheme="minorHAnsi" w:hAnsiTheme="minorHAnsi" w:cstheme="minorHAnsi"/>
          <w:sz w:val="24"/>
          <w:szCs w:val="24"/>
        </w:rPr>
        <w:t xml:space="preserve"> and </w:t>
      </w:r>
      <w:r w:rsidR="001B119D" w:rsidRPr="00B206FD">
        <w:rPr>
          <w:rFonts w:asciiTheme="minorHAnsi" w:hAnsiTheme="minorHAnsi" w:cstheme="minorHAnsi"/>
          <w:sz w:val="24"/>
          <w:szCs w:val="24"/>
        </w:rPr>
        <w:t xml:space="preserve">used in </w:t>
      </w:r>
      <w:r w:rsidR="00676216" w:rsidRPr="00B206FD">
        <w:rPr>
          <w:rFonts w:asciiTheme="minorHAnsi" w:hAnsiTheme="minorHAnsi" w:cstheme="minorHAnsi"/>
          <w:sz w:val="24"/>
          <w:szCs w:val="24"/>
        </w:rPr>
        <w:t>the preparation of this report</w:t>
      </w:r>
      <w:r w:rsidRPr="00B206FD">
        <w:rPr>
          <w:rFonts w:asciiTheme="minorHAnsi" w:hAnsiTheme="minorHAnsi" w:cstheme="minorHAnsi"/>
          <w:sz w:val="24"/>
          <w:szCs w:val="24"/>
        </w:rPr>
        <w:t>:</w:t>
      </w:r>
    </w:p>
    <w:p w14:paraId="0156B2DC" w14:textId="0D9AF126" w:rsidR="007C2213" w:rsidRPr="00B206FD" w:rsidRDefault="003746AF" w:rsidP="007C2213">
      <w:pPr>
        <w:pStyle w:val="NoSpacing"/>
        <w:numPr>
          <w:ilvl w:val="0"/>
          <w:numId w:val="39"/>
        </w:num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B206FD">
        <w:rPr>
          <w:rFonts w:asciiTheme="minorHAnsi" w:hAnsiTheme="minorHAnsi" w:cstheme="minorHAnsi"/>
          <w:sz w:val="24"/>
          <w:szCs w:val="24"/>
        </w:rPr>
        <w:t xml:space="preserve">The increase </w:t>
      </w:r>
      <w:r w:rsidR="00793D90" w:rsidRPr="00B206FD">
        <w:rPr>
          <w:rFonts w:asciiTheme="minorHAnsi" w:hAnsiTheme="minorHAnsi" w:cstheme="minorHAnsi"/>
          <w:sz w:val="24"/>
          <w:szCs w:val="24"/>
        </w:rPr>
        <w:t xml:space="preserve">in the National Minimum/Living Wage will have a significant financial impact on all early </w:t>
      </w:r>
      <w:r w:rsidR="00B7034F" w:rsidRPr="00B206FD">
        <w:rPr>
          <w:rFonts w:asciiTheme="minorHAnsi" w:hAnsiTheme="minorHAnsi" w:cstheme="minorHAnsi"/>
          <w:sz w:val="24"/>
          <w:szCs w:val="24"/>
        </w:rPr>
        <w:t>year’s</w:t>
      </w:r>
      <w:r w:rsidR="00793D90" w:rsidRPr="00B206FD">
        <w:rPr>
          <w:rFonts w:asciiTheme="minorHAnsi" w:hAnsiTheme="minorHAnsi" w:cstheme="minorHAnsi"/>
          <w:sz w:val="24"/>
          <w:szCs w:val="24"/>
        </w:rPr>
        <w:t xml:space="preserve"> providers</w:t>
      </w:r>
      <w:r w:rsidR="009A2C5D" w:rsidRPr="00B206FD">
        <w:rPr>
          <w:rFonts w:asciiTheme="minorHAnsi" w:hAnsiTheme="minorHAnsi" w:cstheme="minorHAnsi"/>
          <w:sz w:val="24"/>
          <w:szCs w:val="24"/>
        </w:rPr>
        <w:t xml:space="preserve">. </w:t>
      </w:r>
      <w:r w:rsidR="00793D90" w:rsidRPr="00B206FD">
        <w:rPr>
          <w:rFonts w:asciiTheme="minorHAnsi" w:hAnsiTheme="minorHAnsi" w:cstheme="minorHAnsi"/>
          <w:sz w:val="24"/>
          <w:szCs w:val="24"/>
        </w:rPr>
        <w:t xml:space="preserve"> </w:t>
      </w:r>
      <w:r w:rsidR="00A97A0F" w:rsidRPr="00B206FD">
        <w:rPr>
          <w:rFonts w:asciiTheme="minorHAnsi" w:hAnsiTheme="minorHAnsi" w:cstheme="minorHAnsi"/>
          <w:sz w:val="24"/>
          <w:szCs w:val="24"/>
        </w:rPr>
        <w:t xml:space="preserve">There has </w:t>
      </w:r>
      <w:r w:rsidR="007F3F28" w:rsidRPr="00B206FD">
        <w:rPr>
          <w:rFonts w:asciiTheme="minorHAnsi" w:hAnsiTheme="minorHAnsi" w:cstheme="minorHAnsi"/>
          <w:sz w:val="24"/>
          <w:szCs w:val="24"/>
        </w:rPr>
        <w:t xml:space="preserve">also </w:t>
      </w:r>
      <w:r w:rsidR="00A97A0F" w:rsidRPr="00B206FD">
        <w:rPr>
          <w:rFonts w:asciiTheme="minorHAnsi" w:hAnsiTheme="minorHAnsi" w:cstheme="minorHAnsi"/>
          <w:sz w:val="24"/>
          <w:szCs w:val="24"/>
        </w:rPr>
        <w:t>been an increase in SEN</w:t>
      </w:r>
      <w:r w:rsidR="002146F3" w:rsidRPr="00B206FD">
        <w:rPr>
          <w:rFonts w:asciiTheme="minorHAnsi" w:hAnsiTheme="minorHAnsi" w:cstheme="minorHAnsi"/>
          <w:sz w:val="24"/>
          <w:szCs w:val="24"/>
        </w:rPr>
        <w:t>D needs for 2-year-olds since COVID</w:t>
      </w:r>
      <w:r w:rsidR="007F3F28" w:rsidRPr="00B206FD">
        <w:rPr>
          <w:rFonts w:asciiTheme="minorHAnsi" w:hAnsiTheme="minorHAnsi" w:cstheme="minorHAnsi"/>
          <w:sz w:val="24"/>
          <w:szCs w:val="24"/>
        </w:rPr>
        <w:t xml:space="preserve">. </w:t>
      </w:r>
      <w:r w:rsidR="001C36B4" w:rsidRPr="00B206FD">
        <w:rPr>
          <w:rFonts w:asciiTheme="minorHAnsi" w:hAnsiTheme="minorHAnsi" w:cstheme="minorHAnsi"/>
          <w:sz w:val="24"/>
          <w:szCs w:val="24"/>
        </w:rPr>
        <w:t xml:space="preserve">Priority </w:t>
      </w:r>
      <w:r w:rsidR="00BF1601" w:rsidRPr="00B206FD">
        <w:rPr>
          <w:rFonts w:asciiTheme="minorHAnsi" w:hAnsiTheme="minorHAnsi" w:cstheme="minorHAnsi"/>
          <w:sz w:val="24"/>
          <w:szCs w:val="24"/>
        </w:rPr>
        <w:t xml:space="preserve">for the </w:t>
      </w:r>
      <w:r w:rsidR="00B7034F" w:rsidRPr="00B206FD">
        <w:rPr>
          <w:rFonts w:asciiTheme="minorHAnsi" w:hAnsiTheme="minorHAnsi" w:cstheme="minorHAnsi"/>
          <w:sz w:val="24"/>
          <w:szCs w:val="24"/>
        </w:rPr>
        <w:t>2-year-old</w:t>
      </w:r>
      <w:r w:rsidR="00BF1601" w:rsidRPr="00B206FD">
        <w:rPr>
          <w:rFonts w:asciiTheme="minorHAnsi" w:hAnsiTheme="minorHAnsi" w:cstheme="minorHAnsi"/>
          <w:sz w:val="24"/>
          <w:szCs w:val="24"/>
        </w:rPr>
        <w:t xml:space="preserve"> funding is to maintain the 100% pass-through.</w:t>
      </w:r>
    </w:p>
    <w:p w14:paraId="0F2CEDBB" w14:textId="77777777" w:rsidR="00EB54AD" w:rsidRPr="00B206FD" w:rsidRDefault="007C2213" w:rsidP="00EB54AD">
      <w:pPr>
        <w:pStyle w:val="NoSpacing"/>
        <w:numPr>
          <w:ilvl w:val="0"/>
          <w:numId w:val="39"/>
        </w:num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B206FD">
        <w:rPr>
          <w:rFonts w:asciiTheme="minorHAnsi" w:hAnsiTheme="minorHAnsi" w:cstheme="minorHAnsi"/>
          <w:sz w:val="24"/>
          <w:szCs w:val="24"/>
        </w:rPr>
        <w:t xml:space="preserve">As the deprivation </w:t>
      </w:r>
      <w:r w:rsidR="00B7034F" w:rsidRPr="00B206FD">
        <w:rPr>
          <w:rFonts w:asciiTheme="minorHAnsi" w:hAnsiTheme="minorHAnsi" w:cstheme="minorHAnsi"/>
          <w:sz w:val="24"/>
          <w:szCs w:val="24"/>
        </w:rPr>
        <w:t xml:space="preserve">rates </w:t>
      </w:r>
      <w:r w:rsidRPr="007C2213">
        <w:rPr>
          <w:rFonts w:asciiTheme="minorHAnsi" w:hAnsiTheme="minorHAnsi" w:cstheme="minorHAnsi"/>
          <w:sz w:val="24"/>
          <w:szCs w:val="24"/>
        </w:rPr>
        <w:t xml:space="preserve">is linked to child's home postcode it is not always targeted to those most in need. </w:t>
      </w:r>
      <w:r w:rsidR="00CF416D" w:rsidRPr="00B206FD">
        <w:rPr>
          <w:rFonts w:asciiTheme="minorHAnsi" w:hAnsiTheme="minorHAnsi" w:cstheme="minorHAnsi"/>
          <w:sz w:val="24"/>
          <w:szCs w:val="24"/>
        </w:rPr>
        <w:t>The rate should be m</w:t>
      </w:r>
      <w:r w:rsidRPr="007C2213">
        <w:rPr>
          <w:rFonts w:asciiTheme="minorHAnsi" w:hAnsiTheme="minorHAnsi" w:cstheme="minorHAnsi"/>
          <w:sz w:val="24"/>
          <w:szCs w:val="24"/>
        </w:rPr>
        <w:t>aintain</w:t>
      </w:r>
      <w:r w:rsidR="00CF416D" w:rsidRPr="00B206FD">
        <w:rPr>
          <w:rFonts w:asciiTheme="minorHAnsi" w:hAnsiTheme="minorHAnsi" w:cstheme="minorHAnsi"/>
          <w:sz w:val="24"/>
          <w:szCs w:val="24"/>
        </w:rPr>
        <w:t>ed</w:t>
      </w:r>
      <w:r w:rsidRPr="007C2213">
        <w:rPr>
          <w:rFonts w:asciiTheme="minorHAnsi" w:hAnsiTheme="minorHAnsi" w:cstheme="minorHAnsi"/>
          <w:sz w:val="24"/>
          <w:szCs w:val="24"/>
        </w:rPr>
        <w:t xml:space="preserve"> at current level and prioritise an increase on the base rate</w:t>
      </w:r>
      <w:r w:rsidR="00CF416D" w:rsidRPr="00B206FD">
        <w:rPr>
          <w:rFonts w:asciiTheme="minorHAnsi" w:hAnsiTheme="minorHAnsi" w:cstheme="minorHAnsi"/>
          <w:sz w:val="24"/>
          <w:szCs w:val="24"/>
        </w:rPr>
        <w:t xml:space="preserve"> instead</w:t>
      </w:r>
      <w:r w:rsidRPr="007C2213">
        <w:rPr>
          <w:rFonts w:asciiTheme="minorHAnsi" w:hAnsiTheme="minorHAnsi" w:cstheme="minorHAnsi"/>
          <w:sz w:val="24"/>
          <w:szCs w:val="24"/>
        </w:rPr>
        <w:t>.</w:t>
      </w:r>
    </w:p>
    <w:p w14:paraId="3F3C0DAD" w14:textId="089F6637" w:rsidR="008A4461" w:rsidRPr="008A4461" w:rsidRDefault="00CC665A" w:rsidP="00513A3B">
      <w:pPr>
        <w:pStyle w:val="NoSpacing"/>
        <w:numPr>
          <w:ilvl w:val="0"/>
          <w:numId w:val="39"/>
        </w:num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CC665A">
        <w:rPr>
          <w:rFonts w:asciiTheme="minorHAnsi" w:hAnsiTheme="minorHAnsi" w:cstheme="minorHAnsi"/>
          <w:sz w:val="24"/>
          <w:szCs w:val="24"/>
        </w:rPr>
        <w:t xml:space="preserve">SEND is still a top priority. If the budget </w:t>
      </w:r>
      <w:r w:rsidR="00EB54AD" w:rsidRPr="00B206FD">
        <w:rPr>
          <w:rFonts w:asciiTheme="minorHAnsi" w:hAnsiTheme="minorHAnsi" w:cstheme="minorHAnsi"/>
          <w:sz w:val="24"/>
          <w:szCs w:val="24"/>
        </w:rPr>
        <w:t xml:space="preserve">for ISEY </w:t>
      </w:r>
      <w:r w:rsidRPr="00CC665A">
        <w:rPr>
          <w:rFonts w:asciiTheme="minorHAnsi" w:hAnsiTheme="minorHAnsi" w:cstheme="minorHAnsi"/>
          <w:sz w:val="24"/>
          <w:szCs w:val="24"/>
        </w:rPr>
        <w:t xml:space="preserve">was higher </w:t>
      </w:r>
      <w:r w:rsidR="007E2AE5" w:rsidRPr="00B206FD">
        <w:rPr>
          <w:rFonts w:asciiTheme="minorHAnsi" w:hAnsiTheme="minorHAnsi" w:cstheme="minorHAnsi"/>
          <w:sz w:val="24"/>
          <w:szCs w:val="24"/>
        </w:rPr>
        <w:t xml:space="preserve">there </w:t>
      </w:r>
      <w:r w:rsidRPr="00CC665A">
        <w:rPr>
          <w:rFonts w:asciiTheme="minorHAnsi" w:hAnsiTheme="minorHAnsi" w:cstheme="minorHAnsi"/>
          <w:sz w:val="24"/>
          <w:szCs w:val="24"/>
        </w:rPr>
        <w:t xml:space="preserve">could </w:t>
      </w:r>
      <w:r w:rsidR="007E2AE5" w:rsidRPr="00B206FD">
        <w:rPr>
          <w:rFonts w:asciiTheme="minorHAnsi" w:hAnsiTheme="minorHAnsi" w:cstheme="minorHAnsi"/>
          <w:sz w:val="24"/>
          <w:szCs w:val="24"/>
        </w:rPr>
        <w:t xml:space="preserve">be the </w:t>
      </w:r>
      <w:r w:rsidRPr="00CC665A">
        <w:rPr>
          <w:rFonts w:asciiTheme="minorHAnsi" w:hAnsiTheme="minorHAnsi" w:cstheme="minorHAnsi"/>
          <w:sz w:val="24"/>
          <w:szCs w:val="24"/>
        </w:rPr>
        <w:t>introduc</w:t>
      </w:r>
      <w:r w:rsidR="007E2AE5" w:rsidRPr="00B206FD">
        <w:rPr>
          <w:rFonts w:asciiTheme="minorHAnsi" w:hAnsiTheme="minorHAnsi" w:cstheme="minorHAnsi"/>
          <w:sz w:val="24"/>
          <w:szCs w:val="24"/>
        </w:rPr>
        <w:t>tion of</w:t>
      </w:r>
      <w:r w:rsidRPr="00CC665A">
        <w:rPr>
          <w:rFonts w:asciiTheme="minorHAnsi" w:hAnsiTheme="minorHAnsi" w:cstheme="minorHAnsi"/>
          <w:sz w:val="24"/>
          <w:szCs w:val="24"/>
        </w:rPr>
        <w:t xml:space="preserve"> tiers and criteria for more emerging needs.</w:t>
      </w:r>
      <w:r w:rsidR="00EB54AD" w:rsidRPr="00B206FD">
        <w:rPr>
          <w:rFonts w:asciiTheme="minorHAnsi" w:hAnsiTheme="minorHAnsi" w:cstheme="minorHAnsi"/>
          <w:sz w:val="24"/>
          <w:szCs w:val="24"/>
        </w:rPr>
        <w:t xml:space="preserve"> </w:t>
      </w:r>
      <w:r w:rsidR="007E2AE5" w:rsidRPr="00B206FD">
        <w:rPr>
          <w:rFonts w:asciiTheme="minorHAnsi" w:hAnsiTheme="minorHAnsi" w:cstheme="minorHAnsi"/>
          <w:sz w:val="24"/>
          <w:szCs w:val="24"/>
        </w:rPr>
        <w:t>A</w:t>
      </w:r>
      <w:r w:rsidRPr="00CC665A">
        <w:rPr>
          <w:rFonts w:asciiTheme="minorHAnsi" w:hAnsiTheme="minorHAnsi" w:cstheme="minorHAnsi"/>
          <w:sz w:val="24"/>
          <w:szCs w:val="24"/>
        </w:rPr>
        <w:t xml:space="preserve">n increase in ISEY funding </w:t>
      </w:r>
      <w:r w:rsidR="00796124" w:rsidRPr="00B206FD">
        <w:rPr>
          <w:rFonts w:asciiTheme="minorHAnsi" w:hAnsiTheme="minorHAnsi" w:cstheme="minorHAnsi"/>
          <w:sz w:val="24"/>
          <w:szCs w:val="24"/>
        </w:rPr>
        <w:t>m</w:t>
      </w:r>
      <w:r w:rsidR="008A4461" w:rsidRPr="008A4461">
        <w:rPr>
          <w:rFonts w:asciiTheme="minorHAnsi" w:hAnsiTheme="minorHAnsi" w:cstheme="minorHAnsi"/>
          <w:sz w:val="24"/>
          <w:szCs w:val="24"/>
        </w:rPr>
        <w:t>odel</w:t>
      </w:r>
      <w:r w:rsidR="00796124" w:rsidRPr="00B206FD">
        <w:rPr>
          <w:rFonts w:asciiTheme="minorHAnsi" w:hAnsiTheme="minorHAnsi" w:cstheme="minorHAnsi"/>
          <w:sz w:val="24"/>
          <w:szCs w:val="24"/>
        </w:rPr>
        <w:t>led</w:t>
      </w:r>
      <w:r w:rsidR="008A4461" w:rsidRPr="008A4461">
        <w:rPr>
          <w:rFonts w:asciiTheme="minorHAnsi" w:hAnsiTheme="minorHAnsi" w:cstheme="minorHAnsi"/>
          <w:sz w:val="24"/>
          <w:szCs w:val="24"/>
        </w:rPr>
        <w:t xml:space="preserve"> </w:t>
      </w:r>
      <w:r w:rsidR="00E116FA" w:rsidRPr="00B206FD">
        <w:rPr>
          <w:rFonts w:asciiTheme="minorHAnsi" w:hAnsiTheme="minorHAnsi" w:cstheme="minorHAnsi"/>
          <w:sz w:val="24"/>
          <w:szCs w:val="24"/>
        </w:rPr>
        <w:t xml:space="preserve">over </w:t>
      </w:r>
      <w:r w:rsidR="008A4461" w:rsidRPr="008A4461">
        <w:rPr>
          <w:rFonts w:asciiTheme="minorHAnsi" w:hAnsiTheme="minorHAnsi" w:cstheme="minorHAnsi"/>
          <w:sz w:val="24"/>
          <w:szCs w:val="24"/>
        </w:rPr>
        <w:t xml:space="preserve">the </w:t>
      </w:r>
      <w:r w:rsidR="00513A3B" w:rsidRPr="00B206FD">
        <w:rPr>
          <w:rFonts w:asciiTheme="minorHAnsi" w:hAnsiTheme="minorHAnsi" w:cstheme="minorHAnsi"/>
          <w:sz w:val="24"/>
          <w:szCs w:val="24"/>
        </w:rPr>
        <w:t>three</w:t>
      </w:r>
      <w:r w:rsidR="008A4461" w:rsidRPr="008A4461">
        <w:rPr>
          <w:rFonts w:asciiTheme="minorHAnsi" w:hAnsiTheme="minorHAnsi" w:cstheme="minorHAnsi"/>
          <w:sz w:val="24"/>
          <w:szCs w:val="24"/>
        </w:rPr>
        <w:t xml:space="preserve"> years</w:t>
      </w:r>
      <w:r w:rsidR="00E116FA" w:rsidRPr="00B206FD">
        <w:rPr>
          <w:rFonts w:asciiTheme="minorHAnsi" w:hAnsiTheme="minorHAnsi" w:cstheme="minorHAnsi"/>
          <w:sz w:val="24"/>
          <w:szCs w:val="24"/>
        </w:rPr>
        <w:t xml:space="preserve"> </w:t>
      </w:r>
      <w:r w:rsidR="00513A3B" w:rsidRPr="00B206FD">
        <w:rPr>
          <w:rFonts w:asciiTheme="minorHAnsi" w:hAnsiTheme="minorHAnsi" w:cstheme="minorHAnsi"/>
          <w:sz w:val="24"/>
          <w:szCs w:val="24"/>
        </w:rPr>
        <w:t>with 2 different options.</w:t>
      </w:r>
    </w:p>
    <w:p w14:paraId="4CD3BF63" w14:textId="77777777" w:rsidR="003C2D9F" w:rsidRPr="00B206FD" w:rsidRDefault="005338D0" w:rsidP="003C2D9F">
      <w:pPr>
        <w:pStyle w:val="NoSpacing"/>
        <w:numPr>
          <w:ilvl w:val="0"/>
          <w:numId w:val="39"/>
        </w:num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B206FD">
        <w:rPr>
          <w:rFonts w:asciiTheme="minorHAnsi" w:hAnsiTheme="minorHAnsi" w:cstheme="minorHAnsi"/>
          <w:sz w:val="24"/>
          <w:szCs w:val="24"/>
        </w:rPr>
        <w:t xml:space="preserve">Maximise the </w:t>
      </w:r>
      <w:r w:rsidR="00BC2DBE" w:rsidRPr="00B206FD">
        <w:rPr>
          <w:rFonts w:asciiTheme="minorHAnsi" w:hAnsiTheme="minorHAnsi" w:cstheme="minorHAnsi"/>
          <w:sz w:val="24"/>
          <w:szCs w:val="24"/>
        </w:rPr>
        <w:t>increase in the base rate of Early Years funding for 3- and 4-year olds.</w:t>
      </w:r>
      <w:r w:rsidR="003C2D9F" w:rsidRPr="00B206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1F1EB3" w14:textId="74D38F2C" w:rsidR="005338D0" w:rsidRPr="00B206FD" w:rsidRDefault="003C2D9F" w:rsidP="003C2D9F">
      <w:pPr>
        <w:pStyle w:val="NoSpacing"/>
        <w:numPr>
          <w:ilvl w:val="0"/>
          <w:numId w:val="39"/>
        </w:num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B206FD">
        <w:rPr>
          <w:rFonts w:asciiTheme="minorHAnsi" w:hAnsiTheme="minorHAnsi" w:cstheme="minorHAnsi"/>
          <w:sz w:val="24"/>
          <w:szCs w:val="24"/>
        </w:rPr>
        <w:t>I</w:t>
      </w:r>
      <w:r w:rsidRPr="003C2D9F">
        <w:rPr>
          <w:rFonts w:asciiTheme="minorHAnsi" w:hAnsiTheme="minorHAnsi" w:cstheme="minorHAnsi"/>
          <w:sz w:val="24"/>
          <w:szCs w:val="24"/>
        </w:rPr>
        <w:t>ncrease central retained up to 5%. Model this increase over the 3 years to identify the impact on base rate.</w:t>
      </w:r>
    </w:p>
    <w:p w14:paraId="2DD8DDD8" w14:textId="70D11220" w:rsidR="00BF4B2A" w:rsidRPr="00B206FD" w:rsidRDefault="00820427" w:rsidP="00406AE2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B206FD">
        <w:rPr>
          <w:rFonts w:asciiTheme="minorHAnsi" w:hAnsiTheme="minorHAnsi" w:cstheme="minorHAnsi"/>
          <w:sz w:val="24"/>
          <w:szCs w:val="24"/>
        </w:rPr>
        <w:t>There will continue to be a separate element of Protection Funding for Maintained Nursery Schools.</w:t>
      </w:r>
      <w:r w:rsidR="00356B0C" w:rsidRPr="00B206FD">
        <w:rPr>
          <w:rFonts w:asciiTheme="minorHAnsi" w:hAnsiTheme="minorHAnsi" w:cstheme="minorHAnsi"/>
          <w:sz w:val="24"/>
          <w:szCs w:val="24"/>
        </w:rPr>
        <w:t xml:space="preserve"> </w:t>
      </w:r>
      <w:r w:rsidR="001E71FD" w:rsidRPr="00B206FD">
        <w:rPr>
          <w:rFonts w:asciiTheme="minorHAnsi" w:hAnsiTheme="minorHAnsi" w:cstheme="minorHAnsi"/>
          <w:sz w:val="24"/>
          <w:szCs w:val="24"/>
        </w:rPr>
        <w:t xml:space="preserve">The DFE have </w:t>
      </w:r>
      <w:r w:rsidR="00406AE2" w:rsidRPr="00B206FD">
        <w:rPr>
          <w:rFonts w:asciiTheme="minorHAnsi" w:hAnsiTheme="minorHAnsi" w:cstheme="minorHAnsi"/>
          <w:sz w:val="24"/>
          <w:szCs w:val="24"/>
        </w:rPr>
        <w:t xml:space="preserve">now </w:t>
      </w:r>
      <w:r w:rsidR="001E71FD" w:rsidRPr="00B206FD">
        <w:rPr>
          <w:rFonts w:asciiTheme="minorHAnsi" w:hAnsiTheme="minorHAnsi" w:cstheme="minorHAnsi"/>
          <w:sz w:val="24"/>
          <w:szCs w:val="24"/>
        </w:rPr>
        <w:t xml:space="preserve">confirmed funding </w:t>
      </w:r>
      <w:r w:rsidR="00610F0A" w:rsidRPr="00B206FD">
        <w:rPr>
          <w:rFonts w:asciiTheme="minorHAnsi" w:hAnsiTheme="minorHAnsi" w:cstheme="minorHAnsi"/>
          <w:sz w:val="24"/>
          <w:szCs w:val="24"/>
        </w:rPr>
        <w:t>for the whole of the</w:t>
      </w:r>
      <w:r w:rsidR="001E71FD" w:rsidRPr="00B206FD">
        <w:rPr>
          <w:rFonts w:asciiTheme="minorHAnsi" w:hAnsiTheme="minorHAnsi" w:cstheme="minorHAnsi"/>
          <w:sz w:val="24"/>
          <w:szCs w:val="24"/>
        </w:rPr>
        <w:t xml:space="preserve"> </w:t>
      </w:r>
      <w:r w:rsidR="00EE78F7" w:rsidRPr="00B206FD">
        <w:rPr>
          <w:rFonts w:asciiTheme="minorHAnsi" w:hAnsiTheme="minorHAnsi" w:cstheme="minorHAnsi"/>
          <w:sz w:val="24"/>
          <w:szCs w:val="24"/>
        </w:rPr>
        <w:t>three-year</w:t>
      </w:r>
      <w:r w:rsidR="00B6476B" w:rsidRPr="00B206FD">
        <w:rPr>
          <w:rFonts w:asciiTheme="minorHAnsi" w:hAnsiTheme="minorHAnsi" w:cstheme="minorHAnsi"/>
          <w:sz w:val="24"/>
          <w:szCs w:val="24"/>
        </w:rPr>
        <w:t xml:space="preserve"> CSR period </w:t>
      </w:r>
      <w:r w:rsidR="001E71FD" w:rsidRPr="00B206FD">
        <w:rPr>
          <w:rFonts w:asciiTheme="minorHAnsi" w:hAnsiTheme="minorHAnsi" w:cstheme="minorHAnsi"/>
          <w:sz w:val="24"/>
          <w:szCs w:val="24"/>
        </w:rPr>
        <w:t>202</w:t>
      </w:r>
      <w:r w:rsidR="00B6476B" w:rsidRPr="00B206FD">
        <w:rPr>
          <w:rFonts w:asciiTheme="minorHAnsi" w:hAnsiTheme="minorHAnsi" w:cstheme="minorHAnsi"/>
          <w:sz w:val="24"/>
          <w:szCs w:val="24"/>
        </w:rPr>
        <w:t>2</w:t>
      </w:r>
      <w:r w:rsidR="00610F0A" w:rsidRPr="00B206FD">
        <w:rPr>
          <w:rFonts w:asciiTheme="minorHAnsi" w:hAnsiTheme="minorHAnsi" w:cstheme="minorHAnsi"/>
          <w:sz w:val="24"/>
          <w:szCs w:val="24"/>
        </w:rPr>
        <w:t>/2</w:t>
      </w:r>
      <w:r w:rsidR="00B6476B" w:rsidRPr="00B206FD">
        <w:rPr>
          <w:rFonts w:asciiTheme="minorHAnsi" w:hAnsiTheme="minorHAnsi" w:cstheme="minorHAnsi"/>
          <w:sz w:val="24"/>
          <w:szCs w:val="24"/>
        </w:rPr>
        <w:t xml:space="preserve">5 and this will be lifted by </w:t>
      </w:r>
      <w:r w:rsidR="00B206FD" w:rsidRPr="00B206FD">
        <w:rPr>
          <w:rFonts w:asciiTheme="minorHAnsi" w:hAnsiTheme="minorHAnsi" w:cstheme="minorHAnsi"/>
          <w:sz w:val="24"/>
          <w:szCs w:val="24"/>
        </w:rPr>
        <w:t>3.5% against the rates paid in 21/22</w:t>
      </w:r>
      <w:r w:rsidR="003A7656" w:rsidRPr="00B206FD">
        <w:rPr>
          <w:rFonts w:asciiTheme="minorHAnsi" w:hAnsiTheme="minorHAnsi" w:cstheme="minorHAnsi"/>
          <w:sz w:val="24"/>
          <w:szCs w:val="24"/>
        </w:rPr>
        <w:t>.</w:t>
      </w:r>
    </w:p>
    <w:p w14:paraId="47719D26" w14:textId="77777777" w:rsidR="000F6E3D" w:rsidRDefault="000F6E3D" w:rsidP="000F6E3D">
      <w:pPr>
        <w:pStyle w:val="NoSpacing"/>
        <w:ind w:left="6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FDCDD5" w14:textId="05DE801A" w:rsidR="0028792E" w:rsidRPr="006463ED" w:rsidRDefault="00405C66" w:rsidP="00A45F3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63ED">
        <w:rPr>
          <w:rFonts w:asciiTheme="minorHAnsi" w:hAnsiTheme="minorHAnsi" w:cstheme="minorHAnsi"/>
          <w:b/>
          <w:sz w:val="24"/>
          <w:szCs w:val="24"/>
          <w:u w:val="single"/>
        </w:rPr>
        <w:t>Centrally Retained Funding</w:t>
      </w:r>
    </w:p>
    <w:p w14:paraId="4E2C5378" w14:textId="77777777" w:rsidR="00A45F38" w:rsidRPr="00704571" w:rsidRDefault="00A45F38" w:rsidP="00704571">
      <w:pPr>
        <w:pStyle w:val="NoSpacing"/>
      </w:pPr>
    </w:p>
    <w:p w14:paraId="4696CDA4" w14:textId="68486E3B" w:rsidR="00BD4254" w:rsidRDefault="00F4429B" w:rsidP="00D34A01">
      <w:pPr>
        <w:pStyle w:val="NoSpacing"/>
        <w:rPr>
          <w:color w:val="FF0000"/>
          <w:sz w:val="24"/>
          <w:szCs w:val="24"/>
        </w:rPr>
      </w:pPr>
      <w:r w:rsidRPr="00DD2F65">
        <w:rPr>
          <w:sz w:val="24"/>
          <w:szCs w:val="24"/>
        </w:rPr>
        <w:t xml:space="preserve">The LA can retain a maximum of 5% of the EY block to support central functions. </w:t>
      </w:r>
      <w:r w:rsidR="00684684" w:rsidRPr="00DD2F65">
        <w:rPr>
          <w:sz w:val="24"/>
          <w:szCs w:val="24"/>
        </w:rPr>
        <w:t xml:space="preserve">In the report to Schools Forum in January for the 2021/22 budget, </w:t>
      </w:r>
      <w:r w:rsidR="005100D2" w:rsidRPr="00DD2F65">
        <w:rPr>
          <w:sz w:val="24"/>
          <w:szCs w:val="24"/>
        </w:rPr>
        <w:t xml:space="preserve">it was confirmed that </w:t>
      </w:r>
      <w:r w:rsidR="008D1A32" w:rsidRPr="00DD2F65">
        <w:rPr>
          <w:sz w:val="24"/>
          <w:szCs w:val="24"/>
        </w:rPr>
        <w:t xml:space="preserve">the LA would look to incrementally increase the central retained percentage towards 5% with a view to reaching the full 5% in future years. </w:t>
      </w:r>
      <w:r w:rsidR="005100D2" w:rsidRPr="00DD2F65">
        <w:rPr>
          <w:sz w:val="24"/>
          <w:szCs w:val="24"/>
        </w:rPr>
        <w:t xml:space="preserve">Any increases in the formula rate </w:t>
      </w:r>
      <w:r w:rsidR="008D1A32" w:rsidRPr="00DD2F65">
        <w:rPr>
          <w:sz w:val="24"/>
          <w:szCs w:val="24"/>
        </w:rPr>
        <w:t>would therefore be spilt with increasing the rate to providers.</w:t>
      </w:r>
      <w:r w:rsidR="00DD2F65">
        <w:rPr>
          <w:sz w:val="24"/>
          <w:szCs w:val="24"/>
        </w:rPr>
        <w:t xml:space="preserve"> The centrally retained amount in 21/22 is forecast to be 4.2%</w:t>
      </w:r>
      <w:r w:rsidR="007279AA">
        <w:rPr>
          <w:sz w:val="24"/>
          <w:szCs w:val="24"/>
        </w:rPr>
        <w:t>, with £2.95</w:t>
      </w:r>
      <w:r w:rsidR="00BD4254">
        <w:rPr>
          <w:sz w:val="24"/>
          <w:szCs w:val="24"/>
        </w:rPr>
        <w:t xml:space="preserve">m </w:t>
      </w:r>
      <w:r w:rsidR="003F6D4D">
        <w:rPr>
          <w:sz w:val="24"/>
          <w:szCs w:val="24"/>
        </w:rPr>
        <w:t>(t</w:t>
      </w:r>
      <w:r w:rsidR="00704571" w:rsidRPr="00BD4254">
        <w:rPr>
          <w:sz w:val="24"/>
          <w:szCs w:val="24"/>
        </w:rPr>
        <w:t xml:space="preserve">he full 5% </w:t>
      </w:r>
      <w:r w:rsidRPr="00BD4254">
        <w:rPr>
          <w:sz w:val="24"/>
          <w:szCs w:val="24"/>
        </w:rPr>
        <w:t>would be £3.</w:t>
      </w:r>
      <w:r w:rsidR="00BD4254" w:rsidRPr="00BD4254">
        <w:rPr>
          <w:sz w:val="24"/>
          <w:szCs w:val="24"/>
        </w:rPr>
        <w:t>51</w:t>
      </w:r>
      <w:r w:rsidRPr="00BD4254">
        <w:rPr>
          <w:sz w:val="24"/>
          <w:szCs w:val="24"/>
        </w:rPr>
        <w:t>m</w:t>
      </w:r>
      <w:r w:rsidR="003F6D4D">
        <w:rPr>
          <w:sz w:val="24"/>
          <w:szCs w:val="24"/>
        </w:rPr>
        <w:t>)</w:t>
      </w:r>
      <w:r w:rsidR="00BD4254" w:rsidRPr="00BD4254">
        <w:rPr>
          <w:sz w:val="24"/>
          <w:szCs w:val="24"/>
        </w:rPr>
        <w:t>.</w:t>
      </w:r>
    </w:p>
    <w:p w14:paraId="39A3940E" w14:textId="77777777" w:rsidR="00BD4254" w:rsidRDefault="00BD4254" w:rsidP="00D34A01">
      <w:pPr>
        <w:pStyle w:val="NoSpacing"/>
        <w:rPr>
          <w:color w:val="FF0000"/>
          <w:sz w:val="24"/>
          <w:szCs w:val="24"/>
        </w:rPr>
      </w:pPr>
    </w:p>
    <w:p w14:paraId="264AD2A0" w14:textId="77777777" w:rsidR="00F1541E" w:rsidRPr="0094253D" w:rsidRDefault="00F4429B" w:rsidP="00D34A01">
      <w:pPr>
        <w:pStyle w:val="NoSpacing"/>
        <w:rPr>
          <w:color w:val="000000" w:themeColor="text1"/>
          <w:sz w:val="24"/>
          <w:szCs w:val="24"/>
        </w:rPr>
      </w:pPr>
      <w:r w:rsidRPr="0094253D">
        <w:rPr>
          <w:color w:val="000000" w:themeColor="text1"/>
          <w:sz w:val="24"/>
          <w:szCs w:val="24"/>
        </w:rPr>
        <w:t>This</w:t>
      </w:r>
      <w:r w:rsidR="00FB2B9F" w:rsidRPr="0094253D">
        <w:rPr>
          <w:color w:val="000000" w:themeColor="text1"/>
          <w:sz w:val="24"/>
          <w:szCs w:val="24"/>
        </w:rPr>
        <w:t xml:space="preserve"> funding </w:t>
      </w:r>
      <w:r w:rsidRPr="0094253D">
        <w:rPr>
          <w:color w:val="000000" w:themeColor="text1"/>
          <w:sz w:val="24"/>
          <w:szCs w:val="24"/>
        </w:rPr>
        <w:t>cover</w:t>
      </w:r>
      <w:r w:rsidR="00F1541E" w:rsidRPr="0094253D">
        <w:rPr>
          <w:color w:val="000000" w:themeColor="text1"/>
          <w:sz w:val="24"/>
          <w:szCs w:val="24"/>
        </w:rPr>
        <w:t>s</w:t>
      </w:r>
      <w:r w:rsidRPr="0094253D">
        <w:rPr>
          <w:color w:val="000000" w:themeColor="text1"/>
          <w:sz w:val="24"/>
          <w:szCs w:val="24"/>
        </w:rPr>
        <w:t xml:space="preserve"> the costs of the EYCC central team; Early Years Inclusion and Early Years QI and networks. ISEY funding that is paid out to settings </w:t>
      </w:r>
      <w:r w:rsidR="00F1541E" w:rsidRPr="0094253D">
        <w:rPr>
          <w:color w:val="000000" w:themeColor="text1"/>
          <w:sz w:val="24"/>
          <w:szCs w:val="24"/>
        </w:rPr>
        <w:t>is</w:t>
      </w:r>
      <w:r w:rsidRPr="0094253D">
        <w:rPr>
          <w:color w:val="000000" w:themeColor="text1"/>
          <w:sz w:val="24"/>
          <w:szCs w:val="24"/>
        </w:rPr>
        <w:t xml:space="preserve"> included in </w:t>
      </w:r>
      <w:r w:rsidR="006A615B" w:rsidRPr="0094253D">
        <w:rPr>
          <w:color w:val="000000" w:themeColor="text1"/>
          <w:sz w:val="24"/>
          <w:szCs w:val="24"/>
        </w:rPr>
        <w:t xml:space="preserve">the </w:t>
      </w:r>
      <w:r w:rsidRPr="0094253D">
        <w:rPr>
          <w:color w:val="000000" w:themeColor="text1"/>
          <w:sz w:val="24"/>
          <w:szCs w:val="24"/>
        </w:rPr>
        <w:t>pass-through 95%</w:t>
      </w:r>
      <w:r w:rsidR="00385075" w:rsidRPr="0094253D">
        <w:rPr>
          <w:color w:val="000000" w:themeColor="text1"/>
          <w:sz w:val="24"/>
          <w:szCs w:val="24"/>
        </w:rPr>
        <w:t xml:space="preserve"> and NOT included in the 5% centrally retained as it is actually paid out to providers. </w:t>
      </w:r>
    </w:p>
    <w:p w14:paraId="1B9ABF86" w14:textId="1AB238CC" w:rsidR="0088342C" w:rsidRDefault="0088342C" w:rsidP="00D34A01">
      <w:pPr>
        <w:pStyle w:val="NoSpacing"/>
        <w:rPr>
          <w:color w:val="FF0000"/>
          <w:sz w:val="24"/>
          <w:szCs w:val="24"/>
        </w:rPr>
      </w:pPr>
    </w:p>
    <w:p w14:paraId="7B9CE73E" w14:textId="6F89D972" w:rsidR="00BE2B1B" w:rsidRPr="00381CEF" w:rsidRDefault="004D634D" w:rsidP="00D34A01">
      <w:pPr>
        <w:pStyle w:val="NoSpacing"/>
        <w:rPr>
          <w:color w:val="000000" w:themeColor="text1"/>
          <w:sz w:val="24"/>
          <w:szCs w:val="24"/>
        </w:rPr>
      </w:pPr>
      <w:r w:rsidRPr="00C4021F">
        <w:rPr>
          <w:color w:val="000000" w:themeColor="text1"/>
          <w:sz w:val="24"/>
          <w:szCs w:val="24"/>
        </w:rPr>
        <w:lastRenderedPageBreak/>
        <w:t xml:space="preserve">The overall allocation of DSG for 22/23 </w:t>
      </w:r>
      <w:r w:rsidR="00831B18" w:rsidRPr="00C4021F">
        <w:rPr>
          <w:color w:val="000000" w:themeColor="text1"/>
          <w:sz w:val="24"/>
          <w:szCs w:val="24"/>
        </w:rPr>
        <w:t xml:space="preserve">will be less than 21/22 as a result of falling numbers of children in the age cohort. </w:t>
      </w:r>
      <w:r w:rsidR="00556652" w:rsidRPr="00C4021F">
        <w:rPr>
          <w:color w:val="000000" w:themeColor="text1"/>
          <w:sz w:val="24"/>
          <w:szCs w:val="24"/>
        </w:rPr>
        <w:t xml:space="preserve">The actual amount of funding that will be retained centrally in 2022/23 </w:t>
      </w:r>
      <w:r w:rsidR="00C54A98" w:rsidRPr="00C4021F">
        <w:rPr>
          <w:color w:val="000000" w:themeColor="text1"/>
          <w:sz w:val="24"/>
          <w:szCs w:val="24"/>
        </w:rPr>
        <w:t xml:space="preserve">will remain at the same level in £’s as 2021/22. </w:t>
      </w:r>
      <w:r w:rsidR="00C4021F" w:rsidRPr="00C4021F">
        <w:rPr>
          <w:color w:val="000000" w:themeColor="text1"/>
          <w:sz w:val="24"/>
          <w:szCs w:val="24"/>
        </w:rPr>
        <w:t>However,</w:t>
      </w:r>
      <w:r w:rsidR="00C54A98" w:rsidRPr="00C4021F">
        <w:rPr>
          <w:color w:val="000000" w:themeColor="text1"/>
          <w:sz w:val="24"/>
          <w:szCs w:val="24"/>
        </w:rPr>
        <w:t xml:space="preserve"> this will be 4.52% </w:t>
      </w:r>
      <w:r w:rsidR="00D73C65" w:rsidRPr="00C4021F">
        <w:rPr>
          <w:color w:val="000000" w:themeColor="text1"/>
          <w:sz w:val="24"/>
          <w:szCs w:val="24"/>
        </w:rPr>
        <w:t xml:space="preserve">of the EY DSG which is an increase from 4.2% in 21/22 due to the forecast reduction in the child population. </w:t>
      </w:r>
      <w:r w:rsidR="00C4021F">
        <w:rPr>
          <w:color w:val="000000" w:themeColor="text1"/>
          <w:sz w:val="24"/>
          <w:szCs w:val="24"/>
        </w:rPr>
        <w:t>The p</w:t>
      </w:r>
      <w:r w:rsidR="00052777">
        <w:rPr>
          <w:color w:val="000000" w:themeColor="text1"/>
          <w:sz w:val="24"/>
          <w:szCs w:val="24"/>
        </w:rPr>
        <w:t xml:space="preserve">roportion (and amount in £’s) will then be increased over the following 2 years to the maximum of 5% </w:t>
      </w:r>
      <w:r w:rsidR="00381CEF">
        <w:rPr>
          <w:color w:val="000000" w:themeColor="text1"/>
          <w:sz w:val="24"/>
          <w:szCs w:val="24"/>
        </w:rPr>
        <w:t xml:space="preserve">in 2024/25. </w:t>
      </w:r>
      <w:r w:rsidR="007C561B" w:rsidRPr="00381CEF">
        <w:rPr>
          <w:color w:val="000000" w:themeColor="text1"/>
          <w:sz w:val="24"/>
          <w:szCs w:val="24"/>
        </w:rPr>
        <w:t>(See Table 1.)</w:t>
      </w:r>
      <w:r w:rsidR="00727A8E" w:rsidRPr="00381CEF">
        <w:rPr>
          <w:color w:val="000000" w:themeColor="text1"/>
          <w:sz w:val="24"/>
          <w:szCs w:val="24"/>
        </w:rPr>
        <w:t xml:space="preserve"> </w:t>
      </w:r>
      <w:r w:rsidR="00551FC8" w:rsidRPr="00381CEF">
        <w:rPr>
          <w:color w:val="000000" w:themeColor="text1"/>
          <w:sz w:val="24"/>
          <w:szCs w:val="24"/>
        </w:rPr>
        <w:t xml:space="preserve">This enables maintenance of the </w:t>
      </w:r>
      <w:r w:rsidR="00911A24" w:rsidRPr="00381CEF">
        <w:rPr>
          <w:color w:val="000000" w:themeColor="text1"/>
          <w:sz w:val="24"/>
          <w:szCs w:val="24"/>
        </w:rPr>
        <w:t xml:space="preserve">current </w:t>
      </w:r>
      <w:r w:rsidR="00551FC8" w:rsidRPr="00381CEF">
        <w:rPr>
          <w:color w:val="000000" w:themeColor="text1"/>
          <w:sz w:val="24"/>
          <w:szCs w:val="24"/>
        </w:rPr>
        <w:t xml:space="preserve">centrally retained element and </w:t>
      </w:r>
      <w:r w:rsidR="00381CEF" w:rsidRPr="00381CEF">
        <w:rPr>
          <w:color w:val="000000" w:themeColor="text1"/>
          <w:sz w:val="24"/>
          <w:szCs w:val="24"/>
        </w:rPr>
        <w:t xml:space="preserve">maximises the </w:t>
      </w:r>
      <w:r w:rsidR="00551FC8" w:rsidRPr="00381CEF">
        <w:rPr>
          <w:color w:val="000000" w:themeColor="text1"/>
          <w:sz w:val="24"/>
          <w:szCs w:val="24"/>
        </w:rPr>
        <w:t xml:space="preserve">base rate BUT does not increase the centrally retained element to </w:t>
      </w:r>
      <w:r w:rsidR="00BE2B1B" w:rsidRPr="00381CEF">
        <w:rPr>
          <w:color w:val="000000" w:themeColor="text1"/>
          <w:sz w:val="24"/>
          <w:szCs w:val="24"/>
        </w:rPr>
        <w:t xml:space="preserve">the </w:t>
      </w:r>
      <w:r w:rsidR="00551FC8" w:rsidRPr="00381CEF">
        <w:rPr>
          <w:color w:val="000000" w:themeColor="text1"/>
          <w:sz w:val="24"/>
          <w:szCs w:val="24"/>
        </w:rPr>
        <w:t xml:space="preserve">maximum allowed. </w:t>
      </w:r>
    </w:p>
    <w:p w14:paraId="7D2E0701" w14:textId="77777777" w:rsidR="00BE2B1B" w:rsidRPr="00381CEF" w:rsidRDefault="00BE2B1B" w:rsidP="00D34A01">
      <w:pPr>
        <w:pStyle w:val="NoSpacing"/>
        <w:rPr>
          <w:color w:val="000000" w:themeColor="text1"/>
          <w:sz w:val="24"/>
          <w:szCs w:val="24"/>
        </w:rPr>
      </w:pPr>
    </w:p>
    <w:p w14:paraId="7E80063C" w14:textId="77777777" w:rsidR="001F0F49" w:rsidRDefault="00704571" w:rsidP="00A46794">
      <w:pPr>
        <w:pStyle w:val="NoSpacing"/>
        <w:rPr>
          <w:color w:val="000000" w:themeColor="text1"/>
          <w:sz w:val="24"/>
          <w:szCs w:val="24"/>
        </w:rPr>
      </w:pPr>
      <w:r w:rsidRPr="00381CEF">
        <w:rPr>
          <w:color w:val="000000" w:themeColor="text1"/>
          <w:sz w:val="24"/>
          <w:szCs w:val="24"/>
        </w:rPr>
        <w:t>T</w:t>
      </w:r>
      <w:r w:rsidR="00F4429B" w:rsidRPr="00381CEF">
        <w:rPr>
          <w:color w:val="000000" w:themeColor="text1"/>
          <w:sz w:val="24"/>
          <w:szCs w:val="24"/>
        </w:rPr>
        <w:t>able 1: Maximum amount of Centrally Retaine</w:t>
      </w:r>
      <w:r w:rsidR="001F0F49">
        <w:rPr>
          <w:color w:val="000000" w:themeColor="text1"/>
          <w:sz w:val="24"/>
          <w:szCs w:val="24"/>
        </w:rPr>
        <w:t xml:space="preserve">d </w:t>
      </w:r>
    </w:p>
    <w:p w14:paraId="0AB13497" w14:textId="24BE6675" w:rsidR="00F4429B" w:rsidRPr="001F0F49" w:rsidRDefault="00C2457B" w:rsidP="00A46794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286EDA6" wp14:editId="310E283C">
            <wp:extent cx="5224780" cy="2280285"/>
            <wp:effectExtent l="0" t="0" r="0" b="5715"/>
            <wp:docPr id="4" name="Picture 4" descr="Centrally Retained Funding tab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entrally Retained Funding tabl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E1A29" w14:textId="5FF573CF" w:rsidR="00A044D6" w:rsidRPr="00A8434E" w:rsidRDefault="00F4429B" w:rsidP="00727A8E">
      <w:pPr>
        <w:pStyle w:val="NoSpacing"/>
        <w:rPr>
          <w:color w:val="000000" w:themeColor="text1"/>
          <w:sz w:val="24"/>
          <w:szCs w:val="24"/>
        </w:rPr>
      </w:pPr>
      <w:r w:rsidRPr="00A8434E">
        <w:rPr>
          <w:color w:val="000000" w:themeColor="text1"/>
          <w:sz w:val="24"/>
          <w:szCs w:val="24"/>
        </w:rPr>
        <w:t xml:space="preserve">ISEY has previously </w:t>
      </w:r>
      <w:r w:rsidR="00325B08">
        <w:rPr>
          <w:color w:val="000000" w:themeColor="text1"/>
          <w:sz w:val="24"/>
          <w:szCs w:val="24"/>
        </w:rPr>
        <w:t xml:space="preserve">all </w:t>
      </w:r>
      <w:r w:rsidRPr="00A8434E">
        <w:rPr>
          <w:color w:val="000000" w:themeColor="text1"/>
          <w:sz w:val="24"/>
          <w:szCs w:val="24"/>
        </w:rPr>
        <w:t xml:space="preserve">been </w:t>
      </w:r>
      <w:r w:rsidR="00325B08">
        <w:rPr>
          <w:color w:val="000000" w:themeColor="text1"/>
          <w:sz w:val="24"/>
          <w:szCs w:val="24"/>
        </w:rPr>
        <w:t>ac</w:t>
      </w:r>
      <w:r w:rsidRPr="00A8434E">
        <w:rPr>
          <w:color w:val="000000" w:themeColor="text1"/>
          <w:sz w:val="24"/>
          <w:szCs w:val="24"/>
        </w:rPr>
        <w:t xml:space="preserve">counted </w:t>
      </w:r>
      <w:r w:rsidR="00325B08">
        <w:rPr>
          <w:color w:val="000000" w:themeColor="text1"/>
          <w:sz w:val="24"/>
          <w:szCs w:val="24"/>
        </w:rPr>
        <w:t>for within the</w:t>
      </w:r>
      <w:r w:rsidRPr="00A8434E">
        <w:rPr>
          <w:color w:val="000000" w:themeColor="text1"/>
          <w:sz w:val="24"/>
          <w:szCs w:val="24"/>
        </w:rPr>
        <w:t xml:space="preserve"> central retention when £0.75m of it is </w:t>
      </w:r>
      <w:r w:rsidR="00325B08" w:rsidRPr="00A8434E">
        <w:rPr>
          <w:color w:val="000000" w:themeColor="text1"/>
          <w:sz w:val="24"/>
          <w:szCs w:val="24"/>
        </w:rPr>
        <w:t>passed</w:t>
      </w:r>
      <w:r w:rsidRPr="00A8434E">
        <w:rPr>
          <w:color w:val="000000" w:themeColor="text1"/>
          <w:sz w:val="24"/>
          <w:szCs w:val="24"/>
        </w:rPr>
        <w:t xml:space="preserve"> through to providers.</w:t>
      </w:r>
      <w:r w:rsidR="00A46794" w:rsidRPr="00A8434E">
        <w:rPr>
          <w:color w:val="000000" w:themeColor="text1"/>
          <w:sz w:val="24"/>
          <w:szCs w:val="24"/>
        </w:rPr>
        <w:t xml:space="preserve"> </w:t>
      </w:r>
      <w:r w:rsidR="00A8434E">
        <w:rPr>
          <w:color w:val="000000" w:themeColor="text1"/>
          <w:sz w:val="24"/>
          <w:szCs w:val="24"/>
        </w:rPr>
        <w:t xml:space="preserve">Since </w:t>
      </w:r>
      <w:r w:rsidR="0038222E" w:rsidRPr="00A8434E">
        <w:rPr>
          <w:color w:val="000000" w:themeColor="text1"/>
          <w:sz w:val="24"/>
          <w:szCs w:val="24"/>
        </w:rPr>
        <w:t xml:space="preserve">21/22 the £0.75m </w:t>
      </w:r>
      <w:r w:rsidR="00510528">
        <w:rPr>
          <w:color w:val="000000" w:themeColor="text1"/>
          <w:sz w:val="24"/>
          <w:szCs w:val="24"/>
        </w:rPr>
        <w:t>has been shown/i</w:t>
      </w:r>
      <w:r w:rsidR="0038222E" w:rsidRPr="00A8434E">
        <w:rPr>
          <w:color w:val="000000" w:themeColor="text1"/>
          <w:sz w:val="24"/>
          <w:szCs w:val="24"/>
        </w:rPr>
        <w:t>ncluded in the pass-through element.</w:t>
      </w:r>
    </w:p>
    <w:p w14:paraId="797BDC55" w14:textId="1FC0AE8E" w:rsidR="00891BFB" w:rsidRPr="001B5F4A" w:rsidRDefault="00891BFB" w:rsidP="00727A8E">
      <w:pPr>
        <w:pStyle w:val="NoSpacing"/>
        <w:rPr>
          <w:color w:val="FF0000"/>
          <w:sz w:val="24"/>
          <w:szCs w:val="24"/>
        </w:rPr>
      </w:pPr>
    </w:p>
    <w:p w14:paraId="2BAD2D0D" w14:textId="66518D9C" w:rsidR="00405C66" w:rsidRDefault="00454633" w:rsidP="006463ED">
      <w:pPr>
        <w:pStyle w:val="NoSpacing"/>
        <w:numPr>
          <w:ilvl w:val="0"/>
          <w:numId w:val="28"/>
        </w:numPr>
        <w:spacing w:after="120"/>
        <w:ind w:left="425" w:hanging="42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Rates to Providers</w:t>
      </w:r>
    </w:p>
    <w:p w14:paraId="2DA61B00" w14:textId="5889CC78" w:rsidR="00EB6BA8" w:rsidRPr="006E38B3" w:rsidRDefault="00EB6BA8" w:rsidP="0002427F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E38B3">
        <w:rPr>
          <w:rFonts w:asciiTheme="minorHAnsi" w:hAnsiTheme="minorHAnsi" w:cstheme="minorHAnsi"/>
          <w:b/>
          <w:i/>
          <w:sz w:val="24"/>
          <w:szCs w:val="24"/>
          <w:lang w:val="en-US"/>
        </w:rPr>
        <w:t>Supplements – Deprivation and Free School Meals.</w:t>
      </w:r>
    </w:p>
    <w:p w14:paraId="58668938" w14:textId="432CA28D" w:rsidR="00EB6BA8" w:rsidRPr="000849BA" w:rsidRDefault="00603ED5" w:rsidP="006E38B3">
      <w:pPr>
        <w:pStyle w:val="NoSpacing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 w:rsidRPr="000849BA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EB6BA8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wo supplements </w:t>
      </w:r>
      <w:r w:rsidRPr="000849BA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EB6BA8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 offered within the formula </w:t>
      </w:r>
      <w:r w:rsidRPr="000849BA">
        <w:rPr>
          <w:rFonts w:asciiTheme="minorHAnsi" w:hAnsiTheme="minorHAnsi" w:cstheme="minorHAnsi"/>
          <w:sz w:val="24"/>
          <w:szCs w:val="24"/>
          <w:lang w:val="en-US"/>
        </w:rPr>
        <w:t>and these relate</w:t>
      </w:r>
      <w:r w:rsidR="00EB6BA8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 to depriv</w:t>
      </w:r>
      <w:r w:rsidR="00632419" w:rsidRPr="000849BA">
        <w:rPr>
          <w:rFonts w:asciiTheme="minorHAnsi" w:hAnsiTheme="minorHAnsi" w:cstheme="minorHAnsi"/>
          <w:sz w:val="24"/>
          <w:szCs w:val="24"/>
          <w:lang w:val="en-US"/>
        </w:rPr>
        <w:t>ation and free school meals</w:t>
      </w:r>
      <w:r w:rsidR="00EB6BA8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DE0B2A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The recommendation is to </w:t>
      </w:r>
      <w:r w:rsidR="00C75D1A" w:rsidRPr="000849BA">
        <w:rPr>
          <w:rFonts w:asciiTheme="minorHAnsi" w:hAnsiTheme="minorHAnsi" w:cstheme="minorHAnsi"/>
          <w:sz w:val="24"/>
          <w:szCs w:val="24"/>
          <w:lang w:val="en-US"/>
        </w:rPr>
        <w:t xml:space="preserve">maintain both.  </w:t>
      </w:r>
    </w:p>
    <w:p w14:paraId="471107DD" w14:textId="3F20F211" w:rsidR="00015B2D" w:rsidRPr="00EE274F" w:rsidRDefault="005966B9" w:rsidP="002D6ECB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EE274F">
        <w:rPr>
          <w:rFonts w:asciiTheme="minorHAnsi" w:hAnsiTheme="minorHAnsi" w:cstheme="minorHAnsi"/>
          <w:sz w:val="24"/>
          <w:szCs w:val="24"/>
        </w:rPr>
        <w:t xml:space="preserve">Deprivation rates </w:t>
      </w:r>
      <w:r w:rsidR="00CC4E6D" w:rsidRPr="00EE274F">
        <w:rPr>
          <w:rFonts w:asciiTheme="minorHAnsi" w:hAnsiTheme="minorHAnsi" w:cstheme="minorHAnsi"/>
          <w:sz w:val="24"/>
          <w:szCs w:val="24"/>
        </w:rPr>
        <w:t xml:space="preserve">were uplifted last year in </w:t>
      </w:r>
      <w:r w:rsidR="002D6ECB" w:rsidRPr="00EE274F">
        <w:rPr>
          <w:rFonts w:asciiTheme="minorHAnsi" w:hAnsiTheme="minorHAnsi" w:cstheme="minorHAnsi"/>
          <w:sz w:val="24"/>
          <w:szCs w:val="24"/>
        </w:rPr>
        <w:t xml:space="preserve">line with inflation </w:t>
      </w:r>
      <w:r w:rsidR="00AB012E" w:rsidRPr="00EE274F">
        <w:rPr>
          <w:rFonts w:asciiTheme="minorHAnsi" w:hAnsiTheme="minorHAnsi" w:cstheme="minorHAnsi"/>
          <w:sz w:val="24"/>
          <w:szCs w:val="24"/>
        </w:rPr>
        <w:t xml:space="preserve">(using the Consumer Price Index) </w:t>
      </w:r>
      <w:r w:rsidR="002D6ECB" w:rsidRPr="00EE274F">
        <w:rPr>
          <w:rFonts w:asciiTheme="minorHAnsi" w:hAnsiTheme="minorHAnsi" w:cstheme="minorHAnsi"/>
          <w:sz w:val="24"/>
          <w:szCs w:val="24"/>
        </w:rPr>
        <w:t>over the last 4 years (Total increase of 4.8%).</w:t>
      </w:r>
      <w:r w:rsidR="00CC4E6D" w:rsidRPr="00EE27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CF4974" w14:textId="08177E7E" w:rsidR="00EE274F" w:rsidRPr="00EE274F" w:rsidRDefault="0065467D" w:rsidP="0065467D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65467D">
        <w:rPr>
          <w:rFonts w:asciiTheme="minorHAnsi" w:hAnsiTheme="minorHAnsi" w:cstheme="minorHAnsi"/>
          <w:sz w:val="24"/>
          <w:szCs w:val="24"/>
        </w:rPr>
        <w:t xml:space="preserve">The deprivation supplement is added to the base rate when a child lives within an identified postcode according to the Index of Multiple Deprivation as </w:t>
      </w:r>
      <w:r w:rsidR="00752B45" w:rsidRPr="0065467D">
        <w:rPr>
          <w:rFonts w:asciiTheme="minorHAnsi" w:hAnsiTheme="minorHAnsi" w:cstheme="minorHAnsi"/>
          <w:sz w:val="24"/>
          <w:szCs w:val="24"/>
        </w:rPr>
        <w:t>follows: -</w:t>
      </w:r>
    </w:p>
    <w:p w14:paraId="4F170D37" w14:textId="7FEFDC42" w:rsidR="00EE274F" w:rsidRPr="00EE274F" w:rsidRDefault="0065467D" w:rsidP="00752B45">
      <w:pPr>
        <w:pStyle w:val="NoSpacing"/>
        <w:numPr>
          <w:ilvl w:val="0"/>
          <w:numId w:val="44"/>
        </w:numPr>
        <w:spacing w:after="12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5467D">
        <w:rPr>
          <w:rFonts w:asciiTheme="minorHAnsi" w:hAnsiTheme="minorHAnsi" w:cstheme="minorHAnsi"/>
          <w:sz w:val="24"/>
          <w:szCs w:val="24"/>
        </w:rPr>
        <w:t xml:space="preserve">0-5% SOA </w:t>
      </w:r>
      <w:r w:rsidRPr="0065467D">
        <w:rPr>
          <w:rFonts w:asciiTheme="minorHAnsi" w:hAnsiTheme="minorHAnsi" w:cstheme="minorHAnsi"/>
          <w:sz w:val="24"/>
          <w:szCs w:val="24"/>
        </w:rPr>
        <w:tab/>
      </w:r>
      <w:r w:rsidRPr="0065467D">
        <w:rPr>
          <w:rFonts w:asciiTheme="minorHAnsi" w:hAnsiTheme="minorHAnsi" w:cstheme="minorHAnsi"/>
          <w:sz w:val="24"/>
          <w:szCs w:val="24"/>
        </w:rPr>
        <w:tab/>
        <w:t>- £0.61</w:t>
      </w:r>
    </w:p>
    <w:p w14:paraId="030B43AA" w14:textId="77777777" w:rsidR="00EE274F" w:rsidRPr="00EE274F" w:rsidRDefault="0065467D" w:rsidP="00752B45">
      <w:pPr>
        <w:pStyle w:val="NoSpacing"/>
        <w:numPr>
          <w:ilvl w:val="0"/>
          <w:numId w:val="44"/>
        </w:numPr>
        <w:spacing w:after="12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5467D">
        <w:rPr>
          <w:rFonts w:asciiTheme="minorHAnsi" w:hAnsiTheme="minorHAnsi" w:cstheme="minorHAnsi"/>
          <w:sz w:val="24"/>
          <w:szCs w:val="24"/>
        </w:rPr>
        <w:t xml:space="preserve">5-10% SOA </w:t>
      </w:r>
      <w:r w:rsidRPr="0065467D">
        <w:rPr>
          <w:rFonts w:asciiTheme="minorHAnsi" w:hAnsiTheme="minorHAnsi" w:cstheme="minorHAnsi"/>
          <w:sz w:val="24"/>
          <w:szCs w:val="24"/>
        </w:rPr>
        <w:tab/>
      </w:r>
      <w:r w:rsidRPr="0065467D">
        <w:rPr>
          <w:rFonts w:asciiTheme="minorHAnsi" w:hAnsiTheme="minorHAnsi" w:cstheme="minorHAnsi"/>
          <w:sz w:val="24"/>
          <w:szCs w:val="24"/>
        </w:rPr>
        <w:tab/>
        <w:t>- £0.29</w:t>
      </w:r>
    </w:p>
    <w:p w14:paraId="2116B532" w14:textId="696FDA01" w:rsidR="0065467D" w:rsidRPr="00EE274F" w:rsidRDefault="0065467D" w:rsidP="00EE274F">
      <w:pPr>
        <w:pStyle w:val="NoSpacing"/>
        <w:numPr>
          <w:ilvl w:val="0"/>
          <w:numId w:val="4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EE274F">
        <w:rPr>
          <w:rFonts w:asciiTheme="minorHAnsi" w:hAnsiTheme="minorHAnsi" w:cstheme="minorHAnsi"/>
          <w:sz w:val="24"/>
          <w:szCs w:val="24"/>
        </w:rPr>
        <w:t xml:space="preserve">10-20% SOA </w:t>
      </w:r>
      <w:r w:rsidRPr="00EE274F">
        <w:rPr>
          <w:rFonts w:asciiTheme="minorHAnsi" w:hAnsiTheme="minorHAnsi" w:cstheme="minorHAnsi"/>
          <w:sz w:val="24"/>
          <w:szCs w:val="24"/>
        </w:rPr>
        <w:tab/>
      </w:r>
      <w:r w:rsidRPr="00EE274F">
        <w:rPr>
          <w:rFonts w:asciiTheme="minorHAnsi" w:hAnsiTheme="minorHAnsi" w:cstheme="minorHAnsi"/>
          <w:sz w:val="24"/>
          <w:szCs w:val="24"/>
        </w:rPr>
        <w:tab/>
        <w:t>- £0.08</w:t>
      </w:r>
    </w:p>
    <w:p w14:paraId="2B121276" w14:textId="77777777" w:rsidR="00752B45" w:rsidRPr="00EE274F" w:rsidRDefault="00015B2D" w:rsidP="00752B45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EE274F">
        <w:rPr>
          <w:rFonts w:asciiTheme="minorHAnsi" w:hAnsiTheme="minorHAnsi" w:cstheme="minorHAnsi"/>
          <w:sz w:val="24"/>
          <w:szCs w:val="24"/>
        </w:rPr>
        <w:t>It is proposed that these are mainta</w:t>
      </w:r>
      <w:r w:rsidR="00670F1F" w:rsidRPr="00EE274F">
        <w:rPr>
          <w:rFonts w:asciiTheme="minorHAnsi" w:hAnsiTheme="minorHAnsi" w:cstheme="minorHAnsi"/>
          <w:sz w:val="24"/>
          <w:szCs w:val="24"/>
        </w:rPr>
        <w:t xml:space="preserve">ined at the same levels as set out </w:t>
      </w:r>
      <w:r w:rsidR="00EE274F" w:rsidRPr="00EE274F">
        <w:rPr>
          <w:rFonts w:asciiTheme="minorHAnsi" w:hAnsiTheme="minorHAnsi" w:cstheme="minorHAnsi"/>
          <w:sz w:val="24"/>
          <w:szCs w:val="24"/>
        </w:rPr>
        <w:t>above</w:t>
      </w:r>
      <w:r w:rsidR="00670F1F" w:rsidRPr="00EE274F">
        <w:rPr>
          <w:rFonts w:asciiTheme="minorHAnsi" w:hAnsiTheme="minorHAnsi" w:cstheme="minorHAnsi"/>
          <w:sz w:val="24"/>
          <w:szCs w:val="24"/>
        </w:rPr>
        <w:t>.</w:t>
      </w:r>
      <w:r w:rsidR="00752B45">
        <w:rPr>
          <w:rFonts w:asciiTheme="minorHAnsi" w:hAnsiTheme="minorHAnsi" w:cstheme="minorHAnsi"/>
          <w:sz w:val="24"/>
          <w:szCs w:val="24"/>
        </w:rPr>
        <w:t xml:space="preserve"> A</w:t>
      </w:r>
      <w:r w:rsidR="00752B45" w:rsidRPr="00DC755B">
        <w:rPr>
          <w:rFonts w:asciiTheme="minorHAnsi" w:hAnsiTheme="minorHAnsi" w:cstheme="minorHAnsi"/>
          <w:sz w:val="24"/>
          <w:szCs w:val="24"/>
        </w:rPr>
        <w:t xml:space="preserve">s </w:t>
      </w:r>
      <w:r w:rsidR="00752B45">
        <w:rPr>
          <w:rFonts w:asciiTheme="minorHAnsi" w:hAnsiTheme="minorHAnsi" w:cstheme="minorHAnsi"/>
          <w:sz w:val="24"/>
          <w:szCs w:val="24"/>
        </w:rPr>
        <w:t>the deprivation supplement i</w:t>
      </w:r>
      <w:r w:rsidR="00752B45" w:rsidRPr="00DC755B">
        <w:rPr>
          <w:rFonts w:asciiTheme="minorHAnsi" w:hAnsiTheme="minorHAnsi" w:cstheme="minorHAnsi"/>
          <w:sz w:val="24"/>
          <w:szCs w:val="24"/>
        </w:rPr>
        <w:t>s linked to child's home postcode it is not always targeted to those most in need</w:t>
      </w:r>
      <w:r w:rsidR="00752B45">
        <w:rPr>
          <w:rFonts w:asciiTheme="minorHAnsi" w:hAnsiTheme="minorHAnsi" w:cstheme="minorHAnsi"/>
          <w:sz w:val="24"/>
          <w:szCs w:val="24"/>
        </w:rPr>
        <w:t>, therefore the priority is to maximise the increase on the base rate</w:t>
      </w:r>
      <w:r w:rsidR="00752B45" w:rsidRPr="00DC755B">
        <w:rPr>
          <w:rFonts w:asciiTheme="minorHAnsi" w:hAnsiTheme="minorHAnsi" w:cstheme="minorHAnsi"/>
          <w:sz w:val="24"/>
          <w:szCs w:val="24"/>
        </w:rPr>
        <w:t>.</w:t>
      </w:r>
    </w:p>
    <w:p w14:paraId="63C242B7" w14:textId="0DF1E743" w:rsidR="00CE4F1E" w:rsidRPr="00CE4F1E" w:rsidRDefault="00CE4F1E" w:rsidP="00CE4F1E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i/>
          <w:iCs/>
          <w:sz w:val="24"/>
          <w:szCs w:val="24"/>
        </w:rPr>
      </w:pPr>
      <w:r w:rsidRPr="00CE4F1E">
        <w:rPr>
          <w:rFonts w:asciiTheme="minorHAnsi" w:hAnsiTheme="minorHAnsi" w:cstheme="minorHAnsi"/>
          <w:b/>
          <w:i/>
          <w:iCs/>
          <w:sz w:val="24"/>
          <w:szCs w:val="24"/>
        </w:rPr>
        <w:t>Inclusion Funding – ISEY</w:t>
      </w:r>
    </w:p>
    <w:p w14:paraId="2E8643FE" w14:textId="77777777" w:rsidR="00CE4F1E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Currently there is £1.0m of the EY DSG block allocated to </w:t>
      </w:r>
      <w:r w:rsidRPr="00AA27AF">
        <w:rPr>
          <w:rFonts w:asciiTheme="minorHAnsi" w:hAnsiTheme="minorHAnsi" w:cstheme="minorHAnsi"/>
          <w:bCs/>
          <w:sz w:val="24"/>
          <w:szCs w:val="24"/>
        </w:rPr>
        <w:t>ISEY</w:t>
      </w:r>
      <w:r>
        <w:rPr>
          <w:rFonts w:asciiTheme="minorHAnsi" w:hAnsiTheme="minorHAnsi" w:cstheme="minorHAnsi"/>
          <w:bCs/>
          <w:sz w:val="24"/>
          <w:szCs w:val="24"/>
        </w:rPr>
        <w:t xml:space="preserve">. The allocation to ISEY from the EY block is matched by the High Needs Block (HNB). This means the total ISEY funding in Birmingham is £2m and £1.75m of this is paid to providers to support children with SEND to access their education entitlement. </w:t>
      </w:r>
    </w:p>
    <w:p w14:paraId="6FEB351F" w14:textId="77777777" w:rsidR="00CE4F1E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The review this year has again confirmed that this area has a very high and increasing demand. </w:t>
      </w:r>
      <w:r w:rsidRPr="00AA27AF">
        <w:rPr>
          <w:rFonts w:asciiTheme="minorHAnsi" w:hAnsiTheme="minorHAnsi" w:cstheme="minorHAnsi"/>
          <w:bCs/>
          <w:sz w:val="24"/>
          <w:szCs w:val="24"/>
        </w:rPr>
        <w:t>Whilst felt it is important – there was also a view that the ISEY pot can only sustain a small number of children in comparison</w:t>
      </w:r>
      <w:r>
        <w:rPr>
          <w:rFonts w:asciiTheme="minorHAnsi" w:hAnsiTheme="minorHAnsi" w:cstheme="minorHAnsi"/>
          <w:bCs/>
          <w:sz w:val="24"/>
          <w:szCs w:val="24"/>
        </w:rPr>
        <w:t xml:space="preserve"> to the whole eligible cohort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 xml:space="preserve">At the current funding rates for ISEY, only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166 children can benefit from an increase </w:t>
      </w:r>
      <w:r>
        <w:rPr>
          <w:rFonts w:asciiTheme="minorHAnsi" w:hAnsiTheme="minorHAnsi" w:cstheme="minorHAnsi"/>
          <w:bCs/>
          <w:sz w:val="24"/>
          <w:szCs w:val="24"/>
        </w:rPr>
        <w:t xml:space="preserve">to the ISEY fund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of £0.5m. </w:t>
      </w:r>
      <w:r>
        <w:rPr>
          <w:rFonts w:asciiTheme="minorHAnsi" w:hAnsiTheme="minorHAnsi" w:cstheme="minorHAnsi"/>
          <w:bCs/>
          <w:sz w:val="24"/>
          <w:szCs w:val="24"/>
        </w:rPr>
        <w:t>This has had to be weighed off against the fact that a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ll children would benefit with an increased base rate </w:t>
      </w:r>
      <w:r>
        <w:rPr>
          <w:rFonts w:asciiTheme="minorHAnsi" w:hAnsiTheme="minorHAnsi" w:cstheme="minorHAnsi"/>
          <w:bCs/>
          <w:sz w:val="24"/>
          <w:szCs w:val="24"/>
        </w:rPr>
        <w:t>(a</w:t>
      </w:r>
      <w:r w:rsidRPr="00AA27AF">
        <w:rPr>
          <w:rFonts w:asciiTheme="minorHAnsi" w:hAnsiTheme="minorHAnsi" w:cstheme="minorHAnsi"/>
          <w:bCs/>
          <w:sz w:val="24"/>
          <w:szCs w:val="24"/>
        </w:rPr>
        <w:t>n additional increase of 4p per hour/child is possible if ISEY is not increased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Pr="00AA27AF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D61DBE7" w14:textId="77777777" w:rsidR="00CE4F1E" w:rsidRPr="00AA27AF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Another factor considered is that the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HNB cannot be guaranteed to match-fund any increase from the EY block whilst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SEND </w:t>
      </w:r>
      <w:r w:rsidRPr="00AA27AF">
        <w:rPr>
          <w:rFonts w:asciiTheme="minorHAnsi" w:hAnsiTheme="minorHAnsi" w:cstheme="minorHAnsi"/>
          <w:bCs/>
          <w:sz w:val="24"/>
          <w:szCs w:val="24"/>
        </w:rPr>
        <w:t>review is ongoing.</w:t>
      </w:r>
      <w:r>
        <w:rPr>
          <w:rFonts w:asciiTheme="minorHAnsi" w:hAnsiTheme="minorHAnsi" w:cstheme="minorHAnsi"/>
          <w:bCs/>
          <w:sz w:val="24"/>
          <w:szCs w:val="24"/>
        </w:rPr>
        <w:t xml:space="preserve"> An a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lternative option of increasing ISEY by £250k </w:t>
      </w:r>
      <w:r>
        <w:rPr>
          <w:rFonts w:asciiTheme="minorHAnsi" w:hAnsiTheme="minorHAnsi" w:cstheme="minorHAnsi"/>
          <w:bCs/>
          <w:sz w:val="24"/>
          <w:szCs w:val="24"/>
        </w:rPr>
        <w:t xml:space="preserve">was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considered for 22/23 BUT without match funding </w:t>
      </w:r>
      <w:r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would not be significant enough to make a difference and would </w:t>
      </w:r>
      <w:r>
        <w:rPr>
          <w:rFonts w:asciiTheme="minorHAnsi" w:hAnsiTheme="minorHAnsi" w:cstheme="minorHAnsi"/>
          <w:bCs/>
          <w:sz w:val="24"/>
          <w:szCs w:val="24"/>
        </w:rPr>
        <w:t xml:space="preserve">limit the 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increase in base rate by 2p.  </w:t>
      </w:r>
    </w:p>
    <w:p w14:paraId="1E3DE74A" w14:textId="7FEABD24" w:rsidR="00CE4F1E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the EY DSG has been confirmed as a three-year allocation, with the largest increases in year 2 and 3, this gives the option to increase the ISEY fund over the 3 years. This will also enable the SEND review to be completed with a</w:t>
      </w:r>
      <w:r w:rsidR="000866E7">
        <w:rPr>
          <w:rFonts w:asciiTheme="minorHAnsi" w:hAnsiTheme="minorHAnsi" w:cstheme="minorHAnsi"/>
          <w:bCs/>
          <w:sz w:val="24"/>
          <w:szCs w:val="24"/>
        </w:rPr>
        <w:t>n ask</w:t>
      </w:r>
      <w:r>
        <w:rPr>
          <w:rFonts w:asciiTheme="minorHAnsi" w:hAnsiTheme="minorHAnsi" w:cstheme="minorHAnsi"/>
          <w:bCs/>
          <w:sz w:val="24"/>
          <w:szCs w:val="24"/>
        </w:rPr>
        <w:t xml:space="preserve"> that the HNB can again match the committed increase over the same 3-year period.  </w:t>
      </w:r>
    </w:p>
    <w:p w14:paraId="47DEC877" w14:textId="77777777" w:rsidR="00CE4F1E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ISEY will therefore be increased by £0.75m from the EY block as follows: -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  <w:tblDescription w:val="ISEY increase table"/>
      </w:tblPr>
      <w:tblGrid>
        <w:gridCol w:w="2122"/>
        <w:gridCol w:w="1559"/>
        <w:gridCol w:w="1417"/>
        <w:gridCol w:w="1560"/>
      </w:tblGrid>
      <w:tr w:rsidR="00CE4F1E" w14:paraId="321E1052" w14:textId="77777777" w:rsidTr="0085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48BD5B1E" w14:textId="77777777" w:rsidR="00CE4F1E" w:rsidRPr="00855417" w:rsidRDefault="00CE4F1E" w:rsidP="00AE3D80">
            <w:pPr>
              <w:pStyle w:val="NoSpacing"/>
              <w:spacing w:after="1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855417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Financial Year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5D583B" w14:textId="77777777" w:rsidR="00CE4F1E" w:rsidRPr="00855417" w:rsidRDefault="00CE4F1E" w:rsidP="00AE3D80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855417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EY Block ISEY (centrally retained) £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0E8A1A" w14:textId="77777777" w:rsidR="00CE4F1E" w:rsidRPr="00855417" w:rsidRDefault="00CE4F1E" w:rsidP="00AE3D80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855417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EY Block ISEY Allocation £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BD4E9E6" w14:textId="77777777" w:rsidR="00CE4F1E" w:rsidRPr="00855417" w:rsidRDefault="00CE4F1E" w:rsidP="00AE3D80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855417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Increase £</w:t>
            </w:r>
          </w:p>
        </w:tc>
      </w:tr>
      <w:tr w:rsidR="00CE4F1E" w14:paraId="428881A8" w14:textId="77777777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64E5B1" w14:textId="77777777" w:rsidR="00CE4F1E" w:rsidRDefault="00CE4F1E" w:rsidP="00AE3D80">
            <w:pPr>
              <w:pStyle w:val="NoSpacing"/>
              <w:spacing w:after="12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2022 - 2023</w:t>
            </w:r>
          </w:p>
        </w:tc>
        <w:tc>
          <w:tcPr>
            <w:tcW w:w="1559" w:type="dxa"/>
          </w:tcPr>
          <w:p w14:paraId="27CC9137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0.25m</w:t>
            </w:r>
          </w:p>
        </w:tc>
        <w:tc>
          <w:tcPr>
            <w:tcW w:w="1417" w:type="dxa"/>
          </w:tcPr>
          <w:p w14:paraId="6DEBC39E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0.75m</w:t>
            </w:r>
          </w:p>
        </w:tc>
        <w:tc>
          <w:tcPr>
            <w:tcW w:w="1560" w:type="dxa"/>
          </w:tcPr>
          <w:p w14:paraId="08BC8009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CE4F1E" w14:paraId="0AD5D7AE" w14:textId="77777777" w:rsidTr="00AE3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E2E034" w14:textId="77777777" w:rsidR="00CE4F1E" w:rsidRDefault="00CE4F1E" w:rsidP="00AE3D80">
            <w:pPr>
              <w:pStyle w:val="NoSpacing"/>
              <w:spacing w:after="12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2023 - 2024</w:t>
            </w:r>
          </w:p>
        </w:tc>
        <w:tc>
          <w:tcPr>
            <w:tcW w:w="1559" w:type="dxa"/>
          </w:tcPr>
          <w:p w14:paraId="5FBFDA05" w14:textId="77777777" w:rsidR="00CE4F1E" w:rsidRDefault="00CE4F1E" w:rsidP="00AE3D80">
            <w:pPr>
              <w:pStyle w:val="NoSpacing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0.25m</w:t>
            </w:r>
          </w:p>
        </w:tc>
        <w:tc>
          <w:tcPr>
            <w:tcW w:w="1417" w:type="dxa"/>
          </w:tcPr>
          <w:p w14:paraId="5E1BD552" w14:textId="77777777" w:rsidR="00CE4F1E" w:rsidRDefault="00CE4F1E" w:rsidP="00AE3D80">
            <w:pPr>
              <w:pStyle w:val="NoSpacing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1.25m</w:t>
            </w:r>
          </w:p>
        </w:tc>
        <w:tc>
          <w:tcPr>
            <w:tcW w:w="1560" w:type="dxa"/>
          </w:tcPr>
          <w:p w14:paraId="6CD38D05" w14:textId="77777777" w:rsidR="00CE4F1E" w:rsidRDefault="00CE4F1E" w:rsidP="00AE3D80">
            <w:pPr>
              <w:pStyle w:val="NoSpacing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0.5m</w:t>
            </w:r>
          </w:p>
        </w:tc>
      </w:tr>
      <w:tr w:rsidR="00CE4F1E" w14:paraId="42388C01" w14:textId="77777777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BFE030" w14:textId="77777777" w:rsidR="00CE4F1E" w:rsidRDefault="00CE4F1E" w:rsidP="00AE3D80">
            <w:pPr>
              <w:pStyle w:val="NoSpacing"/>
              <w:spacing w:after="12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2024 - 2025</w:t>
            </w:r>
          </w:p>
        </w:tc>
        <w:tc>
          <w:tcPr>
            <w:tcW w:w="1559" w:type="dxa"/>
          </w:tcPr>
          <w:p w14:paraId="04087133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0.25m</w:t>
            </w:r>
          </w:p>
        </w:tc>
        <w:tc>
          <w:tcPr>
            <w:tcW w:w="1417" w:type="dxa"/>
          </w:tcPr>
          <w:p w14:paraId="52EB6A3F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1.5m</w:t>
            </w:r>
          </w:p>
        </w:tc>
        <w:tc>
          <w:tcPr>
            <w:tcW w:w="1560" w:type="dxa"/>
          </w:tcPr>
          <w:p w14:paraId="2C57DFFC" w14:textId="77777777" w:rsidR="00CE4F1E" w:rsidRDefault="00CE4F1E" w:rsidP="00AE3D80">
            <w:pPr>
              <w:pStyle w:val="NoSpacing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0.25m</w:t>
            </w:r>
          </w:p>
        </w:tc>
      </w:tr>
    </w:tbl>
    <w:p w14:paraId="0E5FEAD1" w14:textId="6BFB967C" w:rsidR="00CE4F1E" w:rsidRDefault="00CE4F1E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Pr="00AA27AF">
        <w:rPr>
          <w:rFonts w:asciiTheme="minorHAnsi" w:hAnsiTheme="minorHAnsi" w:cstheme="minorHAnsi"/>
          <w:bCs/>
          <w:sz w:val="24"/>
          <w:szCs w:val="24"/>
        </w:rPr>
        <w:t>his w</w:t>
      </w:r>
      <w:r>
        <w:rPr>
          <w:rFonts w:asciiTheme="minorHAnsi" w:hAnsiTheme="minorHAnsi" w:cstheme="minorHAnsi"/>
          <w:bCs/>
          <w:sz w:val="24"/>
          <w:szCs w:val="24"/>
        </w:rPr>
        <w:t>ill</w:t>
      </w:r>
      <w:r w:rsidRPr="00AA27AF">
        <w:rPr>
          <w:rFonts w:asciiTheme="minorHAnsi" w:hAnsiTheme="minorHAnsi" w:cstheme="minorHAnsi"/>
          <w:bCs/>
          <w:sz w:val="24"/>
          <w:szCs w:val="24"/>
        </w:rPr>
        <w:t xml:space="preserve"> increase the ISEY funding by £0.75m over the 3 years and would enable the maximum increase in hourly base rates over the same 3 years given that the budget increase as part of the CSR is greatest in Y2 and 3.</w:t>
      </w:r>
    </w:p>
    <w:p w14:paraId="2DC913ED" w14:textId="26ADF91A" w:rsidR="00863B5C" w:rsidRPr="00191062" w:rsidRDefault="00863B5C" w:rsidP="00CE4F1E">
      <w:pPr>
        <w:pStyle w:val="NoSpacing"/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This will need to be reviewed on an annual basis as part of the annual rates review process to ensure that it is affordable within the allocation </w:t>
      </w:r>
      <w:r w:rsidR="00D726DB">
        <w:rPr>
          <w:rFonts w:asciiTheme="minorHAnsi" w:hAnsiTheme="minorHAnsi" w:cstheme="minorHAnsi"/>
          <w:bCs/>
          <w:sz w:val="24"/>
          <w:szCs w:val="24"/>
        </w:rPr>
        <w:t xml:space="preserve">once this is confirmed each year by the DfE. </w:t>
      </w:r>
    </w:p>
    <w:p w14:paraId="6C6C4AD2" w14:textId="4808BBC8" w:rsidR="00EB6BA8" w:rsidRPr="00CE4F1E" w:rsidRDefault="009F74A0" w:rsidP="00CE4F1E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</w:pPr>
      <w:r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>Base</w:t>
      </w:r>
      <w:r w:rsidR="00F37437"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EB6BA8"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Rates for 3 </w:t>
      </w:r>
      <w:r w:rsidR="00603ED5"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and 4 Year </w:t>
      </w:r>
      <w:proofErr w:type="spellStart"/>
      <w:r w:rsidR="00603ED5"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>Olds</w:t>
      </w:r>
      <w:proofErr w:type="spellEnd"/>
      <w:r w:rsidR="00603ED5" w:rsidRPr="00CE4F1E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 for Providers.</w:t>
      </w:r>
    </w:p>
    <w:p w14:paraId="7F7D084A" w14:textId="77D05DE4" w:rsidR="004B0C94" w:rsidRDefault="00C77239" w:rsidP="00CE4F1E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95% pass through amount also </w:t>
      </w:r>
      <w:r w:rsidR="003727C0"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must</w:t>
      </w:r>
      <w:r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take account of the funding allocated to </w:t>
      </w:r>
      <w:r w:rsidR="00072FCB"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ISEY, deprivation and Free School Meals</w:t>
      </w:r>
      <w:r w:rsidR="00E533B2"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BD21C7" w:rsidRPr="00CE4F1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5070E17" w14:textId="318161AA" w:rsidR="00B52EB1" w:rsidRPr="0083682C" w:rsidRDefault="00CE4F1E" w:rsidP="002038C3">
      <w:pPr>
        <w:pStyle w:val="NoSpacing"/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There will be a national increase to the rate that is allocated to the Council by the DfE as part of the additional funding of £</w:t>
      </w:r>
      <w:r w:rsidR="005D7824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160</w:t>
      </w:r>
      <w:r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</w:t>
      </w:r>
      <w:r w:rsidR="005D7824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for 2022/23</w:t>
      </w:r>
      <w:r w:rsidR="008131FA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£180m in 2023/24 and £170m in </w:t>
      </w:r>
      <w:r w:rsidR="00300BE8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</w:t>
      </w:r>
      <w:r w:rsidR="008131FA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024/25</w:t>
      </w:r>
      <w:r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The increase will be split to increase the </w:t>
      </w:r>
      <w:r w:rsidR="005D7824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proportion of </w:t>
      </w:r>
      <w:r w:rsidR="00EE3583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funding </w:t>
      </w:r>
      <w:r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retained centrally (see 4.0 for detail) with </w:t>
      </w:r>
      <w:r w:rsidR="00EE3583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remainder </w:t>
      </w:r>
      <w:r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used to increase the base rate</w:t>
      </w:r>
      <w:r w:rsidR="00300BE8" w:rsidRPr="0083682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and in years 2 and 3, to increase ISEY</w:t>
      </w:r>
      <w:r w:rsidRPr="0083682C">
        <w:rPr>
          <w:color w:val="000000" w:themeColor="text1"/>
          <w:sz w:val="24"/>
          <w:szCs w:val="24"/>
        </w:rPr>
        <w:t>.</w:t>
      </w:r>
    </w:p>
    <w:tbl>
      <w:tblPr>
        <w:tblStyle w:val="GridTable5Dark-Accent11"/>
        <w:tblW w:w="0" w:type="auto"/>
        <w:tblInd w:w="-5" w:type="dxa"/>
        <w:tblLook w:val="04A0" w:firstRow="1" w:lastRow="0" w:firstColumn="1" w:lastColumn="0" w:noHBand="0" w:noVBand="1"/>
        <w:tblDescription w:val="Base Rates for 3 and 4 Year Olds for Providers"/>
      </w:tblPr>
      <w:tblGrid>
        <w:gridCol w:w="2371"/>
        <w:gridCol w:w="2160"/>
        <w:gridCol w:w="2127"/>
        <w:gridCol w:w="1842"/>
      </w:tblGrid>
      <w:tr w:rsidR="00D115D8" w:rsidRPr="00D115D8" w14:paraId="4E065129" w14:textId="77777777" w:rsidTr="0085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2F2F2" w:themeFill="background1" w:themeFillShade="F2"/>
          </w:tcPr>
          <w:p w14:paraId="40552184" w14:textId="77777777" w:rsidR="00C3186F" w:rsidRPr="00855417" w:rsidRDefault="00C3186F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CF38E63" w14:textId="4775A0BC" w:rsidR="00C3186F" w:rsidRPr="00855417" w:rsidRDefault="00C3186F" w:rsidP="00000E14">
            <w:pPr>
              <w:pStyle w:val="NoSpac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55417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Maintained Nursery Schools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6AA1FBD" w14:textId="63E0A6DD" w:rsidR="00C3186F" w:rsidRPr="00855417" w:rsidRDefault="00C3186F" w:rsidP="00000E14">
            <w:pPr>
              <w:pStyle w:val="NoSpac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55417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Schools with Nursery </w:t>
            </w:r>
            <w:r w:rsidR="00000E14" w:rsidRPr="00855417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908336" w14:textId="712EC08C" w:rsidR="00C3186F" w:rsidRPr="00855417" w:rsidRDefault="00000E14" w:rsidP="00000E14">
            <w:pPr>
              <w:pStyle w:val="NoSpac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55417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PVIs</w:t>
            </w:r>
          </w:p>
        </w:tc>
      </w:tr>
      <w:tr w:rsidR="00D115D8" w:rsidRPr="00D115D8" w14:paraId="2357545F" w14:textId="77777777" w:rsidTr="00D1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D99594" w:themeFill="accent2" w:themeFillTint="99"/>
          </w:tcPr>
          <w:p w14:paraId="6364619E" w14:textId="5DBB2994" w:rsidR="00C3186F" w:rsidRPr="00D115D8" w:rsidRDefault="00000E14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2016/17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14:paraId="1D01CE6E" w14:textId="33175B71" w:rsidR="00C3186F" w:rsidRPr="00D115D8" w:rsidRDefault="000F5386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6.20 +l</w:t>
            </w:r>
            <w:r w:rsidR="00347EE4"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ump sum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14:paraId="6959183E" w14:textId="40B3391E" w:rsidR="00C3186F" w:rsidRPr="00D115D8" w:rsidRDefault="00347EE4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4.84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A03EAE7" w14:textId="55D825E0" w:rsidR="00C3186F" w:rsidRPr="00D115D8" w:rsidRDefault="00347EE4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4.03</w:t>
            </w:r>
          </w:p>
        </w:tc>
      </w:tr>
      <w:tr w:rsidR="00D115D8" w:rsidRPr="00D115D8" w14:paraId="3749BB4B" w14:textId="77777777" w:rsidTr="00D1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684C79AE" w14:textId="102BAF53" w:rsidR="000F5386" w:rsidRPr="00D115D8" w:rsidRDefault="00000E14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2017/18</w:t>
            </w:r>
          </w:p>
        </w:tc>
        <w:tc>
          <w:tcPr>
            <w:tcW w:w="2160" w:type="dxa"/>
          </w:tcPr>
          <w:p w14:paraId="58E4F8C1" w14:textId="645265BA" w:rsidR="00C3186F" w:rsidRPr="00D115D8" w:rsidRDefault="00347EE4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4.24 + protection</w:t>
            </w:r>
          </w:p>
        </w:tc>
        <w:tc>
          <w:tcPr>
            <w:tcW w:w="2127" w:type="dxa"/>
          </w:tcPr>
          <w:p w14:paraId="6327D735" w14:textId="15292F0A" w:rsidR="00C3186F" w:rsidRPr="00D115D8" w:rsidRDefault="00347EE4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842" w:type="dxa"/>
          </w:tcPr>
          <w:p w14:paraId="0A77F6F5" w14:textId="13EE50E1" w:rsidR="00C3186F" w:rsidRPr="00D115D8" w:rsidRDefault="00347EE4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4.23</w:t>
            </w:r>
          </w:p>
        </w:tc>
      </w:tr>
      <w:tr w:rsidR="00D115D8" w:rsidRPr="00D115D8" w14:paraId="7430E357" w14:textId="77777777" w:rsidTr="00D1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22A2FF1E" w14:textId="759B378B" w:rsidR="00C3186F" w:rsidRPr="00D115D8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2018/19</w:t>
            </w:r>
          </w:p>
        </w:tc>
        <w:tc>
          <w:tcPr>
            <w:tcW w:w="2160" w:type="dxa"/>
          </w:tcPr>
          <w:p w14:paraId="6221F7B1" w14:textId="260DF818" w:rsidR="00C3186F" w:rsidRPr="00D115D8" w:rsidRDefault="00C144C9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 + protection</w:t>
            </w:r>
          </w:p>
        </w:tc>
        <w:tc>
          <w:tcPr>
            <w:tcW w:w="2127" w:type="dxa"/>
          </w:tcPr>
          <w:p w14:paraId="4C281A51" w14:textId="79C75436" w:rsidR="00C3186F" w:rsidRPr="00D115D8" w:rsidRDefault="00C144C9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842" w:type="dxa"/>
          </w:tcPr>
          <w:p w14:paraId="3986672C" w14:textId="354547EE" w:rsidR="00C3186F" w:rsidRPr="00D115D8" w:rsidRDefault="00B52EB1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</w:tr>
      <w:tr w:rsidR="00D115D8" w:rsidRPr="00D115D8" w14:paraId="193A6569" w14:textId="77777777" w:rsidTr="00D1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28E7113" w14:textId="46151B1C" w:rsidR="00C3186F" w:rsidRPr="00D115D8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2019/20</w:t>
            </w:r>
          </w:p>
        </w:tc>
        <w:tc>
          <w:tcPr>
            <w:tcW w:w="2160" w:type="dxa"/>
          </w:tcPr>
          <w:p w14:paraId="7D94B21A" w14:textId="0A91AD33" w:rsidR="00C3186F" w:rsidRPr="00D115D8" w:rsidRDefault="00C144C9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 + protection</w:t>
            </w:r>
          </w:p>
        </w:tc>
        <w:tc>
          <w:tcPr>
            <w:tcW w:w="2127" w:type="dxa"/>
          </w:tcPr>
          <w:p w14:paraId="4C81853B" w14:textId="1E936F9C" w:rsidR="00C3186F" w:rsidRPr="00D115D8" w:rsidRDefault="00C144C9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842" w:type="dxa"/>
          </w:tcPr>
          <w:p w14:paraId="1FE116F5" w14:textId="005CBDFD" w:rsidR="00C3186F" w:rsidRPr="00D115D8" w:rsidRDefault="00B52EB1" w:rsidP="00B52EB1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</w:tr>
      <w:tr w:rsidR="00D115D8" w:rsidRPr="00D115D8" w14:paraId="7E579D46" w14:textId="77777777" w:rsidTr="00D1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29C9973" w14:textId="612807B3" w:rsidR="000F5386" w:rsidRPr="00D115D8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2020/21</w:t>
            </w:r>
          </w:p>
        </w:tc>
        <w:tc>
          <w:tcPr>
            <w:tcW w:w="2160" w:type="dxa"/>
          </w:tcPr>
          <w:p w14:paraId="4CB776FE" w14:textId="7FF65100" w:rsidR="000F5386" w:rsidRPr="00D115D8" w:rsidRDefault="00B52EB1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+ protection</w:t>
            </w:r>
          </w:p>
        </w:tc>
        <w:tc>
          <w:tcPr>
            <w:tcW w:w="2127" w:type="dxa"/>
          </w:tcPr>
          <w:p w14:paraId="355CBA2E" w14:textId="186D6751" w:rsidR="000F5386" w:rsidRPr="00D115D8" w:rsidRDefault="00B52EB1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14:paraId="415F4144" w14:textId="44EEFFC0" w:rsidR="000F5386" w:rsidRPr="00D115D8" w:rsidRDefault="00B52EB1" w:rsidP="00B52EB1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D115D8" w:rsidRPr="00D115D8" w14:paraId="558EA70E" w14:textId="77777777" w:rsidTr="00D1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5ED9BAC3" w14:textId="1098F454" w:rsidR="007C1028" w:rsidRPr="00D115D8" w:rsidRDefault="007C1028" w:rsidP="007C1028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2160" w:type="dxa"/>
          </w:tcPr>
          <w:p w14:paraId="61DEA62D" w14:textId="2945401A" w:rsidR="007C1028" w:rsidRPr="00D115D8" w:rsidRDefault="007C1028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DA714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+ protection</w:t>
            </w:r>
          </w:p>
        </w:tc>
        <w:tc>
          <w:tcPr>
            <w:tcW w:w="2127" w:type="dxa"/>
          </w:tcPr>
          <w:p w14:paraId="3599F64C" w14:textId="077F9029" w:rsidR="007C1028" w:rsidRPr="00D115D8" w:rsidRDefault="007C1028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DA714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2" w:type="dxa"/>
          </w:tcPr>
          <w:p w14:paraId="6E8A954D" w14:textId="591ADE9E" w:rsidR="007C1028" w:rsidRPr="00D115D8" w:rsidRDefault="007C1028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11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DA714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  <w:tr w:rsidR="00D115D8" w:rsidRPr="00D115D8" w14:paraId="31AA765C" w14:textId="77777777" w:rsidTr="00D1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5BB93B2E" w14:textId="3DCD1F02" w:rsidR="00D115D8" w:rsidRPr="00D115D8" w:rsidRDefault="002038C3" w:rsidP="007C1028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2160" w:type="dxa"/>
          </w:tcPr>
          <w:p w14:paraId="6C203318" w14:textId="1B08F9A7" w:rsidR="00D115D8" w:rsidRPr="00D115D8" w:rsidRDefault="00303F7B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4.52 + protection</w:t>
            </w:r>
          </w:p>
        </w:tc>
        <w:tc>
          <w:tcPr>
            <w:tcW w:w="2127" w:type="dxa"/>
          </w:tcPr>
          <w:p w14:paraId="2A550253" w14:textId="25F8DC52" w:rsidR="00D115D8" w:rsidRPr="00D115D8" w:rsidRDefault="00303F7B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4.52</w:t>
            </w:r>
          </w:p>
        </w:tc>
        <w:tc>
          <w:tcPr>
            <w:tcW w:w="1842" w:type="dxa"/>
          </w:tcPr>
          <w:p w14:paraId="1A47057E" w14:textId="790726D1" w:rsidR="00D115D8" w:rsidRPr="00D115D8" w:rsidRDefault="00C47AD6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4.52</w:t>
            </w:r>
          </w:p>
        </w:tc>
      </w:tr>
      <w:tr w:rsidR="00D115D8" w:rsidRPr="00D115D8" w14:paraId="1AA58AC0" w14:textId="77777777" w:rsidTr="00D1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895CF4B" w14:textId="1A08E6F4" w:rsidR="00D115D8" w:rsidRPr="00D115D8" w:rsidRDefault="002038C3" w:rsidP="007C1028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2023/24</w:t>
            </w:r>
            <w:r w:rsidR="00863B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160" w:type="dxa"/>
          </w:tcPr>
          <w:p w14:paraId="763E2571" w14:textId="596C0D40" w:rsidR="00D115D8" w:rsidRPr="00D115D8" w:rsidRDefault="009D7CF1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4.63 + protection</w:t>
            </w:r>
          </w:p>
        </w:tc>
        <w:tc>
          <w:tcPr>
            <w:tcW w:w="2127" w:type="dxa"/>
          </w:tcPr>
          <w:p w14:paraId="492F5EE7" w14:textId="67B666B2" w:rsidR="00D115D8" w:rsidRPr="00D115D8" w:rsidRDefault="009D7CF1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4.63</w:t>
            </w:r>
          </w:p>
        </w:tc>
        <w:tc>
          <w:tcPr>
            <w:tcW w:w="1842" w:type="dxa"/>
          </w:tcPr>
          <w:p w14:paraId="3958B1B0" w14:textId="1BAA9381" w:rsidR="00D115D8" w:rsidRPr="00D115D8" w:rsidRDefault="009D7CF1" w:rsidP="007C1028">
            <w:pPr>
              <w:pStyle w:val="NoSpac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4.63</w:t>
            </w:r>
          </w:p>
        </w:tc>
      </w:tr>
      <w:tr w:rsidR="00D115D8" w:rsidRPr="00D115D8" w14:paraId="1445A10B" w14:textId="77777777" w:rsidTr="00D1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701B947" w14:textId="6290E705" w:rsidR="00D115D8" w:rsidRPr="00D115D8" w:rsidRDefault="002038C3" w:rsidP="007C1028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20</w:t>
            </w:r>
            <w:r w:rsidR="00863B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24/25*</w:t>
            </w:r>
          </w:p>
        </w:tc>
        <w:tc>
          <w:tcPr>
            <w:tcW w:w="2160" w:type="dxa"/>
          </w:tcPr>
          <w:p w14:paraId="582DA9DD" w14:textId="2E29B586" w:rsidR="00D115D8" w:rsidRPr="00D115D8" w:rsidRDefault="001755DD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4.76 + protection</w:t>
            </w:r>
          </w:p>
        </w:tc>
        <w:tc>
          <w:tcPr>
            <w:tcW w:w="2127" w:type="dxa"/>
          </w:tcPr>
          <w:p w14:paraId="6ADA71A7" w14:textId="3E65FCF1" w:rsidR="00D115D8" w:rsidRPr="00D115D8" w:rsidRDefault="001755DD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4.76</w:t>
            </w:r>
          </w:p>
        </w:tc>
        <w:tc>
          <w:tcPr>
            <w:tcW w:w="1842" w:type="dxa"/>
          </w:tcPr>
          <w:p w14:paraId="594702DC" w14:textId="1D9CE922" w:rsidR="00D115D8" w:rsidRPr="00D115D8" w:rsidRDefault="001755DD" w:rsidP="007C1028">
            <w:pPr>
              <w:pStyle w:val="NoSpac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83682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</w:tr>
    </w:tbl>
    <w:p w14:paraId="3C110C1D" w14:textId="3178CF5A" w:rsidR="0083682C" w:rsidRPr="0028510D" w:rsidRDefault="009D318A" w:rsidP="0028510D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*</w:t>
      </w:r>
      <w:r w:rsid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IMPORTANT: </w:t>
      </w:r>
      <w:r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amounts for these two years will be subject to confirmation following an </w:t>
      </w:r>
      <w:r w:rsidR="0028510D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annual rate</w:t>
      </w:r>
      <w:r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review each year and are indicative only based on the </w:t>
      </w:r>
      <w:r w:rsidR="0028510D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known increase to the national allocation.</w:t>
      </w:r>
    </w:p>
    <w:p w14:paraId="073D274B" w14:textId="1F51CCD0" w:rsidR="00E91001" w:rsidRPr="0028510D" w:rsidRDefault="00EB6BA8" w:rsidP="0002427F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Rates for </w:t>
      </w:r>
      <w:r w:rsidR="00315002"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2-year</w:t>
      </w:r>
      <w:r w:rsidR="0052372C"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315002"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old’s</w:t>
      </w:r>
      <w:r w:rsidR="0052372C"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– Straight </w:t>
      </w:r>
      <w:r w:rsidR="0052372C"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in/out</w:t>
      </w:r>
      <w:r w:rsidRPr="0028510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for all providers.</w:t>
      </w:r>
    </w:p>
    <w:p w14:paraId="26A9BEC1" w14:textId="5CE6A0D0" w:rsidR="0069786E" w:rsidRPr="0028510D" w:rsidRDefault="00EB6BA8" w:rsidP="00483DA2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is </w:t>
      </w:r>
      <w:r w:rsidR="00E91001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>based on a straight in/out basis to all providers.</w:t>
      </w:r>
      <w:r w:rsidR="006837BC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44259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>The decision to not “top-slice” the 2 year old rate to contribute to the centrally retained amount has been taken in recognition that it is financially more challenging to provide places for 2 year olds</w:t>
      </w:r>
      <w:r w:rsidR="00687385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</w:t>
      </w:r>
      <w:r w:rsid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a result of COVID more </w:t>
      </w:r>
      <w:r w:rsidR="00E74C0D">
        <w:rPr>
          <w:rFonts w:asciiTheme="minorHAnsi" w:hAnsiTheme="minorHAnsi" w:cstheme="minorHAnsi"/>
          <w:color w:val="000000" w:themeColor="text1"/>
          <w:sz w:val="24"/>
          <w:szCs w:val="24"/>
        </w:rPr>
        <w:t>2 year olds are presenting to settings with higher levels of needs due to social isolation. In addition</w:t>
      </w:r>
      <w:r w:rsidR="001A32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87385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take-up rate for </w:t>
      </w:r>
      <w:r w:rsidR="00BB33AE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>2-year</w:t>
      </w:r>
      <w:r w:rsidR="00687385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olds </w:t>
      </w:r>
      <w:r w:rsidR="009F74A0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>continues to be</w:t>
      </w:r>
      <w:r w:rsidR="00687385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lower than the national average in the City</w:t>
      </w:r>
      <w:r w:rsidR="001A32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</w:t>
      </w:r>
      <w:r w:rsidR="00F8701D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 is important not to jeopardise the availability of places</w:t>
      </w:r>
      <w:r w:rsidR="001A32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whilst many providers are financially </w:t>
      </w:r>
      <w:r w:rsidR="00895797">
        <w:rPr>
          <w:rFonts w:asciiTheme="minorHAnsi" w:hAnsiTheme="minorHAnsi" w:cstheme="minorHAnsi"/>
          <w:color w:val="000000" w:themeColor="text1"/>
          <w:sz w:val="24"/>
          <w:szCs w:val="24"/>
        </w:rPr>
        <w:t>challenged in the current pandemic.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  <w:tblDescription w:val="Rates for 2-year old’s – Straight in/out for all providers"/>
      </w:tblPr>
      <w:tblGrid>
        <w:gridCol w:w="1838"/>
        <w:gridCol w:w="1418"/>
        <w:gridCol w:w="1275"/>
      </w:tblGrid>
      <w:tr w:rsidR="00832732" w14:paraId="3E4B84BF" w14:textId="77777777" w:rsidTr="00F3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E534D9" w14:textId="77777777" w:rsidR="00832732" w:rsidRDefault="00832732" w:rsidP="00483DA2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95C26" w14:textId="5C9BAD91" w:rsidR="00832732" w:rsidRDefault="004A7A0A" w:rsidP="00483DA2">
            <w:pPr>
              <w:pStyle w:val="NoSpacing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 Settings</w:t>
            </w:r>
          </w:p>
        </w:tc>
        <w:tc>
          <w:tcPr>
            <w:tcW w:w="1275" w:type="dxa"/>
          </w:tcPr>
          <w:p w14:paraId="77C0E62F" w14:textId="07AE37CC" w:rsidR="00832732" w:rsidRDefault="006937E8" w:rsidP="00483DA2">
            <w:pPr>
              <w:pStyle w:val="NoSpacing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Increase</w:t>
            </w:r>
          </w:p>
        </w:tc>
      </w:tr>
      <w:tr w:rsidR="006937E8" w14:paraId="463DCFC3" w14:textId="77777777" w:rsidTr="007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306DF9" w14:textId="1445ECF5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2016/17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F7DA73" w14:textId="4F6817E5" w:rsidR="006937E8" w:rsidRP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5.24</w:t>
            </w:r>
          </w:p>
        </w:tc>
        <w:tc>
          <w:tcPr>
            <w:tcW w:w="1275" w:type="dxa"/>
          </w:tcPr>
          <w:p w14:paraId="2D844452" w14:textId="419F4DC6" w:rsid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37E8" w14:paraId="7F3ACA77" w14:textId="77777777" w:rsidTr="0075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583ABD" w14:textId="7AAE9A6C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2017/18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FD248C3" w14:textId="67697C23" w:rsidR="006937E8" w:rsidRP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5.24</w:t>
            </w:r>
          </w:p>
        </w:tc>
        <w:tc>
          <w:tcPr>
            <w:tcW w:w="1275" w:type="dxa"/>
          </w:tcPr>
          <w:p w14:paraId="713E5474" w14:textId="17777568" w:rsid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37E8" w14:paraId="38F1895F" w14:textId="77777777" w:rsidTr="007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763FD4" w14:textId="05451874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2018/19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C7B6097" w14:textId="54CC43A6" w:rsidR="006937E8" w:rsidRP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5.24</w:t>
            </w:r>
          </w:p>
        </w:tc>
        <w:tc>
          <w:tcPr>
            <w:tcW w:w="1275" w:type="dxa"/>
          </w:tcPr>
          <w:p w14:paraId="743539A6" w14:textId="5CDFCD67" w:rsid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37E8" w14:paraId="437AB242" w14:textId="77777777" w:rsidTr="0075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2FC2ED" w14:textId="02E7279F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2019/20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455C787" w14:textId="3B4C1797" w:rsidR="006937E8" w:rsidRP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5.24</w:t>
            </w:r>
          </w:p>
        </w:tc>
        <w:tc>
          <w:tcPr>
            <w:tcW w:w="1275" w:type="dxa"/>
          </w:tcPr>
          <w:p w14:paraId="59D4602E" w14:textId="10D7D238" w:rsid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37E8" w14:paraId="2C97BCDC" w14:textId="77777777" w:rsidTr="007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1556E1" w14:textId="4618E33E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2020/21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EB2EBD4" w14:textId="7131BEFD" w:rsidR="006937E8" w:rsidRP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5.32</w:t>
            </w:r>
          </w:p>
        </w:tc>
        <w:tc>
          <w:tcPr>
            <w:tcW w:w="1275" w:type="dxa"/>
          </w:tcPr>
          <w:p w14:paraId="210DE1AF" w14:textId="4F1CC204" w:rsidR="006937E8" w:rsidRDefault="00BA787D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6937E8" w14:paraId="0D6487EF" w14:textId="77777777" w:rsidTr="0075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3505EF" w14:textId="2064E966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2021/22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1317CA4" w14:textId="346DB94C" w:rsidR="006937E8" w:rsidRP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5.40</w:t>
            </w:r>
          </w:p>
        </w:tc>
        <w:tc>
          <w:tcPr>
            <w:tcW w:w="1275" w:type="dxa"/>
          </w:tcPr>
          <w:p w14:paraId="328758C0" w14:textId="29119A95" w:rsidR="006937E8" w:rsidRDefault="00BA787D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6937E8" w14:paraId="0581FDDC" w14:textId="77777777" w:rsidTr="007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BF888E" w14:textId="7DD64648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2022/23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2E69A49" w14:textId="706A6901" w:rsidR="006937E8" w:rsidRP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5.61</w:t>
            </w:r>
          </w:p>
        </w:tc>
        <w:tc>
          <w:tcPr>
            <w:tcW w:w="1275" w:type="dxa"/>
          </w:tcPr>
          <w:p w14:paraId="03B9AF2D" w14:textId="4C0D0CD8" w:rsidR="006937E8" w:rsidRDefault="00BA787D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6937E8" w14:paraId="211299BB" w14:textId="77777777" w:rsidTr="0075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2B3121" w14:textId="3A9FADD6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2023/24</w:t>
            </w:r>
            <w:r w:rsidR="00BA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408AE7C" w14:textId="3D4B47BF" w:rsidR="006937E8" w:rsidRPr="006937E8" w:rsidRDefault="006937E8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5.82</w:t>
            </w:r>
          </w:p>
        </w:tc>
        <w:tc>
          <w:tcPr>
            <w:tcW w:w="1275" w:type="dxa"/>
          </w:tcPr>
          <w:p w14:paraId="7C1A894F" w14:textId="3E9BB25D" w:rsidR="006937E8" w:rsidRDefault="00BA787D" w:rsidP="006937E8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6937E8" w14:paraId="367909C4" w14:textId="77777777" w:rsidTr="007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FFC1FD" w14:textId="1ADCC290" w:rsidR="006937E8" w:rsidRDefault="006937E8" w:rsidP="006937E8">
            <w:pPr>
              <w:pStyle w:val="NoSpacing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2024/25</w:t>
            </w:r>
            <w:r w:rsidR="00BA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DC20850" w14:textId="0C0C31F2" w:rsidR="006937E8" w:rsidRPr="006937E8" w:rsidRDefault="006937E8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37E8">
              <w:rPr>
                <w:color w:val="000000" w:themeColor="text1"/>
                <w:kern w:val="24"/>
                <w:sz w:val="24"/>
                <w:szCs w:val="24"/>
              </w:rPr>
              <w:t>6.03</w:t>
            </w:r>
          </w:p>
        </w:tc>
        <w:tc>
          <w:tcPr>
            <w:tcW w:w="1275" w:type="dxa"/>
          </w:tcPr>
          <w:p w14:paraId="37C5B337" w14:textId="3C163297" w:rsidR="006937E8" w:rsidRDefault="00BA787D" w:rsidP="006937E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0.21</w:t>
            </w:r>
          </w:p>
        </w:tc>
      </w:tr>
    </w:tbl>
    <w:p w14:paraId="10EAB73D" w14:textId="44376D77" w:rsidR="0062240B" w:rsidRPr="0028510D" w:rsidRDefault="00753973" w:rsidP="0062240B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="0069786E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rate for </w:t>
      </w:r>
      <w:r w:rsidR="0004206E" w:rsidRPr="0028510D">
        <w:rPr>
          <w:rFonts w:asciiTheme="minorHAnsi" w:hAnsiTheme="minorHAnsi" w:cstheme="minorHAnsi"/>
          <w:color w:val="000000" w:themeColor="text1"/>
          <w:sz w:val="24"/>
          <w:szCs w:val="24"/>
        </w:rPr>
        <w:t>two-year</w:t>
      </w:r>
      <w:r w:rsidR="0069786E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40B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olds</w:t>
      </w:r>
      <w:proofErr w:type="spellEnd"/>
      <w:r w:rsidR="0069786E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increase with </w:t>
      </w:r>
      <w:r w:rsidR="008C104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784A5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allocation of the national formula. This is estimated only at the current time and will be </w:t>
      </w:r>
      <w:r w:rsidR="0062240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confirmed </w:t>
      </w:r>
      <w:r w:rsidR="0062240B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following an annual rate review each year </w:t>
      </w:r>
      <w:r w:rsidR="009C25A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and once the DfE announce the </w:t>
      </w:r>
      <w:r w:rsidR="009F423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national formula</w:t>
      </w:r>
      <w:r w:rsidR="0062240B" w:rsidRPr="0028510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710C7A10" w14:textId="0F1CFC17" w:rsidR="00181F0A" w:rsidRPr="0069786E" w:rsidRDefault="00181F0A" w:rsidP="000F6E3D">
      <w:pPr>
        <w:pStyle w:val="NoSpacing"/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FD4FE94" w14:textId="77777777" w:rsidR="0028792E" w:rsidRPr="00EB6BA8" w:rsidRDefault="0028792E" w:rsidP="0002427F">
      <w:pPr>
        <w:pStyle w:val="NoSpacing"/>
        <w:numPr>
          <w:ilvl w:val="0"/>
          <w:numId w:val="28"/>
        </w:num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BA8">
        <w:rPr>
          <w:rFonts w:asciiTheme="minorHAnsi" w:hAnsiTheme="minorHAnsi" w:cstheme="minorHAnsi"/>
          <w:b/>
          <w:sz w:val="24"/>
          <w:szCs w:val="24"/>
          <w:u w:val="single"/>
        </w:rPr>
        <w:t>Recommendations</w:t>
      </w:r>
    </w:p>
    <w:p w14:paraId="3937455D" w14:textId="0811E8EA" w:rsidR="00DB7710" w:rsidRPr="0069786E" w:rsidRDefault="0068712D" w:rsidP="00483DA2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Schools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Forum agrees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recommend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ations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from Early Years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Forum </w:t>
      </w:r>
      <w:proofErr w:type="gramStart"/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="00DB7710"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33AC1"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proofErr w:type="gramEnd"/>
    </w:p>
    <w:p w14:paraId="186CD336" w14:textId="20110F28" w:rsidR="00DB7710" w:rsidRDefault="00164245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Note that the </w:t>
      </w:r>
      <w:r w:rsidR="00CE6EE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current level </w:t>
      </w:r>
      <w:r w:rsidR="00316B1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>(£2.</w:t>
      </w:r>
      <w:r w:rsidR="00734EB2">
        <w:rPr>
          <w:rFonts w:asciiTheme="minorHAnsi" w:hAnsiTheme="minorHAnsi" w:cstheme="minorHAnsi"/>
          <w:color w:val="000000" w:themeColor="text1"/>
          <w:sz w:val="24"/>
          <w:szCs w:val="24"/>
        </w:rPr>
        <w:t>95</w:t>
      </w:r>
      <w:r w:rsidR="00316B1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m) </w:t>
      </w:r>
      <w:r w:rsidR="00CE6EE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funding </w:t>
      </w:r>
      <w:r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 retained </w:t>
      </w:r>
      <w:r w:rsidR="00CE6EE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>centrally to support the Councils deliv</w:t>
      </w:r>
      <w:r w:rsidR="00316B1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>ery of the Statutory Duties for early years</w:t>
      </w:r>
      <w:r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839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incrementally increasing </w:t>
      </w:r>
      <w:r w:rsid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over the next 3 years to the </w:t>
      </w:r>
      <w:r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5% </w:t>
      </w:r>
      <w:r w:rsidR="00EA485B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>the LA is able to retain</w:t>
      </w:r>
      <w:r w:rsidR="00A839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(as set out in section 4)</w:t>
      </w:r>
      <w:r w:rsidR="00DB7710" w:rsidRPr="0088460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B2BC55F" w14:textId="24D9E8CF" w:rsidR="00523DCD" w:rsidRPr="00884608" w:rsidRDefault="00523DCD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Maintain the current level of Deprivation and FSM supplements as set out in section 5.1.</w:t>
      </w:r>
    </w:p>
    <w:p w14:paraId="43028D43" w14:textId="28FFC5EC" w:rsidR="00316B1B" w:rsidRPr="00CB2634" w:rsidRDefault="00734EB2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Increase the </w:t>
      </w:r>
      <w:r w:rsidR="00316B1B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amount allocated to ISEY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over the next 3 years</w:t>
      </w:r>
      <w:r w:rsidR="00B54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maintaining the current level </w:t>
      </w:r>
      <w:r w:rsidR="00080763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>of £1m</w:t>
      </w:r>
      <w:r w:rsidR="00C80E51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4DF4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C80E51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noting </w:t>
      </w:r>
      <w:r w:rsidR="001B0E2F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>that £0.25</w:t>
      </w:r>
      <w:r w:rsidR="00043517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>m is held within the centrally retained element</w:t>
      </w:r>
      <w:r w:rsidR="00B54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="000C3CB9">
        <w:rPr>
          <w:rFonts w:asciiTheme="minorHAnsi" w:hAnsiTheme="minorHAnsi" w:cstheme="minorHAnsi"/>
          <w:color w:val="000000" w:themeColor="text1"/>
          <w:sz w:val="24"/>
          <w:szCs w:val="24"/>
        </w:rPr>
        <w:t>increasing to £1.5m in 23/24 and 1.75m in 24/25</w:t>
      </w:r>
      <w:r w:rsidR="00523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set out in section 5.2</w:t>
      </w:r>
      <w:r w:rsidR="00043517" w:rsidRPr="00CB263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4895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A648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</w:t>
      </w:r>
      <w:r w:rsid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note the request for the increase to be matched over the </w:t>
      </w:r>
      <w:r w:rsidR="00DA7148">
        <w:rPr>
          <w:rFonts w:asciiTheme="minorHAnsi" w:hAnsiTheme="minorHAnsi" w:cstheme="minorHAnsi"/>
          <w:color w:val="000000" w:themeColor="text1"/>
          <w:sz w:val="24"/>
          <w:szCs w:val="24"/>
        </w:rPr>
        <w:t>3-year</w:t>
      </w:r>
      <w:r w:rsid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period from the High Needs Block</w:t>
      </w:r>
      <w:r w:rsidR="00A6489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D96152" w14:textId="4B73CF15" w:rsidR="00DB7710" w:rsidRPr="00F50C43" w:rsidRDefault="00043517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Agree</w:t>
      </w:r>
      <w:r w:rsidR="00DB7710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funding rates to be applied to providers 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set out </w:t>
      </w:r>
      <w:r w:rsidR="00F37437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="00DB7710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next </w:t>
      </w:r>
      <w:r w:rsidR="00F37437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year</w:t>
      </w:r>
      <w:r w:rsidR="00DB7710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E5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sections </w:t>
      </w:r>
      <w:r w:rsidR="00C80E5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B7710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83933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3933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E5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83933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B66331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9609E" w:rsidRPr="00F50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6E69B2" w14:textId="010995F0" w:rsidR="00483DA2" w:rsidRPr="000866E7" w:rsidRDefault="00F42C35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Note </w:t>
      </w:r>
      <w:r w:rsidR="00483DA2" w:rsidRP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F50C43" w:rsidRPr="000866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requirement for all rates to be confirmed as part of an annual review </w:t>
      </w:r>
      <w:r w:rsidR="000866E7" w:rsidRPr="000866E7">
        <w:rPr>
          <w:rFonts w:asciiTheme="minorHAnsi" w:hAnsiTheme="minorHAnsi" w:cstheme="minorHAnsi"/>
          <w:color w:val="000000" w:themeColor="text1"/>
          <w:sz w:val="24"/>
          <w:szCs w:val="24"/>
        </w:rPr>
        <w:t>in line with the Early Years block allocation from the DfE.</w:t>
      </w:r>
    </w:p>
    <w:sectPr w:rsidR="00483DA2" w:rsidRPr="000866E7" w:rsidSect="00E01300">
      <w:headerReference w:type="default" r:id="rId13"/>
      <w:footerReference w:type="default" r:id="rId14"/>
      <w:pgSz w:w="11906" w:h="16838"/>
      <w:pgMar w:top="851" w:right="1133" w:bottom="993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05AD" w14:textId="77777777" w:rsidR="00E5257D" w:rsidRDefault="00E5257D" w:rsidP="00714D13">
      <w:r>
        <w:separator/>
      </w:r>
    </w:p>
  </w:endnote>
  <w:endnote w:type="continuationSeparator" w:id="0">
    <w:p w14:paraId="22262A9D" w14:textId="77777777" w:rsidR="00E5257D" w:rsidRDefault="00E5257D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4534" w14:textId="77777777" w:rsidR="00E91001" w:rsidRDefault="00E91001" w:rsidP="005E625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6B0C">
      <w:rPr>
        <w:noProof/>
      </w:rPr>
      <w:t>1</w:t>
    </w:r>
    <w:r>
      <w:fldChar w:fldCharType="end"/>
    </w:r>
    <w:r>
      <w:t xml:space="preserve"> of </w:t>
    </w:r>
    <w:fldSimple w:instr=" NUMPAGES ">
      <w:r w:rsidR="00356B0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C46F" w14:textId="77777777" w:rsidR="00E5257D" w:rsidRDefault="00E5257D" w:rsidP="00714D13">
      <w:r>
        <w:separator/>
      </w:r>
    </w:p>
  </w:footnote>
  <w:footnote w:type="continuationSeparator" w:id="0">
    <w:p w14:paraId="27448855" w14:textId="77777777" w:rsidR="00E5257D" w:rsidRDefault="00E5257D" w:rsidP="0071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0000" w:themeColor="text1"/>
        <w:sz w:val="28"/>
        <w:szCs w:val="28"/>
        <w:u w:val="single"/>
      </w:rPr>
      <w:id w:val="315700207"/>
      <w:docPartObj>
        <w:docPartGallery w:val="Watermarks"/>
        <w:docPartUnique/>
      </w:docPartObj>
    </w:sdtPr>
    <w:sdtEndPr/>
    <w:sdtContent>
      <w:p w14:paraId="2374F7CE" w14:textId="0DCFBB63" w:rsidR="00E91001" w:rsidRPr="007C659D" w:rsidRDefault="00E5257D">
        <w:pPr>
          <w:pStyle w:val="Header"/>
          <w:rPr>
            <w:b/>
            <w:color w:val="000000" w:themeColor="text1"/>
            <w:sz w:val="28"/>
            <w:szCs w:val="28"/>
            <w:u w:val="single"/>
          </w:rPr>
        </w:pPr>
        <w:r>
          <w:rPr>
            <w:b/>
            <w:noProof/>
            <w:color w:val="000000" w:themeColor="text1"/>
            <w:sz w:val="28"/>
            <w:szCs w:val="28"/>
            <w:u w:val="single"/>
          </w:rPr>
          <w:pict w14:anchorId="05316A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8470C"/>
    <w:multiLevelType w:val="hybridMultilevel"/>
    <w:tmpl w:val="D856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2FD1"/>
    <w:multiLevelType w:val="multilevel"/>
    <w:tmpl w:val="9BA6D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3B423A"/>
    <w:multiLevelType w:val="hybridMultilevel"/>
    <w:tmpl w:val="B4EE96A8"/>
    <w:lvl w:ilvl="0" w:tplc="43848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4C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3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4F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60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3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7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C4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1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07D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D202C"/>
    <w:multiLevelType w:val="hybridMultilevel"/>
    <w:tmpl w:val="BE8A53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F669A3"/>
    <w:multiLevelType w:val="hybridMultilevel"/>
    <w:tmpl w:val="DDD24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302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170A90"/>
    <w:multiLevelType w:val="hybridMultilevel"/>
    <w:tmpl w:val="57C8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561"/>
    <w:multiLevelType w:val="hybridMultilevel"/>
    <w:tmpl w:val="43D811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A670A"/>
    <w:multiLevelType w:val="hybridMultilevel"/>
    <w:tmpl w:val="4C942EFE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C53"/>
    <w:multiLevelType w:val="hybridMultilevel"/>
    <w:tmpl w:val="AEC40EB2"/>
    <w:lvl w:ilvl="0" w:tplc="0B7E3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297B2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4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2E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C8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B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4F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61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6717"/>
    <w:multiLevelType w:val="hybridMultilevel"/>
    <w:tmpl w:val="D8EA2C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DF17B8"/>
    <w:multiLevelType w:val="hybridMultilevel"/>
    <w:tmpl w:val="2878E50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7B7400"/>
    <w:multiLevelType w:val="hybridMultilevel"/>
    <w:tmpl w:val="0C101F9C"/>
    <w:lvl w:ilvl="0" w:tplc="08090001">
      <w:start w:val="1"/>
      <w:numFmt w:val="bullet"/>
      <w:lvlText w:val=""/>
      <w:lvlJc w:val="left"/>
      <w:pPr>
        <w:ind w:left="-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</w:abstractNum>
  <w:abstractNum w:abstractNumId="23" w15:restartNumberingAfterBreak="0">
    <w:nsid w:val="499D448F"/>
    <w:multiLevelType w:val="hybridMultilevel"/>
    <w:tmpl w:val="AEFEC24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121A24"/>
    <w:multiLevelType w:val="hybridMultilevel"/>
    <w:tmpl w:val="0B701D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2681838"/>
    <w:multiLevelType w:val="hybridMultilevel"/>
    <w:tmpl w:val="9CDE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45813"/>
    <w:multiLevelType w:val="hybridMultilevel"/>
    <w:tmpl w:val="226617F8"/>
    <w:lvl w:ilvl="0" w:tplc="04C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2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6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A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E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E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93467B"/>
    <w:multiLevelType w:val="hybridMultilevel"/>
    <w:tmpl w:val="3A5E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8B2529"/>
    <w:multiLevelType w:val="hybridMultilevel"/>
    <w:tmpl w:val="BD9C8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7C41"/>
    <w:multiLevelType w:val="hybridMultilevel"/>
    <w:tmpl w:val="53C6674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B30546"/>
    <w:multiLevelType w:val="hybridMultilevel"/>
    <w:tmpl w:val="D97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E5491"/>
    <w:multiLevelType w:val="hybridMultilevel"/>
    <w:tmpl w:val="EBD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F2400"/>
    <w:multiLevelType w:val="hybridMultilevel"/>
    <w:tmpl w:val="9BA0E858"/>
    <w:lvl w:ilvl="0" w:tplc="16562A8C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0" w15:restartNumberingAfterBreak="0">
    <w:nsid w:val="69622C43"/>
    <w:multiLevelType w:val="hybridMultilevel"/>
    <w:tmpl w:val="95D6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750F4"/>
    <w:multiLevelType w:val="hybridMultilevel"/>
    <w:tmpl w:val="D5C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E571F"/>
    <w:multiLevelType w:val="hybridMultilevel"/>
    <w:tmpl w:val="EAF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76179"/>
    <w:multiLevelType w:val="hybridMultilevel"/>
    <w:tmpl w:val="3F3C3384"/>
    <w:lvl w:ilvl="0" w:tplc="B204E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6C0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C5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C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2C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86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7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A9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03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35AD7"/>
    <w:multiLevelType w:val="hybridMultilevel"/>
    <w:tmpl w:val="55C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5"/>
  </w:num>
  <w:num w:numId="3">
    <w:abstractNumId w:val="24"/>
  </w:num>
  <w:num w:numId="4">
    <w:abstractNumId w:val="0"/>
  </w:num>
  <w:num w:numId="5">
    <w:abstractNumId w:val="3"/>
  </w:num>
  <w:num w:numId="6">
    <w:abstractNumId w:val="37"/>
  </w:num>
  <w:num w:numId="7">
    <w:abstractNumId w:val="15"/>
  </w:num>
  <w:num w:numId="8">
    <w:abstractNumId w:val="1"/>
  </w:num>
  <w:num w:numId="9">
    <w:abstractNumId w:val="31"/>
  </w:num>
  <w:num w:numId="10">
    <w:abstractNumId w:val="17"/>
  </w:num>
  <w:num w:numId="11">
    <w:abstractNumId w:val="29"/>
  </w:num>
  <w:num w:numId="12">
    <w:abstractNumId w:val="5"/>
  </w:num>
  <w:num w:numId="13">
    <w:abstractNumId w:val="35"/>
  </w:num>
  <w:num w:numId="14">
    <w:abstractNumId w:val="18"/>
  </w:num>
  <w:num w:numId="15">
    <w:abstractNumId w:val="10"/>
  </w:num>
  <w:num w:numId="16">
    <w:abstractNumId w:val="32"/>
  </w:num>
  <w:num w:numId="17">
    <w:abstractNumId w:val="38"/>
  </w:num>
  <w:num w:numId="18">
    <w:abstractNumId w:val="20"/>
  </w:num>
  <w:num w:numId="19">
    <w:abstractNumId w:val="44"/>
  </w:num>
  <w:num w:numId="20">
    <w:abstractNumId w:val="28"/>
  </w:num>
  <w:num w:numId="21">
    <w:abstractNumId w:val="42"/>
  </w:num>
  <w:num w:numId="22">
    <w:abstractNumId w:val="30"/>
  </w:num>
  <w:num w:numId="23">
    <w:abstractNumId w:val="13"/>
  </w:num>
  <w:num w:numId="24">
    <w:abstractNumId w:val="40"/>
  </w:num>
  <w:num w:numId="25">
    <w:abstractNumId w:val="26"/>
  </w:num>
  <w:num w:numId="26">
    <w:abstractNumId w:val="25"/>
  </w:num>
  <w:num w:numId="27">
    <w:abstractNumId w:val="34"/>
  </w:num>
  <w:num w:numId="28">
    <w:abstractNumId w:val="6"/>
  </w:num>
  <w:num w:numId="29">
    <w:abstractNumId w:val="8"/>
  </w:num>
  <w:num w:numId="30">
    <w:abstractNumId w:val="21"/>
  </w:num>
  <w:num w:numId="31">
    <w:abstractNumId w:val="23"/>
  </w:num>
  <w:num w:numId="32">
    <w:abstractNumId w:val="41"/>
  </w:num>
  <w:num w:numId="33">
    <w:abstractNumId w:val="33"/>
  </w:num>
  <w:num w:numId="34">
    <w:abstractNumId w:val="14"/>
  </w:num>
  <w:num w:numId="35">
    <w:abstractNumId w:val="9"/>
  </w:num>
  <w:num w:numId="36">
    <w:abstractNumId w:val="16"/>
  </w:num>
  <w:num w:numId="37">
    <w:abstractNumId w:val="39"/>
  </w:num>
  <w:num w:numId="38">
    <w:abstractNumId w:val="11"/>
  </w:num>
  <w:num w:numId="39">
    <w:abstractNumId w:val="22"/>
  </w:num>
  <w:num w:numId="40">
    <w:abstractNumId w:val="27"/>
  </w:num>
  <w:num w:numId="41">
    <w:abstractNumId w:val="43"/>
  </w:num>
  <w:num w:numId="42">
    <w:abstractNumId w:val="19"/>
  </w:num>
  <w:num w:numId="43">
    <w:abstractNumId w:val="7"/>
  </w:num>
  <w:num w:numId="44">
    <w:abstractNumId w:val="36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JU6u2IxFVzbcJ0bF7xE+5nB7HhWWFmbGv7Xw4z9zw+VMTvowoAhOI41t9NxYGS2"/>
  </w:docVars>
  <w:rsids>
    <w:rsidRoot w:val="008544CD"/>
    <w:rsid w:val="00000E14"/>
    <w:rsid w:val="0000763C"/>
    <w:rsid w:val="00015B2D"/>
    <w:rsid w:val="00017CE9"/>
    <w:rsid w:val="00017E0C"/>
    <w:rsid w:val="000227F6"/>
    <w:rsid w:val="0002427F"/>
    <w:rsid w:val="000251E1"/>
    <w:rsid w:val="00025D18"/>
    <w:rsid w:val="000356C6"/>
    <w:rsid w:val="000373F9"/>
    <w:rsid w:val="00037C0F"/>
    <w:rsid w:val="00040E41"/>
    <w:rsid w:val="0004206E"/>
    <w:rsid w:val="00043517"/>
    <w:rsid w:val="00044873"/>
    <w:rsid w:val="00045324"/>
    <w:rsid w:val="00052777"/>
    <w:rsid w:val="0005362B"/>
    <w:rsid w:val="0005785C"/>
    <w:rsid w:val="00060EE3"/>
    <w:rsid w:val="000636CB"/>
    <w:rsid w:val="00064F02"/>
    <w:rsid w:val="00072FCB"/>
    <w:rsid w:val="000775D9"/>
    <w:rsid w:val="00080763"/>
    <w:rsid w:val="000849BA"/>
    <w:rsid w:val="00085DD9"/>
    <w:rsid w:val="000866E7"/>
    <w:rsid w:val="00092A6C"/>
    <w:rsid w:val="00096570"/>
    <w:rsid w:val="000A002D"/>
    <w:rsid w:val="000A337A"/>
    <w:rsid w:val="000B1BA9"/>
    <w:rsid w:val="000B4586"/>
    <w:rsid w:val="000B4C4E"/>
    <w:rsid w:val="000C3CB9"/>
    <w:rsid w:val="000C5DEA"/>
    <w:rsid w:val="000C5FCC"/>
    <w:rsid w:val="000C634D"/>
    <w:rsid w:val="000C79E8"/>
    <w:rsid w:val="000D0406"/>
    <w:rsid w:val="000D6999"/>
    <w:rsid w:val="000D7FB1"/>
    <w:rsid w:val="000F28B2"/>
    <w:rsid w:val="000F2CDA"/>
    <w:rsid w:val="000F5386"/>
    <w:rsid w:val="000F5DFC"/>
    <w:rsid w:val="000F6E3D"/>
    <w:rsid w:val="0010172E"/>
    <w:rsid w:val="00103C4A"/>
    <w:rsid w:val="00110BDE"/>
    <w:rsid w:val="00112C51"/>
    <w:rsid w:val="00126188"/>
    <w:rsid w:val="00130039"/>
    <w:rsid w:val="00134503"/>
    <w:rsid w:val="00144259"/>
    <w:rsid w:val="00144F3E"/>
    <w:rsid w:val="00146370"/>
    <w:rsid w:val="001511F6"/>
    <w:rsid w:val="00154D55"/>
    <w:rsid w:val="00161ED2"/>
    <w:rsid w:val="00164245"/>
    <w:rsid w:val="0016723A"/>
    <w:rsid w:val="00167294"/>
    <w:rsid w:val="00171796"/>
    <w:rsid w:val="001746F3"/>
    <w:rsid w:val="001755DD"/>
    <w:rsid w:val="001769E1"/>
    <w:rsid w:val="00181F0A"/>
    <w:rsid w:val="00191062"/>
    <w:rsid w:val="00194E46"/>
    <w:rsid w:val="001A1275"/>
    <w:rsid w:val="001A131C"/>
    <w:rsid w:val="001A1BFE"/>
    <w:rsid w:val="001A3267"/>
    <w:rsid w:val="001A3A15"/>
    <w:rsid w:val="001B02D0"/>
    <w:rsid w:val="001B0E2F"/>
    <w:rsid w:val="001B119D"/>
    <w:rsid w:val="001B4047"/>
    <w:rsid w:val="001B5F4A"/>
    <w:rsid w:val="001C0724"/>
    <w:rsid w:val="001C1195"/>
    <w:rsid w:val="001C36B4"/>
    <w:rsid w:val="001C5608"/>
    <w:rsid w:val="001C5B78"/>
    <w:rsid w:val="001C7470"/>
    <w:rsid w:val="001D4EE9"/>
    <w:rsid w:val="001D5CAB"/>
    <w:rsid w:val="001D65A7"/>
    <w:rsid w:val="001E4309"/>
    <w:rsid w:val="001E71FD"/>
    <w:rsid w:val="001F0E86"/>
    <w:rsid w:val="001F0F49"/>
    <w:rsid w:val="001F753D"/>
    <w:rsid w:val="002038C3"/>
    <w:rsid w:val="00205A74"/>
    <w:rsid w:val="00210E3E"/>
    <w:rsid w:val="002146F3"/>
    <w:rsid w:val="0021662C"/>
    <w:rsid w:val="002221EF"/>
    <w:rsid w:val="00222896"/>
    <w:rsid w:val="00226879"/>
    <w:rsid w:val="00234290"/>
    <w:rsid w:val="00235EB1"/>
    <w:rsid w:val="00241562"/>
    <w:rsid w:val="00242C0B"/>
    <w:rsid w:val="002529F3"/>
    <w:rsid w:val="00255776"/>
    <w:rsid w:val="00257CDF"/>
    <w:rsid w:val="00270328"/>
    <w:rsid w:val="00272BE1"/>
    <w:rsid w:val="00276DD5"/>
    <w:rsid w:val="0028449E"/>
    <w:rsid w:val="0028510D"/>
    <w:rsid w:val="00286975"/>
    <w:rsid w:val="0028792E"/>
    <w:rsid w:val="00287BA3"/>
    <w:rsid w:val="00287C2F"/>
    <w:rsid w:val="00294BC7"/>
    <w:rsid w:val="00294D37"/>
    <w:rsid w:val="002A0C45"/>
    <w:rsid w:val="002B1165"/>
    <w:rsid w:val="002B2EFD"/>
    <w:rsid w:val="002B416A"/>
    <w:rsid w:val="002C23B3"/>
    <w:rsid w:val="002C26E6"/>
    <w:rsid w:val="002C5061"/>
    <w:rsid w:val="002C7226"/>
    <w:rsid w:val="002C7F4E"/>
    <w:rsid w:val="002D1FA1"/>
    <w:rsid w:val="002D3136"/>
    <w:rsid w:val="002D3787"/>
    <w:rsid w:val="002D6ECB"/>
    <w:rsid w:val="002E06E0"/>
    <w:rsid w:val="002E35C8"/>
    <w:rsid w:val="002F0F62"/>
    <w:rsid w:val="00300BE8"/>
    <w:rsid w:val="00303F7B"/>
    <w:rsid w:val="003139DD"/>
    <w:rsid w:val="003147D4"/>
    <w:rsid w:val="00315002"/>
    <w:rsid w:val="00316B1B"/>
    <w:rsid w:val="00325B08"/>
    <w:rsid w:val="00330123"/>
    <w:rsid w:val="00330AD4"/>
    <w:rsid w:val="00333866"/>
    <w:rsid w:val="00340DF1"/>
    <w:rsid w:val="003415AC"/>
    <w:rsid w:val="003435FD"/>
    <w:rsid w:val="00345511"/>
    <w:rsid w:val="003456B0"/>
    <w:rsid w:val="00347EE4"/>
    <w:rsid w:val="003503E2"/>
    <w:rsid w:val="00350B48"/>
    <w:rsid w:val="00351D92"/>
    <w:rsid w:val="00352791"/>
    <w:rsid w:val="00356B0C"/>
    <w:rsid w:val="00356FCE"/>
    <w:rsid w:val="0036743F"/>
    <w:rsid w:val="00367D9E"/>
    <w:rsid w:val="003727C0"/>
    <w:rsid w:val="00373A53"/>
    <w:rsid w:val="003746AF"/>
    <w:rsid w:val="003811C7"/>
    <w:rsid w:val="00381CEF"/>
    <w:rsid w:val="0038222E"/>
    <w:rsid w:val="00385075"/>
    <w:rsid w:val="003943E9"/>
    <w:rsid w:val="00394B37"/>
    <w:rsid w:val="00396530"/>
    <w:rsid w:val="003A03D1"/>
    <w:rsid w:val="003A4330"/>
    <w:rsid w:val="003A7656"/>
    <w:rsid w:val="003A7A9E"/>
    <w:rsid w:val="003A7B28"/>
    <w:rsid w:val="003B2527"/>
    <w:rsid w:val="003B410D"/>
    <w:rsid w:val="003C04A3"/>
    <w:rsid w:val="003C2D9F"/>
    <w:rsid w:val="003C446B"/>
    <w:rsid w:val="003C7C91"/>
    <w:rsid w:val="003D0A0D"/>
    <w:rsid w:val="003D19FE"/>
    <w:rsid w:val="003D5C61"/>
    <w:rsid w:val="003D610B"/>
    <w:rsid w:val="003E45B8"/>
    <w:rsid w:val="003E5F22"/>
    <w:rsid w:val="003F0570"/>
    <w:rsid w:val="003F2711"/>
    <w:rsid w:val="003F55BB"/>
    <w:rsid w:val="003F6D4D"/>
    <w:rsid w:val="00405C66"/>
    <w:rsid w:val="00405E8E"/>
    <w:rsid w:val="00406AE2"/>
    <w:rsid w:val="00426514"/>
    <w:rsid w:val="004328CD"/>
    <w:rsid w:val="00440122"/>
    <w:rsid w:val="00442310"/>
    <w:rsid w:val="004472DC"/>
    <w:rsid w:val="00452A7F"/>
    <w:rsid w:val="00454633"/>
    <w:rsid w:val="00454CA2"/>
    <w:rsid w:val="00455E6A"/>
    <w:rsid w:val="00457D59"/>
    <w:rsid w:val="00460209"/>
    <w:rsid w:val="00461011"/>
    <w:rsid w:val="00470994"/>
    <w:rsid w:val="00471A63"/>
    <w:rsid w:val="004753F4"/>
    <w:rsid w:val="00475CB5"/>
    <w:rsid w:val="00476374"/>
    <w:rsid w:val="00481FE6"/>
    <w:rsid w:val="00483563"/>
    <w:rsid w:val="00483DA2"/>
    <w:rsid w:val="00493E38"/>
    <w:rsid w:val="0049410B"/>
    <w:rsid w:val="00494A9D"/>
    <w:rsid w:val="00497D98"/>
    <w:rsid w:val="004A237F"/>
    <w:rsid w:val="004A4325"/>
    <w:rsid w:val="004A4362"/>
    <w:rsid w:val="004A49F3"/>
    <w:rsid w:val="004A4ABC"/>
    <w:rsid w:val="004A7890"/>
    <w:rsid w:val="004A7A0A"/>
    <w:rsid w:val="004B0C94"/>
    <w:rsid w:val="004B1303"/>
    <w:rsid w:val="004B6344"/>
    <w:rsid w:val="004C4B13"/>
    <w:rsid w:val="004D3FDF"/>
    <w:rsid w:val="004D634D"/>
    <w:rsid w:val="004E342B"/>
    <w:rsid w:val="004E359B"/>
    <w:rsid w:val="004E545B"/>
    <w:rsid w:val="004F15ED"/>
    <w:rsid w:val="004F3581"/>
    <w:rsid w:val="005000D4"/>
    <w:rsid w:val="00500156"/>
    <w:rsid w:val="00504B22"/>
    <w:rsid w:val="00504E8E"/>
    <w:rsid w:val="00507D45"/>
    <w:rsid w:val="005100D2"/>
    <w:rsid w:val="00510528"/>
    <w:rsid w:val="00513A3B"/>
    <w:rsid w:val="005158E6"/>
    <w:rsid w:val="00522AFD"/>
    <w:rsid w:val="00523579"/>
    <w:rsid w:val="0052372C"/>
    <w:rsid w:val="00523DCD"/>
    <w:rsid w:val="00525D4A"/>
    <w:rsid w:val="005338D0"/>
    <w:rsid w:val="00540391"/>
    <w:rsid w:val="0054087E"/>
    <w:rsid w:val="005410EB"/>
    <w:rsid w:val="00543C73"/>
    <w:rsid w:val="00550B6C"/>
    <w:rsid w:val="00551FC8"/>
    <w:rsid w:val="005524CB"/>
    <w:rsid w:val="00554D03"/>
    <w:rsid w:val="00555A5C"/>
    <w:rsid w:val="00556652"/>
    <w:rsid w:val="00557A69"/>
    <w:rsid w:val="00582459"/>
    <w:rsid w:val="005966B9"/>
    <w:rsid w:val="00596C1C"/>
    <w:rsid w:val="005A00C8"/>
    <w:rsid w:val="005A44E1"/>
    <w:rsid w:val="005A6EC1"/>
    <w:rsid w:val="005B1415"/>
    <w:rsid w:val="005B5C13"/>
    <w:rsid w:val="005B731A"/>
    <w:rsid w:val="005C07B5"/>
    <w:rsid w:val="005C1D0A"/>
    <w:rsid w:val="005C3C53"/>
    <w:rsid w:val="005C4C33"/>
    <w:rsid w:val="005C5091"/>
    <w:rsid w:val="005D1768"/>
    <w:rsid w:val="005D7824"/>
    <w:rsid w:val="005E19E0"/>
    <w:rsid w:val="005E1B5E"/>
    <w:rsid w:val="005E5528"/>
    <w:rsid w:val="005E57C0"/>
    <w:rsid w:val="005E59FE"/>
    <w:rsid w:val="005E625F"/>
    <w:rsid w:val="005E64E9"/>
    <w:rsid w:val="005E75C8"/>
    <w:rsid w:val="005F2282"/>
    <w:rsid w:val="00603ED5"/>
    <w:rsid w:val="00606695"/>
    <w:rsid w:val="00606C51"/>
    <w:rsid w:val="00610F0A"/>
    <w:rsid w:val="0061321C"/>
    <w:rsid w:val="00614195"/>
    <w:rsid w:val="006170B1"/>
    <w:rsid w:val="0062240B"/>
    <w:rsid w:val="006233F1"/>
    <w:rsid w:val="00630A1E"/>
    <w:rsid w:val="00632419"/>
    <w:rsid w:val="00633B6D"/>
    <w:rsid w:val="006354C5"/>
    <w:rsid w:val="006463ED"/>
    <w:rsid w:val="00647879"/>
    <w:rsid w:val="00650676"/>
    <w:rsid w:val="00652B1E"/>
    <w:rsid w:val="00652D91"/>
    <w:rsid w:val="0065341E"/>
    <w:rsid w:val="0065395C"/>
    <w:rsid w:val="00653B83"/>
    <w:rsid w:val="0065467D"/>
    <w:rsid w:val="00655585"/>
    <w:rsid w:val="00656979"/>
    <w:rsid w:val="006669B9"/>
    <w:rsid w:val="00670F1F"/>
    <w:rsid w:val="00673B27"/>
    <w:rsid w:val="00676216"/>
    <w:rsid w:val="00676E22"/>
    <w:rsid w:val="006822E6"/>
    <w:rsid w:val="006837BC"/>
    <w:rsid w:val="00684684"/>
    <w:rsid w:val="00686E08"/>
    <w:rsid w:val="0068712D"/>
    <w:rsid w:val="00687385"/>
    <w:rsid w:val="00687879"/>
    <w:rsid w:val="0069180B"/>
    <w:rsid w:val="006937E8"/>
    <w:rsid w:val="00697681"/>
    <w:rsid w:val="0069786E"/>
    <w:rsid w:val="006A108F"/>
    <w:rsid w:val="006A1218"/>
    <w:rsid w:val="006A24D6"/>
    <w:rsid w:val="006A615B"/>
    <w:rsid w:val="006B0CCF"/>
    <w:rsid w:val="006B1C86"/>
    <w:rsid w:val="006B1E5E"/>
    <w:rsid w:val="006B2271"/>
    <w:rsid w:val="006B39C5"/>
    <w:rsid w:val="006C0789"/>
    <w:rsid w:val="006D3064"/>
    <w:rsid w:val="006D5D4B"/>
    <w:rsid w:val="006D6C7A"/>
    <w:rsid w:val="006E04C9"/>
    <w:rsid w:val="006E38B3"/>
    <w:rsid w:val="006E7A5E"/>
    <w:rsid w:val="006F568B"/>
    <w:rsid w:val="00700EE3"/>
    <w:rsid w:val="00703A01"/>
    <w:rsid w:val="00704571"/>
    <w:rsid w:val="00704FCE"/>
    <w:rsid w:val="00712BCE"/>
    <w:rsid w:val="00714D13"/>
    <w:rsid w:val="0071679F"/>
    <w:rsid w:val="007212F3"/>
    <w:rsid w:val="0072396C"/>
    <w:rsid w:val="007252B4"/>
    <w:rsid w:val="00726CFF"/>
    <w:rsid w:val="007279AA"/>
    <w:rsid w:val="00727A8E"/>
    <w:rsid w:val="00727B25"/>
    <w:rsid w:val="00734461"/>
    <w:rsid w:val="00734EB2"/>
    <w:rsid w:val="00735723"/>
    <w:rsid w:val="00736146"/>
    <w:rsid w:val="00747D3C"/>
    <w:rsid w:val="00752B45"/>
    <w:rsid w:val="00753973"/>
    <w:rsid w:val="00755CA8"/>
    <w:rsid w:val="007569C0"/>
    <w:rsid w:val="00757BC2"/>
    <w:rsid w:val="00757DBD"/>
    <w:rsid w:val="0076461C"/>
    <w:rsid w:val="00767D0A"/>
    <w:rsid w:val="00770B3C"/>
    <w:rsid w:val="007741C3"/>
    <w:rsid w:val="00775E2A"/>
    <w:rsid w:val="00784A5A"/>
    <w:rsid w:val="00785908"/>
    <w:rsid w:val="007870EE"/>
    <w:rsid w:val="00791B59"/>
    <w:rsid w:val="00793D90"/>
    <w:rsid w:val="00796124"/>
    <w:rsid w:val="007A4C7F"/>
    <w:rsid w:val="007A52BF"/>
    <w:rsid w:val="007A5A4D"/>
    <w:rsid w:val="007A6428"/>
    <w:rsid w:val="007C1028"/>
    <w:rsid w:val="007C2213"/>
    <w:rsid w:val="007C26B1"/>
    <w:rsid w:val="007C3EB0"/>
    <w:rsid w:val="007C561B"/>
    <w:rsid w:val="007C659D"/>
    <w:rsid w:val="007D24AE"/>
    <w:rsid w:val="007D3A03"/>
    <w:rsid w:val="007D57E7"/>
    <w:rsid w:val="007E2AE5"/>
    <w:rsid w:val="007E4852"/>
    <w:rsid w:val="007E4DB4"/>
    <w:rsid w:val="007E7FEA"/>
    <w:rsid w:val="007F1F02"/>
    <w:rsid w:val="007F3F28"/>
    <w:rsid w:val="00804D8A"/>
    <w:rsid w:val="008131FA"/>
    <w:rsid w:val="0081665C"/>
    <w:rsid w:val="008167EE"/>
    <w:rsid w:val="00817725"/>
    <w:rsid w:val="00817DD3"/>
    <w:rsid w:val="00820427"/>
    <w:rsid w:val="00820A89"/>
    <w:rsid w:val="00824971"/>
    <w:rsid w:val="00831B18"/>
    <w:rsid w:val="00832732"/>
    <w:rsid w:val="0083682C"/>
    <w:rsid w:val="008402F7"/>
    <w:rsid w:val="00840EB5"/>
    <w:rsid w:val="00841E2B"/>
    <w:rsid w:val="00843075"/>
    <w:rsid w:val="00843AA9"/>
    <w:rsid w:val="00844750"/>
    <w:rsid w:val="008456F1"/>
    <w:rsid w:val="00847FD5"/>
    <w:rsid w:val="008523DF"/>
    <w:rsid w:val="008544CD"/>
    <w:rsid w:val="00855097"/>
    <w:rsid w:val="00855417"/>
    <w:rsid w:val="00863B5C"/>
    <w:rsid w:val="00865ADA"/>
    <w:rsid w:val="0087522A"/>
    <w:rsid w:val="0087591A"/>
    <w:rsid w:val="00881A75"/>
    <w:rsid w:val="0088342C"/>
    <w:rsid w:val="00883F78"/>
    <w:rsid w:val="00884608"/>
    <w:rsid w:val="00890AB0"/>
    <w:rsid w:val="00890AB9"/>
    <w:rsid w:val="00891BFB"/>
    <w:rsid w:val="00892756"/>
    <w:rsid w:val="00895797"/>
    <w:rsid w:val="00895DBF"/>
    <w:rsid w:val="008A299D"/>
    <w:rsid w:val="008A4461"/>
    <w:rsid w:val="008B07F4"/>
    <w:rsid w:val="008B2E85"/>
    <w:rsid w:val="008B3CBD"/>
    <w:rsid w:val="008B4628"/>
    <w:rsid w:val="008C0734"/>
    <w:rsid w:val="008C104B"/>
    <w:rsid w:val="008C46E2"/>
    <w:rsid w:val="008C7631"/>
    <w:rsid w:val="008D1032"/>
    <w:rsid w:val="008D1A32"/>
    <w:rsid w:val="008D7B94"/>
    <w:rsid w:val="008E0F3C"/>
    <w:rsid w:val="008E1010"/>
    <w:rsid w:val="008E13C8"/>
    <w:rsid w:val="008E3E19"/>
    <w:rsid w:val="008E49BA"/>
    <w:rsid w:val="008E4BC6"/>
    <w:rsid w:val="008F256D"/>
    <w:rsid w:val="008F4EC4"/>
    <w:rsid w:val="0090018D"/>
    <w:rsid w:val="009009E4"/>
    <w:rsid w:val="009055E8"/>
    <w:rsid w:val="00905F88"/>
    <w:rsid w:val="00911A24"/>
    <w:rsid w:val="00911C8E"/>
    <w:rsid w:val="00911ED6"/>
    <w:rsid w:val="00912521"/>
    <w:rsid w:val="00914679"/>
    <w:rsid w:val="0091584F"/>
    <w:rsid w:val="00915EF6"/>
    <w:rsid w:val="00916EE1"/>
    <w:rsid w:val="009173CC"/>
    <w:rsid w:val="009311A2"/>
    <w:rsid w:val="00932008"/>
    <w:rsid w:val="009338E3"/>
    <w:rsid w:val="00933AC1"/>
    <w:rsid w:val="00937A07"/>
    <w:rsid w:val="0094253D"/>
    <w:rsid w:val="0094379A"/>
    <w:rsid w:val="009456C6"/>
    <w:rsid w:val="009522A6"/>
    <w:rsid w:val="009530EE"/>
    <w:rsid w:val="009567CE"/>
    <w:rsid w:val="0096441D"/>
    <w:rsid w:val="009644ED"/>
    <w:rsid w:val="00967BAF"/>
    <w:rsid w:val="00981EBA"/>
    <w:rsid w:val="00982D71"/>
    <w:rsid w:val="0098710E"/>
    <w:rsid w:val="00990E97"/>
    <w:rsid w:val="00991329"/>
    <w:rsid w:val="00992A13"/>
    <w:rsid w:val="0099379A"/>
    <w:rsid w:val="009947E3"/>
    <w:rsid w:val="009A24AE"/>
    <w:rsid w:val="009A2C5D"/>
    <w:rsid w:val="009A401B"/>
    <w:rsid w:val="009A6EE9"/>
    <w:rsid w:val="009B4B1E"/>
    <w:rsid w:val="009C2036"/>
    <w:rsid w:val="009C25A3"/>
    <w:rsid w:val="009C63E2"/>
    <w:rsid w:val="009C6CF1"/>
    <w:rsid w:val="009C7630"/>
    <w:rsid w:val="009D0A50"/>
    <w:rsid w:val="009D0FFA"/>
    <w:rsid w:val="009D318A"/>
    <w:rsid w:val="009D60C8"/>
    <w:rsid w:val="009D7CF1"/>
    <w:rsid w:val="009D7DBD"/>
    <w:rsid w:val="009E2433"/>
    <w:rsid w:val="009E2F64"/>
    <w:rsid w:val="009E5326"/>
    <w:rsid w:val="009E60B4"/>
    <w:rsid w:val="009F0F2B"/>
    <w:rsid w:val="009F4230"/>
    <w:rsid w:val="009F74A0"/>
    <w:rsid w:val="00A03292"/>
    <w:rsid w:val="00A03B0F"/>
    <w:rsid w:val="00A044D6"/>
    <w:rsid w:val="00A0530F"/>
    <w:rsid w:val="00A079BF"/>
    <w:rsid w:val="00A13806"/>
    <w:rsid w:val="00A140B3"/>
    <w:rsid w:val="00A2008B"/>
    <w:rsid w:val="00A21599"/>
    <w:rsid w:val="00A23B7B"/>
    <w:rsid w:val="00A275CB"/>
    <w:rsid w:val="00A40946"/>
    <w:rsid w:val="00A45F38"/>
    <w:rsid w:val="00A46794"/>
    <w:rsid w:val="00A472DD"/>
    <w:rsid w:val="00A579DD"/>
    <w:rsid w:val="00A624BB"/>
    <w:rsid w:val="00A6337D"/>
    <w:rsid w:val="00A63488"/>
    <w:rsid w:val="00A64895"/>
    <w:rsid w:val="00A660FD"/>
    <w:rsid w:val="00A66E3A"/>
    <w:rsid w:val="00A74FB6"/>
    <w:rsid w:val="00A7543E"/>
    <w:rsid w:val="00A758F9"/>
    <w:rsid w:val="00A77EE2"/>
    <w:rsid w:val="00A804FE"/>
    <w:rsid w:val="00A83933"/>
    <w:rsid w:val="00A8434E"/>
    <w:rsid w:val="00A94511"/>
    <w:rsid w:val="00A948E6"/>
    <w:rsid w:val="00A97A0F"/>
    <w:rsid w:val="00AA1B1D"/>
    <w:rsid w:val="00AA27AF"/>
    <w:rsid w:val="00AA2D77"/>
    <w:rsid w:val="00AA31EE"/>
    <w:rsid w:val="00AA6BC0"/>
    <w:rsid w:val="00AB012E"/>
    <w:rsid w:val="00AB1C46"/>
    <w:rsid w:val="00AB793B"/>
    <w:rsid w:val="00AC0B17"/>
    <w:rsid w:val="00AC4B30"/>
    <w:rsid w:val="00AC4E4B"/>
    <w:rsid w:val="00AD31B8"/>
    <w:rsid w:val="00AE6092"/>
    <w:rsid w:val="00AE6FD8"/>
    <w:rsid w:val="00AE7CC6"/>
    <w:rsid w:val="00AF0AF3"/>
    <w:rsid w:val="00B05147"/>
    <w:rsid w:val="00B10B54"/>
    <w:rsid w:val="00B10FB1"/>
    <w:rsid w:val="00B1156E"/>
    <w:rsid w:val="00B14E8F"/>
    <w:rsid w:val="00B16E1D"/>
    <w:rsid w:val="00B206FD"/>
    <w:rsid w:val="00B2378B"/>
    <w:rsid w:val="00B25CDF"/>
    <w:rsid w:val="00B33994"/>
    <w:rsid w:val="00B34563"/>
    <w:rsid w:val="00B35657"/>
    <w:rsid w:val="00B46C9E"/>
    <w:rsid w:val="00B52EB1"/>
    <w:rsid w:val="00B54DF4"/>
    <w:rsid w:val="00B62814"/>
    <w:rsid w:val="00B6476B"/>
    <w:rsid w:val="00B66331"/>
    <w:rsid w:val="00B7034F"/>
    <w:rsid w:val="00B714CE"/>
    <w:rsid w:val="00B766D1"/>
    <w:rsid w:val="00B87E20"/>
    <w:rsid w:val="00B93540"/>
    <w:rsid w:val="00B93682"/>
    <w:rsid w:val="00B93E9A"/>
    <w:rsid w:val="00BA36DC"/>
    <w:rsid w:val="00BA3865"/>
    <w:rsid w:val="00BA3B62"/>
    <w:rsid w:val="00BA4B16"/>
    <w:rsid w:val="00BA787D"/>
    <w:rsid w:val="00BA7A3E"/>
    <w:rsid w:val="00BA7D4C"/>
    <w:rsid w:val="00BA7E79"/>
    <w:rsid w:val="00BB3023"/>
    <w:rsid w:val="00BB33AE"/>
    <w:rsid w:val="00BB47F2"/>
    <w:rsid w:val="00BC2DBE"/>
    <w:rsid w:val="00BC3085"/>
    <w:rsid w:val="00BD170D"/>
    <w:rsid w:val="00BD21C7"/>
    <w:rsid w:val="00BD3DCA"/>
    <w:rsid w:val="00BD4254"/>
    <w:rsid w:val="00BE2B1B"/>
    <w:rsid w:val="00BF1601"/>
    <w:rsid w:val="00BF1709"/>
    <w:rsid w:val="00BF2AF0"/>
    <w:rsid w:val="00BF4B2A"/>
    <w:rsid w:val="00BF749A"/>
    <w:rsid w:val="00C04546"/>
    <w:rsid w:val="00C04C45"/>
    <w:rsid w:val="00C07F6B"/>
    <w:rsid w:val="00C07FBD"/>
    <w:rsid w:val="00C122CB"/>
    <w:rsid w:val="00C144C9"/>
    <w:rsid w:val="00C16097"/>
    <w:rsid w:val="00C2457B"/>
    <w:rsid w:val="00C27E20"/>
    <w:rsid w:val="00C3186F"/>
    <w:rsid w:val="00C34722"/>
    <w:rsid w:val="00C34DF4"/>
    <w:rsid w:val="00C4021F"/>
    <w:rsid w:val="00C41897"/>
    <w:rsid w:val="00C4422C"/>
    <w:rsid w:val="00C47663"/>
    <w:rsid w:val="00C47AD6"/>
    <w:rsid w:val="00C54A98"/>
    <w:rsid w:val="00C60329"/>
    <w:rsid w:val="00C60DDE"/>
    <w:rsid w:val="00C619AF"/>
    <w:rsid w:val="00C626C5"/>
    <w:rsid w:val="00C664CC"/>
    <w:rsid w:val="00C678D5"/>
    <w:rsid w:val="00C71E6F"/>
    <w:rsid w:val="00C75D1A"/>
    <w:rsid w:val="00C77239"/>
    <w:rsid w:val="00C80E51"/>
    <w:rsid w:val="00C82582"/>
    <w:rsid w:val="00C834BD"/>
    <w:rsid w:val="00C84B25"/>
    <w:rsid w:val="00C879A3"/>
    <w:rsid w:val="00C93AD3"/>
    <w:rsid w:val="00CA16E6"/>
    <w:rsid w:val="00CA1C40"/>
    <w:rsid w:val="00CA7623"/>
    <w:rsid w:val="00CB0322"/>
    <w:rsid w:val="00CB2634"/>
    <w:rsid w:val="00CB37C6"/>
    <w:rsid w:val="00CB5AFC"/>
    <w:rsid w:val="00CB5D0E"/>
    <w:rsid w:val="00CB7E3A"/>
    <w:rsid w:val="00CB7FA3"/>
    <w:rsid w:val="00CC2943"/>
    <w:rsid w:val="00CC4E6D"/>
    <w:rsid w:val="00CC665A"/>
    <w:rsid w:val="00CD19F0"/>
    <w:rsid w:val="00CD6657"/>
    <w:rsid w:val="00CE0312"/>
    <w:rsid w:val="00CE0F35"/>
    <w:rsid w:val="00CE37D4"/>
    <w:rsid w:val="00CE4F1E"/>
    <w:rsid w:val="00CE6EEB"/>
    <w:rsid w:val="00CF1638"/>
    <w:rsid w:val="00CF416D"/>
    <w:rsid w:val="00CF7FBF"/>
    <w:rsid w:val="00D01E05"/>
    <w:rsid w:val="00D04A40"/>
    <w:rsid w:val="00D07DD1"/>
    <w:rsid w:val="00D108A3"/>
    <w:rsid w:val="00D115D8"/>
    <w:rsid w:val="00D13FA4"/>
    <w:rsid w:val="00D1477D"/>
    <w:rsid w:val="00D15D87"/>
    <w:rsid w:val="00D17194"/>
    <w:rsid w:val="00D26B31"/>
    <w:rsid w:val="00D31BD3"/>
    <w:rsid w:val="00D33421"/>
    <w:rsid w:val="00D34A01"/>
    <w:rsid w:val="00D37162"/>
    <w:rsid w:val="00D55BFF"/>
    <w:rsid w:val="00D7002F"/>
    <w:rsid w:val="00D713B3"/>
    <w:rsid w:val="00D71C8A"/>
    <w:rsid w:val="00D726DB"/>
    <w:rsid w:val="00D73C65"/>
    <w:rsid w:val="00D844C1"/>
    <w:rsid w:val="00D927FD"/>
    <w:rsid w:val="00D94EDA"/>
    <w:rsid w:val="00D9707A"/>
    <w:rsid w:val="00DA1D87"/>
    <w:rsid w:val="00DA7148"/>
    <w:rsid w:val="00DB049D"/>
    <w:rsid w:val="00DB1A02"/>
    <w:rsid w:val="00DB2C53"/>
    <w:rsid w:val="00DB564A"/>
    <w:rsid w:val="00DB5CE5"/>
    <w:rsid w:val="00DB5D89"/>
    <w:rsid w:val="00DB605C"/>
    <w:rsid w:val="00DB7710"/>
    <w:rsid w:val="00DC3480"/>
    <w:rsid w:val="00DC755B"/>
    <w:rsid w:val="00DD00E0"/>
    <w:rsid w:val="00DD2F65"/>
    <w:rsid w:val="00DD5185"/>
    <w:rsid w:val="00DE0B2A"/>
    <w:rsid w:val="00DE1147"/>
    <w:rsid w:val="00DE3895"/>
    <w:rsid w:val="00DE3D01"/>
    <w:rsid w:val="00DE4F00"/>
    <w:rsid w:val="00DE678C"/>
    <w:rsid w:val="00DE766B"/>
    <w:rsid w:val="00DF033C"/>
    <w:rsid w:val="00DF209D"/>
    <w:rsid w:val="00DF5269"/>
    <w:rsid w:val="00DF5859"/>
    <w:rsid w:val="00E01001"/>
    <w:rsid w:val="00E0129D"/>
    <w:rsid w:val="00E01300"/>
    <w:rsid w:val="00E061D8"/>
    <w:rsid w:val="00E116FA"/>
    <w:rsid w:val="00E12F8F"/>
    <w:rsid w:val="00E40E71"/>
    <w:rsid w:val="00E50292"/>
    <w:rsid w:val="00E5257D"/>
    <w:rsid w:val="00E533B2"/>
    <w:rsid w:val="00E7225C"/>
    <w:rsid w:val="00E74C0D"/>
    <w:rsid w:val="00E77F31"/>
    <w:rsid w:val="00E8744E"/>
    <w:rsid w:val="00E91001"/>
    <w:rsid w:val="00E947BF"/>
    <w:rsid w:val="00EA03BE"/>
    <w:rsid w:val="00EA094E"/>
    <w:rsid w:val="00EA485B"/>
    <w:rsid w:val="00EA6599"/>
    <w:rsid w:val="00EB07E3"/>
    <w:rsid w:val="00EB1CF8"/>
    <w:rsid w:val="00EB54AD"/>
    <w:rsid w:val="00EB5534"/>
    <w:rsid w:val="00EB6BA8"/>
    <w:rsid w:val="00EB6F17"/>
    <w:rsid w:val="00EB720F"/>
    <w:rsid w:val="00EC0718"/>
    <w:rsid w:val="00EC0CA8"/>
    <w:rsid w:val="00EC29A6"/>
    <w:rsid w:val="00EC624D"/>
    <w:rsid w:val="00ED12B2"/>
    <w:rsid w:val="00ED6B92"/>
    <w:rsid w:val="00ED6FD5"/>
    <w:rsid w:val="00ED7986"/>
    <w:rsid w:val="00EE1550"/>
    <w:rsid w:val="00EE274F"/>
    <w:rsid w:val="00EE3583"/>
    <w:rsid w:val="00EE68BF"/>
    <w:rsid w:val="00EE78F7"/>
    <w:rsid w:val="00EF2578"/>
    <w:rsid w:val="00EF61DF"/>
    <w:rsid w:val="00EF6BB4"/>
    <w:rsid w:val="00F01CE8"/>
    <w:rsid w:val="00F02341"/>
    <w:rsid w:val="00F06675"/>
    <w:rsid w:val="00F105F1"/>
    <w:rsid w:val="00F1541E"/>
    <w:rsid w:val="00F15727"/>
    <w:rsid w:val="00F16BD1"/>
    <w:rsid w:val="00F17A70"/>
    <w:rsid w:val="00F2009F"/>
    <w:rsid w:val="00F239CA"/>
    <w:rsid w:val="00F24401"/>
    <w:rsid w:val="00F24FC6"/>
    <w:rsid w:val="00F2761F"/>
    <w:rsid w:val="00F27AD3"/>
    <w:rsid w:val="00F32E4C"/>
    <w:rsid w:val="00F36B0E"/>
    <w:rsid w:val="00F37437"/>
    <w:rsid w:val="00F37ACB"/>
    <w:rsid w:val="00F403AE"/>
    <w:rsid w:val="00F418A5"/>
    <w:rsid w:val="00F42C35"/>
    <w:rsid w:val="00F4429B"/>
    <w:rsid w:val="00F44EE6"/>
    <w:rsid w:val="00F44F2E"/>
    <w:rsid w:val="00F45C2D"/>
    <w:rsid w:val="00F472AC"/>
    <w:rsid w:val="00F47698"/>
    <w:rsid w:val="00F50C43"/>
    <w:rsid w:val="00F51D03"/>
    <w:rsid w:val="00F5241D"/>
    <w:rsid w:val="00F61F9C"/>
    <w:rsid w:val="00F70C90"/>
    <w:rsid w:val="00F710D0"/>
    <w:rsid w:val="00F7380A"/>
    <w:rsid w:val="00F76DAB"/>
    <w:rsid w:val="00F80814"/>
    <w:rsid w:val="00F80932"/>
    <w:rsid w:val="00F80E4F"/>
    <w:rsid w:val="00F81014"/>
    <w:rsid w:val="00F8701D"/>
    <w:rsid w:val="00F9609E"/>
    <w:rsid w:val="00FA109C"/>
    <w:rsid w:val="00FA40C9"/>
    <w:rsid w:val="00FA4236"/>
    <w:rsid w:val="00FA59E0"/>
    <w:rsid w:val="00FA6239"/>
    <w:rsid w:val="00FB2B9F"/>
    <w:rsid w:val="00FB38D0"/>
    <w:rsid w:val="00FC031C"/>
    <w:rsid w:val="00FC132B"/>
    <w:rsid w:val="00FC1A0E"/>
    <w:rsid w:val="00FD0C00"/>
    <w:rsid w:val="00FD6703"/>
    <w:rsid w:val="00FD75A7"/>
    <w:rsid w:val="00FD76F8"/>
    <w:rsid w:val="00FE0F37"/>
    <w:rsid w:val="00FE25F7"/>
    <w:rsid w:val="00FE2697"/>
    <w:rsid w:val="00FE35F8"/>
    <w:rsid w:val="00FE4CF4"/>
    <w:rsid w:val="00FE7435"/>
    <w:rsid w:val="00FE7830"/>
    <w:rsid w:val="00FF0FA6"/>
    <w:rsid w:val="00FF3A6C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491017"/>
  <w15:docId w15:val="{A91C76E2-7717-4C34-A4EC-F304FC54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fault">
    <w:name w:val="Default"/>
    <w:rsid w:val="00454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4941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6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63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42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dTable4-Accent2">
    <w:name w:val="Grid Table 4 Accent 2"/>
    <w:basedOn w:val="TableNormal"/>
    <w:uiPriority w:val="49"/>
    <w:rsid w:val="008E49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D7F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D7F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38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2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1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143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005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798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78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949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087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1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5" ma:contentTypeDescription="Create a new document." ma:contentTypeScope="" ma:versionID="b38be23c219bf6e9105fd44cbc2a3f31">
  <xsd:schema xmlns:xsd="http://www.w3.org/2001/XMLSchema" xmlns:xs="http://www.w3.org/2001/XMLSchema" xmlns:p="http://schemas.microsoft.com/office/2006/metadata/properties" xmlns:ns1="http://schemas.microsoft.com/sharepoint/v3" xmlns:ns3="cf4fbdc1-3486-4097-bd2f-409effe17552" xmlns:ns4="a44b952a-cdab-49d8-a572-68fa4f4b8e9d" targetNamespace="http://schemas.microsoft.com/office/2006/metadata/properties" ma:root="true" ma:fieldsID="fce53d6c37cf29a37c6e3d074bb6dd2a" ns1:_="" ns3:_="" ns4:_="">
    <xsd:import namespace="http://schemas.microsoft.com/sharepoint/v3"/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5FF0-B7CC-45C2-AB2F-0CC8D824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3A9AD-42A6-4FC3-80C1-BA14447A65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5B52EC-9466-44AA-AA5D-61B7C166D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D4A17-5984-4C1F-91F5-AF16F64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2713</Words>
  <Characters>13132</Characters>
  <Application>Microsoft Office Word</Application>
  <DocSecurity>0</DocSecurity>
  <Lines>320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Rate Review 2022-23 (including projection for 23/24 and 24/25).</vt:lpstr>
    </vt:vector>
  </TitlesOfParts>
  <Company>Service Birmingham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Rate Review 2022-23 (including projection for 23/24 and 24/25).</dc:title>
  <dc:creator>Diane Lewis</dc:creator>
  <cp:lastModifiedBy>Vikki Rainbow</cp:lastModifiedBy>
  <cp:revision>2</cp:revision>
  <cp:lastPrinted>2020-11-30T13:54:00Z</cp:lastPrinted>
  <dcterms:created xsi:type="dcterms:W3CDTF">2022-01-18T15:47:00Z</dcterms:created>
  <dcterms:modified xsi:type="dcterms:W3CDTF">2022-01-18T15:47:00Z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