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3D890" w14:textId="77777777" w:rsidR="00302B83" w:rsidRDefault="00302B83" w:rsidP="007F1A06">
      <w:pPr>
        <w:pStyle w:val="NoSpacing"/>
        <w:jc w:val="center"/>
        <w:rPr>
          <w:rFonts w:ascii="Arial" w:hAnsi="Arial" w:cs="Arial"/>
          <w:b/>
          <w:sz w:val="24"/>
          <w:szCs w:val="24"/>
          <w:u w:val="single"/>
        </w:rPr>
      </w:pPr>
    </w:p>
    <w:p w14:paraId="1D344FA3" w14:textId="77777777" w:rsidR="00302B83" w:rsidRDefault="00302B83" w:rsidP="007F1A06">
      <w:pPr>
        <w:pStyle w:val="NoSpacing"/>
        <w:jc w:val="center"/>
        <w:rPr>
          <w:rFonts w:ascii="Arial" w:hAnsi="Arial" w:cs="Arial"/>
          <w:b/>
          <w:sz w:val="24"/>
          <w:szCs w:val="24"/>
          <w:u w:val="single"/>
        </w:rPr>
      </w:pPr>
    </w:p>
    <w:p w14:paraId="7C244CCA" w14:textId="77777777" w:rsidR="00302B83" w:rsidRDefault="00302B83" w:rsidP="007F1A06">
      <w:pPr>
        <w:pStyle w:val="NoSpacing"/>
        <w:jc w:val="center"/>
        <w:rPr>
          <w:rFonts w:ascii="Arial" w:hAnsi="Arial" w:cs="Arial"/>
          <w:b/>
          <w:sz w:val="24"/>
          <w:szCs w:val="24"/>
          <w:u w:val="single"/>
        </w:rPr>
      </w:pPr>
    </w:p>
    <w:p w14:paraId="6080F48C" w14:textId="77777777" w:rsidR="00302B83" w:rsidRDefault="00302B83" w:rsidP="007F1A06">
      <w:pPr>
        <w:pStyle w:val="NoSpacing"/>
        <w:jc w:val="center"/>
        <w:rPr>
          <w:rFonts w:ascii="Arial" w:hAnsi="Arial" w:cs="Arial"/>
          <w:b/>
          <w:sz w:val="24"/>
          <w:szCs w:val="24"/>
          <w:u w:val="single"/>
        </w:rPr>
      </w:pPr>
    </w:p>
    <w:p w14:paraId="01335DDE" w14:textId="77777777" w:rsidR="00302B83" w:rsidRDefault="00302B83" w:rsidP="007F1A06">
      <w:pPr>
        <w:pStyle w:val="NoSpacing"/>
        <w:jc w:val="center"/>
        <w:rPr>
          <w:rFonts w:ascii="Arial" w:hAnsi="Arial" w:cs="Arial"/>
          <w:b/>
          <w:sz w:val="24"/>
          <w:szCs w:val="24"/>
          <w:u w:val="single"/>
        </w:rPr>
      </w:pPr>
    </w:p>
    <w:p w14:paraId="0D4F9D47" w14:textId="77777777" w:rsidR="00302B83" w:rsidRDefault="00302B83" w:rsidP="007F1A06">
      <w:pPr>
        <w:pStyle w:val="NoSpacing"/>
        <w:jc w:val="center"/>
        <w:rPr>
          <w:rFonts w:ascii="Arial" w:hAnsi="Arial" w:cs="Arial"/>
          <w:b/>
          <w:sz w:val="24"/>
          <w:szCs w:val="24"/>
          <w:u w:val="single"/>
        </w:rPr>
      </w:pPr>
    </w:p>
    <w:p w14:paraId="458408B6" w14:textId="77777777" w:rsidR="00302B83" w:rsidRDefault="00302B83" w:rsidP="007F1A06">
      <w:pPr>
        <w:pStyle w:val="NoSpacing"/>
        <w:jc w:val="center"/>
        <w:rPr>
          <w:rFonts w:ascii="Arial" w:hAnsi="Arial" w:cs="Arial"/>
          <w:b/>
          <w:sz w:val="24"/>
          <w:szCs w:val="24"/>
          <w:u w:val="single"/>
        </w:rPr>
      </w:pPr>
    </w:p>
    <w:p w14:paraId="03CE6D0F" w14:textId="79DBEED8" w:rsidR="007F1A06" w:rsidRPr="005D02DF" w:rsidRDefault="00BB0B44" w:rsidP="007F1A06">
      <w:pPr>
        <w:pStyle w:val="NoSpacing"/>
        <w:jc w:val="center"/>
        <w:rPr>
          <w:rFonts w:ascii="Arial" w:hAnsi="Arial" w:cs="Arial"/>
          <w:b/>
          <w:sz w:val="24"/>
          <w:szCs w:val="24"/>
          <w:u w:val="single"/>
        </w:rPr>
      </w:pPr>
      <w:r>
        <w:rPr>
          <w:rFonts w:ascii="Arial" w:hAnsi="Arial" w:cs="Arial"/>
          <w:b/>
          <w:sz w:val="24"/>
          <w:szCs w:val="24"/>
          <w:u w:val="single"/>
        </w:rPr>
        <w:t xml:space="preserve">THE </w:t>
      </w:r>
      <w:r w:rsidR="007F1A06" w:rsidRPr="005D02DF">
        <w:rPr>
          <w:rFonts w:ascii="Arial" w:hAnsi="Arial" w:cs="Arial"/>
          <w:b/>
          <w:sz w:val="24"/>
          <w:szCs w:val="24"/>
          <w:u w:val="single"/>
        </w:rPr>
        <w:t>BIRMINGHAM CITY COUNCIL</w:t>
      </w:r>
    </w:p>
    <w:p w14:paraId="213A7AC5" w14:textId="3F4718EA" w:rsidR="007F1A06" w:rsidRPr="005D02DF" w:rsidRDefault="007F1A06" w:rsidP="007F1A06">
      <w:pPr>
        <w:pStyle w:val="NoSpacing"/>
        <w:jc w:val="center"/>
        <w:rPr>
          <w:rFonts w:ascii="Arial" w:hAnsi="Arial" w:cs="Arial"/>
          <w:b/>
          <w:sz w:val="24"/>
          <w:szCs w:val="24"/>
          <w:u w:val="single"/>
        </w:rPr>
      </w:pPr>
      <w:r>
        <w:rPr>
          <w:rFonts w:ascii="Arial" w:hAnsi="Arial" w:cs="Arial"/>
          <w:b/>
          <w:sz w:val="24"/>
          <w:szCs w:val="24"/>
          <w:u w:val="single"/>
        </w:rPr>
        <w:t>(</w:t>
      </w:r>
      <w:r w:rsidR="007A2CDA">
        <w:rPr>
          <w:rFonts w:ascii="Arial" w:hAnsi="Arial" w:cs="Arial"/>
          <w:b/>
          <w:sz w:val="24"/>
          <w:szCs w:val="24"/>
          <w:u w:val="single"/>
        </w:rPr>
        <w:t>POOL FARM ESTATE KINGS NORTON</w:t>
      </w:r>
      <w:r>
        <w:rPr>
          <w:rFonts w:ascii="Arial" w:hAnsi="Arial" w:cs="Arial"/>
          <w:b/>
          <w:sz w:val="24"/>
          <w:szCs w:val="24"/>
          <w:u w:val="single"/>
        </w:rPr>
        <w:t>)</w:t>
      </w:r>
    </w:p>
    <w:p w14:paraId="5B849262" w14:textId="569AD0FB" w:rsidR="007F1A06" w:rsidRPr="005D02DF" w:rsidRDefault="007F1A06" w:rsidP="007F1A06">
      <w:pPr>
        <w:pStyle w:val="NoSpacing"/>
        <w:jc w:val="center"/>
        <w:rPr>
          <w:rFonts w:ascii="Arial" w:hAnsi="Arial" w:cs="Arial"/>
          <w:b/>
          <w:sz w:val="24"/>
          <w:szCs w:val="24"/>
          <w:u w:val="single"/>
        </w:rPr>
      </w:pPr>
      <w:r w:rsidRPr="005D02DF">
        <w:rPr>
          <w:rFonts w:ascii="Arial" w:hAnsi="Arial" w:cs="Arial"/>
          <w:b/>
          <w:sz w:val="24"/>
          <w:szCs w:val="24"/>
          <w:u w:val="single"/>
        </w:rPr>
        <w:t xml:space="preserve">COMPULSORY PURCHASE ORDER </w:t>
      </w:r>
      <w:r>
        <w:rPr>
          <w:rFonts w:ascii="Arial" w:hAnsi="Arial" w:cs="Arial"/>
          <w:b/>
          <w:sz w:val="24"/>
          <w:szCs w:val="24"/>
          <w:u w:val="single"/>
        </w:rPr>
        <w:t>202</w:t>
      </w:r>
      <w:r w:rsidR="007A2CDA">
        <w:rPr>
          <w:rFonts w:ascii="Arial" w:hAnsi="Arial" w:cs="Arial"/>
          <w:b/>
          <w:sz w:val="24"/>
          <w:szCs w:val="24"/>
          <w:u w:val="single"/>
        </w:rPr>
        <w:t>1</w:t>
      </w:r>
    </w:p>
    <w:p w14:paraId="07F0A9FF" w14:textId="77777777" w:rsidR="007F1A06" w:rsidRDefault="007F1A06" w:rsidP="007F1A06">
      <w:pPr>
        <w:pStyle w:val="NoSpacing"/>
        <w:jc w:val="center"/>
        <w:rPr>
          <w:rFonts w:ascii="Arial" w:hAnsi="Arial" w:cs="Arial"/>
          <w:sz w:val="24"/>
          <w:szCs w:val="24"/>
        </w:rPr>
      </w:pPr>
    </w:p>
    <w:p w14:paraId="36B660CC" w14:textId="77777777" w:rsidR="007F1A06" w:rsidRDefault="007F1A06" w:rsidP="007F1A06">
      <w:pPr>
        <w:pStyle w:val="NoSpacing"/>
        <w:jc w:val="center"/>
        <w:rPr>
          <w:rFonts w:ascii="Arial" w:hAnsi="Arial" w:cs="Arial"/>
          <w:sz w:val="24"/>
          <w:szCs w:val="24"/>
        </w:rPr>
      </w:pPr>
    </w:p>
    <w:p w14:paraId="0DAC3EB1" w14:textId="77777777" w:rsidR="007F1A06" w:rsidRDefault="007F1A06" w:rsidP="007F1A06">
      <w:pPr>
        <w:pStyle w:val="NoSpacing"/>
        <w:jc w:val="center"/>
        <w:rPr>
          <w:rFonts w:ascii="Arial" w:hAnsi="Arial" w:cs="Arial"/>
          <w:sz w:val="24"/>
          <w:szCs w:val="24"/>
        </w:rPr>
      </w:pPr>
    </w:p>
    <w:p w14:paraId="23EDB1D8" w14:textId="77777777" w:rsidR="007F1A06" w:rsidRDefault="007F1A06" w:rsidP="007F1A06">
      <w:pPr>
        <w:pStyle w:val="NoSpacing"/>
        <w:jc w:val="center"/>
        <w:rPr>
          <w:rFonts w:ascii="Arial" w:hAnsi="Arial" w:cs="Arial"/>
          <w:sz w:val="24"/>
          <w:szCs w:val="24"/>
        </w:rPr>
      </w:pPr>
    </w:p>
    <w:p w14:paraId="70CC5F04" w14:textId="77777777" w:rsidR="007F1A06" w:rsidRDefault="007F1A06" w:rsidP="007F1A06">
      <w:pPr>
        <w:pStyle w:val="NoSpacing"/>
        <w:jc w:val="center"/>
        <w:rPr>
          <w:rFonts w:ascii="Arial" w:hAnsi="Arial" w:cs="Arial"/>
          <w:sz w:val="24"/>
          <w:szCs w:val="24"/>
        </w:rPr>
      </w:pPr>
    </w:p>
    <w:p w14:paraId="6B661B74" w14:textId="77777777" w:rsidR="007F1A06" w:rsidRDefault="007F1A06" w:rsidP="007F1A06">
      <w:pPr>
        <w:pStyle w:val="NoSpacing"/>
        <w:jc w:val="center"/>
        <w:rPr>
          <w:rFonts w:ascii="Arial" w:hAnsi="Arial" w:cs="Arial"/>
          <w:sz w:val="24"/>
          <w:szCs w:val="24"/>
        </w:rPr>
      </w:pPr>
    </w:p>
    <w:p w14:paraId="47382CD9" w14:textId="77777777" w:rsidR="007F1A06" w:rsidRPr="005D02DF" w:rsidRDefault="007F1A06" w:rsidP="007F1A06">
      <w:pPr>
        <w:pStyle w:val="NoSpacing"/>
        <w:jc w:val="center"/>
        <w:rPr>
          <w:rFonts w:ascii="Arial" w:hAnsi="Arial" w:cs="Arial"/>
          <w:b/>
          <w:sz w:val="24"/>
          <w:szCs w:val="24"/>
          <w:u w:val="single"/>
        </w:rPr>
      </w:pPr>
      <w:r w:rsidRPr="005D02DF">
        <w:rPr>
          <w:rFonts w:ascii="Arial" w:hAnsi="Arial" w:cs="Arial"/>
          <w:b/>
          <w:sz w:val="24"/>
          <w:szCs w:val="24"/>
          <w:u w:val="single"/>
        </w:rPr>
        <w:t>STATEMENT OF REASONS FOR MAKING THE ORDER</w:t>
      </w:r>
    </w:p>
    <w:p w14:paraId="511D5679" w14:textId="77777777" w:rsidR="007F1A06" w:rsidRDefault="007F1A06" w:rsidP="007F1A06">
      <w:pPr>
        <w:pStyle w:val="NoSpacing"/>
        <w:jc w:val="center"/>
        <w:rPr>
          <w:rFonts w:ascii="Arial" w:hAnsi="Arial" w:cs="Arial"/>
          <w:sz w:val="24"/>
          <w:szCs w:val="24"/>
        </w:rPr>
      </w:pPr>
    </w:p>
    <w:p w14:paraId="6D8B5165" w14:textId="43D356B8" w:rsidR="007F1A06" w:rsidRDefault="007F1A06" w:rsidP="007F1A06">
      <w:pPr>
        <w:pStyle w:val="NoSpacing"/>
        <w:jc w:val="center"/>
        <w:rPr>
          <w:rFonts w:ascii="Arial" w:hAnsi="Arial" w:cs="Arial"/>
          <w:sz w:val="24"/>
          <w:szCs w:val="24"/>
        </w:rPr>
      </w:pPr>
    </w:p>
    <w:p w14:paraId="14BE900C" w14:textId="77777777" w:rsidR="007F1A06" w:rsidRDefault="007F1A06" w:rsidP="007F1A06">
      <w:pPr>
        <w:pStyle w:val="NoSpacing"/>
        <w:jc w:val="center"/>
        <w:rPr>
          <w:rFonts w:ascii="Arial" w:hAnsi="Arial" w:cs="Arial"/>
          <w:sz w:val="24"/>
          <w:szCs w:val="24"/>
        </w:rPr>
      </w:pPr>
    </w:p>
    <w:p w14:paraId="6DA8D5AD" w14:textId="77777777" w:rsidR="007F1A06" w:rsidRDefault="007F1A06" w:rsidP="007F1A06">
      <w:pPr>
        <w:pStyle w:val="NoSpacing"/>
        <w:jc w:val="center"/>
        <w:rPr>
          <w:rFonts w:ascii="Arial" w:hAnsi="Arial" w:cs="Arial"/>
          <w:sz w:val="24"/>
          <w:szCs w:val="24"/>
        </w:rPr>
      </w:pPr>
    </w:p>
    <w:p w14:paraId="011A4C55" w14:textId="77777777" w:rsidR="007F1A06" w:rsidRDefault="007F1A06" w:rsidP="007F1A06">
      <w:pPr>
        <w:pStyle w:val="NoSpacing"/>
        <w:jc w:val="center"/>
        <w:rPr>
          <w:rFonts w:ascii="Arial" w:hAnsi="Arial" w:cs="Arial"/>
          <w:sz w:val="24"/>
          <w:szCs w:val="24"/>
        </w:rPr>
      </w:pPr>
    </w:p>
    <w:p w14:paraId="68EEFD5E" w14:textId="77777777" w:rsidR="007F1A06" w:rsidRDefault="007F1A06" w:rsidP="007F1A06">
      <w:pPr>
        <w:pStyle w:val="NoSpacing"/>
        <w:jc w:val="center"/>
        <w:rPr>
          <w:rFonts w:ascii="Arial" w:hAnsi="Arial" w:cs="Arial"/>
          <w:sz w:val="24"/>
          <w:szCs w:val="24"/>
        </w:rPr>
      </w:pPr>
    </w:p>
    <w:p w14:paraId="337AEA99" w14:textId="77777777" w:rsidR="007F1A06" w:rsidRPr="007A1386" w:rsidRDefault="007F1A06" w:rsidP="007F1A06">
      <w:pPr>
        <w:pStyle w:val="NoSpacing"/>
        <w:jc w:val="center"/>
        <w:rPr>
          <w:rFonts w:ascii="Arial" w:hAnsi="Arial" w:cs="Arial"/>
          <w:b/>
          <w:sz w:val="24"/>
          <w:szCs w:val="24"/>
          <w:u w:val="single"/>
        </w:rPr>
      </w:pPr>
      <w:r w:rsidRPr="007A1386">
        <w:rPr>
          <w:rFonts w:ascii="Arial" w:hAnsi="Arial" w:cs="Arial"/>
          <w:b/>
          <w:sz w:val="24"/>
          <w:szCs w:val="24"/>
          <w:u w:val="single"/>
        </w:rPr>
        <w:t>SECTION 17 HOUSING ACT 1985</w:t>
      </w:r>
    </w:p>
    <w:p w14:paraId="0D86C0A8" w14:textId="77777777" w:rsidR="007F1A06" w:rsidRDefault="007F1A06" w:rsidP="007F1A06">
      <w:pPr>
        <w:pStyle w:val="NoSpacing"/>
        <w:jc w:val="center"/>
        <w:rPr>
          <w:rFonts w:ascii="Arial" w:hAnsi="Arial" w:cs="Arial"/>
          <w:sz w:val="24"/>
          <w:szCs w:val="24"/>
        </w:rPr>
      </w:pPr>
    </w:p>
    <w:p w14:paraId="0599B50B" w14:textId="77777777" w:rsidR="007F1A06" w:rsidRDefault="007F1A06" w:rsidP="007F1A06">
      <w:pPr>
        <w:pStyle w:val="NoSpacing"/>
        <w:jc w:val="center"/>
        <w:rPr>
          <w:rFonts w:ascii="Arial" w:hAnsi="Arial" w:cs="Arial"/>
          <w:sz w:val="24"/>
          <w:szCs w:val="24"/>
        </w:rPr>
      </w:pPr>
    </w:p>
    <w:p w14:paraId="74C30976" w14:textId="77777777" w:rsidR="007F1A06" w:rsidRDefault="007F1A06" w:rsidP="007F1A06">
      <w:pPr>
        <w:pStyle w:val="NoSpacing"/>
        <w:jc w:val="center"/>
        <w:rPr>
          <w:rFonts w:ascii="Arial" w:hAnsi="Arial" w:cs="Arial"/>
          <w:sz w:val="24"/>
          <w:szCs w:val="24"/>
        </w:rPr>
      </w:pPr>
    </w:p>
    <w:p w14:paraId="794EE2FC" w14:textId="77777777" w:rsidR="007F1A06" w:rsidRDefault="007F1A06" w:rsidP="007F1A06">
      <w:pPr>
        <w:pStyle w:val="NoSpacing"/>
        <w:jc w:val="center"/>
        <w:rPr>
          <w:rFonts w:ascii="Arial" w:hAnsi="Arial" w:cs="Arial"/>
          <w:sz w:val="24"/>
          <w:szCs w:val="24"/>
        </w:rPr>
      </w:pPr>
    </w:p>
    <w:p w14:paraId="648DEB7B" w14:textId="77777777" w:rsidR="007F1A06" w:rsidRDefault="007F1A06" w:rsidP="007F1A06">
      <w:pPr>
        <w:pStyle w:val="NoSpacing"/>
        <w:jc w:val="both"/>
        <w:rPr>
          <w:rFonts w:ascii="Arial" w:hAnsi="Arial" w:cs="Arial"/>
          <w:sz w:val="24"/>
          <w:szCs w:val="24"/>
        </w:rPr>
      </w:pPr>
    </w:p>
    <w:p w14:paraId="338FB95B" w14:textId="0E8F0F0C" w:rsidR="007F1A06" w:rsidRPr="00C13777" w:rsidRDefault="007F1A06" w:rsidP="007F1A06">
      <w:pPr>
        <w:spacing w:after="0" w:line="240" w:lineRule="auto"/>
        <w:jc w:val="both"/>
        <w:rPr>
          <w:rFonts w:ascii="Arial" w:eastAsia="Times New Roman" w:hAnsi="Arial" w:cs="Arial"/>
          <w:b/>
          <w:sz w:val="36"/>
          <w:szCs w:val="36"/>
        </w:rPr>
      </w:pPr>
      <w:r w:rsidRPr="00C13777">
        <w:rPr>
          <w:rFonts w:ascii="Arial" w:eastAsia="Times New Roman" w:hAnsi="Arial" w:cs="Arial"/>
          <w:b/>
          <w:sz w:val="36"/>
          <w:szCs w:val="36"/>
        </w:rPr>
        <w:t>This Statement of Reasons can be made available in large print</w:t>
      </w:r>
      <w:r w:rsidR="00D513CE">
        <w:rPr>
          <w:rFonts w:ascii="Arial" w:eastAsia="Times New Roman" w:hAnsi="Arial" w:cs="Arial"/>
          <w:b/>
          <w:sz w:val="36"/>
          <w:szCs w:val="36"/>
        </w:rPr>
        <w:t xml:space="preserve"> or Braille and </w:t>
      </w:r>
      <w:r w:rsidRPr="00C13777">
        <w:rPr>
          <w:rFonts w:ascii="Arial" w:eastAsia="Times New Roman" w:hAnsi="Arial" w:cs="Arial"/>
          <w:b/>
          <w:sz w:val="36"/>
          <w:szCs w:val="36"/>
        </w:rPr>
        <w:t xml:space="preserve">on audiotape </w:t>
      </w:r>
      <w:r w:rsidR="00D513CE">
        <w:rPr>
          <w:rFonts w:ascii="Arial" w:eastAsia="Times New Roman" w:hAnsi="Arial" w:cs="Arial"/>
          <w:b/>
          <w:sz w:val="36"/>
          <w:szCs w:val="36"/>
        </w:rPr>
        <w:t>or</w:t>
      </w:r>
      <w:r w:rsidR="000A5960">
        <w:rPr>
          <w:rFonts w:ascii="Arial" w:eastAsia="Times New Roman" w:hAnsi="Arial" w:cs="Arial"/>
          <w:b/>
          <w:sz w:val="36"/>
          <w:szCs w:val="36"/>
        </w:rPr>
        <w:t xml:space="preserve"> </w:t>
      </w:r>
      <w:r w:rsidRPr="00C13777">
        <w:rPr>
          <w:rFonts w:ascii="Arial" w:eastAsia="Times New Roman" w:hAnsi="Arial" w:cs="Arial"/>
          <w:b/>
          <w:sz w:val="36"/>
          <w:szCs w:val="36"/>
        </w:rPr>
        <w:t>computer disc</w:t>
      </w:r>
      <w:r>
        <w:rPr>
          <w:rFonts w:ascii="Arial" w:eastAsia="Times New Roman" w:hAnsi="Arial" w:cs="Arial"/>
          <w:b/>
          <w:sz w:val="36"/>
          <w:szCs w:val="36"/>
        </w:rPr>
        <w:t xml:space="preserve"> </w:t>
      </w:r>
      <w:r w:rsidRPr="00C13777">
        <w:rPr>
          <w:rFonts w:ascii="Arial" w:eastAsia="Times New Roman" w:hAnsi="Arial" w:cs="Arial"/>
          <w:b/>
          <w:sz w:val="36"/>
          <w:szCs w:val="36"/>
        </w:rPr>
        <w:t>on request, normally within 10 days.  The Council can also provide versions in community languages, again normally within 10 days.</w:t>
      </w:r>
    </w:p>
    <w:p w14:paraId="2BC6B293" w14:textId="77777777" w:rsidR="007F1A06" w:rsidRPr="00C13777" w:rsidRDefault="007F1A06" w:rsidP="007F1A06">
      <w:pPr>
        <w:spacing w:after="0" w:line="240" w:lineRule="auto"/>
        <w:jc w:val="both"/>
        <w:rPr>
          <w:rFonts w:ascii="Arial" w:eastAsia="Times New Roman" w:hAnsi="Arial" w:cs="Arial"/>
          <w:b/>
          <w:sz w:val="36"/>
          <w:szCs w:val="36"/>
        </w:rPr>
      </w:pPr>
    </w:p>
    <w:p w14:paraId="00BD7511" w14:textId="77777777" w:rsidR="007F1A06" w:rsidRPr="00C13777" w:rsidRDefault="007F1A06" w:rsidP="007F1A06">
      <w:pPr>
        <w:spacing w:after="0" w:line="240" w:lineRule="auto"/>
        <w:jc w:val="both"/>
        <w:rPr>
          <w:rFonts w:ascii="Arial" w:eastAsia="Times New Roman" w:hAnsi="Arial" w:cs="Arial"/>
          <w:b/>
          <w:sz w:val="36"/>
          <w:szCs w:val="36"/>
        </w:rPr>
      </w:pPr>
      <w:r w:rsidRPr="00C13777">
        <w:rPr>
          <w:rFonts w:ascii="Arial" w:eastAsia="Times New Roman" w:hAnsi="Arial" w:cs="Arial"/>
          <w:b/>
          <w:sz w:val="36"/>
          <w:szCs w:val="36"/>
        </w:rPr>
        <w:t xml:space="preserve">Please telephone 0121 </w:t>
      </w:r>
      <w:r>
        <w:rPr>
          <w:rFonts w:ascii="Arial" w:eastAsia="Times New Roman" w:hAnsi="Arial" w:cs="Arial"/>
          <w:b/>
          <w:sz w:val="36"/>
          <w:szCs w:val="36"/>
        </w:rPr>
        <w:t>303 6474</w:t>
      </w:r>
      <w:r w:rsidRPr="00C13777">
        <w:rPr>
          <w:rFonts w:ascii="Arial" w:eastAsia="Times New Roman" w:hAnsi="Arial" w:cs="Arial"/>
          <w:b/>
          <w:sz w:val="36"/>
          <w:szCs w:val="36"/>
        </w:rPr>
        <w:t xml:space="preserve"> for any of these alternative formats.</w:t>
      </w:r>
    </w:p>
    <w:p w14:paraId="7F40C179" w14:textId="77777777" w:rsidR="007F1A06" w:rsidRPr="00C13777" w:rsidRDefault="007F1A06" w:rsidP="007F1A06">
      <w:pPr>
        <w:spacing w:after="0" w:line="240" w:lineRule="auto"/>
        <w:jc w:val="both"/>
        <w:rPr>
          <w:rFonts w:ascii="Arial" w:eastAsia="Times New Roman" w:hAnsi="Arial" w:cs="Arial"/>
          <w:b/>
          <w:sz w:val="36"/>
          <w:szCs w:val="36"/>
        </w:rPr>
      </w:pPr>
    </w:p>
    <w:p w14:paraId="724B36EA" w14:textId="77777777" w:rsidR="007F1A06" w:rsidRPr="00C13777" w:rsidRDefault="007F1A06" w:rsidP="007F1A06">
      <w:pPr>
        <w:spacing w:after="0" w:line="240" w:lineRule="auto"/>
        <w:jc w:val="both"/>
        <w:rPr>
          <w:rFonts w:ascii="Arial" w:eastAsia="Times New Roman" w:hAnsi="Arial" w:cs="Arial"/>
          <w:b/>
          <w:sz w:val="36"/>
          <w:szCs w:val="36"/>
        </w:rPr>
      </w:pPr>
      <w:r w:rsidRPr="00C13777">
        <w:rPr>
          <w:rFonts w:ascii="Arial" w:eastAsia="Times New Roman" w:hAnsi="Arial" w:cs="Arial"/>
          <w:b/>
          <w:bCs/>
          <w:color w:val="000000"/>
          <w:sz w:val="36"/>
          <w:szCs w:val="36"/>
          <w:u w:val="single"/>
          <w:lang w:val="en" w:eastAsia="en-GB"/>
        </w:rPr>
        <w:t xml:space="preserve">If you are hearing impaired please call us on Typetalk on 18001 0121  </w:t>
      </w:r>
      <w:r>
        <w:rPr>
          <w:rFonts w:ascii="Arial" w:eastAsia="Times New Roman" w:hAnsi="Arial" w:cs="Arial"/>
          <w:b/>
          <w:bCs/>
          <w:color w:val="000000"/>
          <w:sz w:val="36"/>
          <w:szCs w:val="36"/>
          <w:u w:val="single"/>
          <w:lang w:val="en" w:eastAsia="en-GB"/>
        </w:rPr>
        <w:t>3036474</w:t>
      </w:r>
    </w:p>
    <w:p w14:paraId="4A86B368" w14:textId="77777777" w:rsidR="007F1A06" w:rsidRDefault="007F1A06" w:rsidP="007F1A06">
      <w:pPr>
        <w:pStyle w:val="NoSpacing"/>
        <w:jc w:val="both"/>
        <w:rPr>
          <w:rFonts w:ascii="Arial" w:hAnsi="Arial" w:cs="Arial"/>
          <w:sz w:val="24"/>
          <w:szCs w:val="24"/>
        </w:rPr>
      </w:pPr>
    </w:p>
    <w:p w14:paraId="2C9D7520" w14:textId="77777777" w:rsidR="007F1A06" w:rsidRDefault="007F1A06" w:rsidP="007F1A06">
      <w:pPr>
        <w:pStyle w:val="NoSpacing"/>
        <w:jc w:val="both"/>
        <w:rPr>
          <w:rFonts w:ascii="Arial" w:hAnsi="Arial" w:cs="Arial"/>
          <w:sz w:val="24"/>
          <w:szCs w:val="24"/>
        </w:rPr>
      </w:pPr>
    </w:p>
    <w:p w14:paraId="25545014" w14:textId="77777777" w:rsidR="007F1A06" w:rsidRDefault="007F1A06" w:rsidP="007F1A06">
      <w:pPr>
        <w:pStyle w:val="NoSpacing"/>
        <w:jc w:val="both"/>
        <w:rPr>
          <w:rFonts w:ascii="Arial" w:hAnsi="Arial" w:cs="Arial"/>
          <w:sz w:val="24"/>
          <w:szCs w:val="24"/>
        </w:rPr>
      </w:pPr>
    </w:p>
    <w:p w14:paraId="2E90CAD6" w14:textId="77777777" w:rsidR="007F1A06" w:rsidRDefault="007F1A06" w:rsidP="007F1A06">
      <w:pPr>
        <w:pStyle w:val="NoSpacing"/>
        <w:jc w:val="both"/>
        <w:rPr>
          <w:rFonts w:ascii="Arial" w:hAnsi="Arial" w:cs="Arial"/>
          <w:sz w:val="24"/>
          <w:szCs w:val="24"/>
        </w:rPr>
      </w:pPr>
    </w:p>
    <w:p w14:paraId="03C236BB" w14:textId="77777777" w:rsidR="007F1A06" w:rsidRDefault="007F1A06" w:rsidP="007F1A06">
      <w:pPr>
        <w:pStyle w:val="NoSpacing"/>
        <w:jc w:val="both"/>
        <w:rPr>
          <w:rFonts w:ascii="Arial" w:hAnsi="Arial" w:cs="Arial"/>
          <w:sz w:val="24"/>
          <w:szCs w:val="24"/>
        </w:rPr>
      </w:pPr>
    </w:p>
    <w:p w14:paraId="57A77D7B" w14:textId="77777777" w:rsidR="007F1A06" w:rsidRPr="0070667C" w:rsidRDefault="007F1A06" w:rsidP="007F1A06">
      <w:pPr>
        <w:pStyle w:val="TOCHeading"/>
        <w:jc w:val="both"/>
        <w:rPr>
          <w:color w:val="auto"/>
        </w:rPr>
      </w:pPr>
      <w:r w:rsidRPr="0070667C">
        <w:rPr>
          <w:color w:val="auto"/>
        </w:rPr>
        <w:t>Table of Contents</w:t>
      </w:r>
    </w:p>
    <w:p w14:paraId="4805712B" w14:textId="17BDC4FB" w:rsidR="006A457B" w:rsidRPr="006C3F67" w:rsidRDefault="007F1A06">
      <w:pPr>
        <w:pStyle w:val="TOC1"/>
        <w:rPr>
          <w:rFonts w:asciiTheme="minorHAnsi" w:eastAsiaTheme="minorEastAsia" w:hAnsiTheme="minorHAnsi" w:cstheme="minorBidi"/>
          <w:b w:val="0"/>
          <w:bCs w:val="0"/>
          <w:noProof/>
          <w:u w:val="none"/>
          <w:lang w:eastAsia="en-GB"/>
        </w:rPr>
      </w:pPr>
      <w:r>
        <w:fldChar w:fldCharType="begin"/>
      </w:r>
      <w:r>
        <w:instrText xml:space="preserve"> TOC \o "1-3" \h \z \u </w:instrText>
      </w:r>
      <w:r>
        <w:fldChar w:fldCharType="separate"/>
      </w:r>
      <w:hyperlink w:anchor="_Toc68772042" w:history="1">
        <w:r w:rsidR="006A457B" w:rsidRPr="006C3F67">
          <w:rPr>
            <w:rStyle w:val="Hyperlink"/>
            <w:noProof/>
            <w:u w:val="none"/>
          </w:rPr>
          <w:t>1.</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Introduction</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_Toc68772042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3</w:t>
        </w:r>
        <w:r w:rsidR="006A457B" w:rsidRPr="006C3F67">
          <w:rPr>
            <w:noProof/>
            <w:webHidden/>
            <w:u w:val="none"/>
          </w:rPr>
          <w:fldChar w:fldCharType="end"/>
        </w:r>
      </w:hyperlink>
    </w:p>
    <w:p w14:paraId="13D35EFB" w14:textId="3B0E78D1" w:rsidR="006A457B" w:rsidRPr="006C3F67" w:rsidRDefault="00077469">
      <w:pPr>
        <w:pStyle w:val="TOC1"/>
        <w:rPr>
          <w:rFonts w:asciiTheme="minorHAnsi" w:eastAsiaTheme="minorEastAsia" w:hAnsiTheme="minorHAnsi" w:cstheme="minorBidi"/>
          <w:b w:val="0"/>
          <w:bCs w:val="0"/>
          <w:noProof/>
          <w:u w:val="none"/>
          <w:lang w:eastAsia="en-GB"/>
        </w:rPr>
      </w:pPr>
      <w:hyperlink w:anchor="_Toc68772043" w:history="1">
        <w:r w:rsidR="006A457B" w:rsidRPr="006C3F67">
          <w:rPr>
            <w:rStyle w:val="Hyperlink"/>
            <w:noProof/>
            <w:u w:val="none"/>
          </w:rPr>
          <w:t>2.</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Description of the Order Land, location, and current use.</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_Toc68772043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4</w:t>
        </w:r>
        <w:r w:rsidR="006A457B" w:rsidRPr="006C3F67">
          <w:rPr>
            <w:noProof/>
            <w:webHidden/>
            <w:u w:val="none"/>
          </w:rPr>
          <w:fldChar w:fldCharType="end"/>
        </w:r>
      </w:hyperlink>
    </w:p>
    <w:p w14:paraId="2EEF8D4A" w14:textId="7F3E52B7" w:rsidR="006A457B" w:rsidRPr="006C3F67" w:rsidRDefault="00077469">
      <w:pPr>
        <w:pStyle w:val="TOC1"/>
        <w:rPr>
          <w:rFonts w:asciiTheme="minorHAnsi" w:eastAsiaTheme="minorEastAsia" w:hAnsiTheme="minorHAnsi" w:cstheme="minorBidi"/>
          <w:b w:val="0"/>
          <w:bCs w:val="0"/>
          <w:noProof/>
          <w:u w:val="none"/>
          <w:lang w:eastAsia="en-GB"/>
        </w:rPr>
      </w:pPr>
      <w:hyperlink w:anchor="_Toc68772044" w:history="1">
        <w:r w:rsidR="006A457B" w:rsidRPr="006C3F67">
          <w:rPr>
            <w:rStyle w:val="Hyperlink"/>
            <w:noProof/>
            <w:u w:val="none"/>
          </w:rPr>
          <w:t>3.</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Background to the Order</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_Toc68772044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6</w:t>
        </w:r>
        <w:r w:rsidR="006A457B" w:rsidRPr="006C3F67">
          <w:rPr>
            <w:noProof/>
            <w:webHidden/>
            <w:u w:val="none"/>
          </w:rPr>
          <w:fldChar w:fldCharType="end"/>
        </w:r>
      </w:hyperlink>
    </w:p>
    <w:p w14:paraId="370C1C03" w14:textId="1E56DB49" w:rsidR="006A457B" w:rsidRPr="006C3F67" w:rsidRDefault="00077469">
      <w:pPr>
        <w:pStyle w:val="TOC1"/>
        <w:rPr>
          <w:rFonts w:asciiTheme="minorHAnsi" w:eastAsiaTheme="minorEastAsia" w:hAnsiTheme="minorHAnsi" w:cstheme="minorBidi"/>
          <w:b w:val="0"/>
          <w:bCs w:val="0"/>
          <w:noProof/>
          <w:u w:val="none"/>
          <w:lang w:eastAsia="en-GB"/>
        </w:rPr>
      </w:pPr>
      <w:hyperlink w:anchor="_Toc68772045" w:history="1">
        <w:r w:rsidR="006A457B" w:rsidRPr="006C3F67">
          <w:rPr>
            <w:rStyle w:val="Hyperlink"/>
            <w:noProof/>
            <w:u w:val="none"/>
            <w:lang w:eastAsia="en-GB"/>
          </w:rPr>
          <w:t>4.</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lang w:eastAsia="en-GB"/>
          </w:rPr>
          <w:t>The development proposals</w:t>
        </w:r>
        <w:r w:rsidR="006A457B" w:rsidRPr="006C3F67">
          <w:rPr>
            <w:noProof/>
            <w:webHidden/>
            <w:u w:val="none"/>
          </w:rPr>
          <w:tab/>
        </w:r>
      </w:hyperlink>
      <w:r w:rsidR="00D768CB">
        <w:rPr>
          <w:noProof/>
          <w:u w:val="none"/>
        </w:rPr>
        <w:t>7</w:t>
      </w:r>
    </w:p>
    <w:p w14:paraId="669B678B" w14:textId="165B2734" w:rsidR="006A457B" w:rsidRPr="006C3F67" w:rsidRDefault="00077469">
      <w:pPr>
        <w:pStyle w:val="TOC1"/>
        <w:rPr>
          <w:rFonts w:asciiTheme="minorHAnsi" w:eastAsiaTheme="minorEastAsia" w:hAnsiTheme="minorHAnsi" w:cstheme="minorBidi"/>
          <w:b w:val="0"/>
          <w:bCs w:val="0"/>
          <w:noProof/>
          <w:u w:val="none"/>
          <w:lang w:eastAsia="en-GB"/>
        </w:rPr>
      </w:pPr>
      <w:hyperlink w:anchor="_Toc68772046" w:history="1">
        <w:r w:rsidR="006A457B" w:rsidRPr="006C3F67">
          <w:rPr>
            <w:rStyle w:val="Hyperlink"/>
            <w:noProof/>
            <w:u w:val="none"/>
          </w:rPr>
          <w:t>5.</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The Case for Compulsory Purchase</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_Toc68772046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10</w:t>
        </w:r>
        <w:r w:rsidR="006A457B" w:rsidRPr="006C3F67">
          <w:rPr>
            <w:noProof/>
            <w:webHidden/>
            <w:u w:val="none"/>
          </w:rPr>
          <w:fldChar w:fldCharType="end"/>
        </w:r>
      </w:hyperlink>
    </w:p>
    <w:p w14:paraId="72E03222" w14:textId="4D604310" w:rsidR="006A457B" w:rsidRPr="006C3F67" w:rsidRDefault="00077469">
      <w:pPr>
        <w:pStyle w:val="TOC1"/>
        <w:rPr>
          <w:rFonts w:asciiTheme="minorHAnsi" w:eastAsiaTheme="minorEastAsia" w:hAnsiTheme="minorHAnsi" w:cstheme="minorBidi"/>
          <w:b w:val="0"/>
          <w:bCs w:val="0"/>
          <w:noProof/>
          <w:u w:val="none"/>
          <w:lang w:eastAsia="en-GB"/>
        </w:rPr>
      </w:pPr>
      <w:hyperlink w:anchor="_Toc68772047" w:history="1">
        <w:r w:rsidR="006A457B" w:rsidRPr="006C3F67">
          <w:rPr>
            <w:rStyle w:val="Hyperlink"/>
            <w:noProof/>
            <w:u w:val="none"/>
          </w:rPr>
          <w:t>6.</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Housing supply and demand for Kings Norton, Birmingham</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_Toc68772047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12</w:t>
        </w:r>
        <w:r w:rsidR="006A457B" w:rsidRPr="006C3F67">
          <w:rPr>
            <w:noProof/>
            <w:webHidden/>
            <w:u w:val="none"/>
          </w:rPr>
          <w:fldChar w:fldCharType="end"/>
        </w:r>
      </w:hyperlink>
    </w:p>
    <w:p w14:paraId="1DF03F1C" w14:textId="2D7DDFC3" w:rsidR="006A457B" w:rsidRPr="006C3F67" w:rsidRDefault="00077469">
      <w:pPr>
        <w:pStyle w:val="TOC1"/>
        <w:rPr>
          <w:rFonts w:asciiTheme="minorHAnsi" w:eastAsiaTheme="minorEastAsia" w:hAnsiTheme="minorHAnsi" w:cstheme="minorBidi"/>
          <w:b w:val="0"/>
          <w:bCs w:val="0"/>
          <w:noProof/>
          <w:u w:val="none"/>
          <w:lang w:eastAsia="en-GB"/>
        </w:rPr>
      </w:pPr>
      <w:hyperlink w:anchor="_Toc68772048" w:history="1">
        <w:r w:rsidR="006A457B" w:rsidRPr="006C3F67">
          <w:rPr>
            <w:rStyle w:val="Hyperlink"/>
            <w:noProof/>
            <w:u w:val="none"/>
          </w:rPr>
          <w:t>7.</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Planning and other policy considerations.</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_Toc68772048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15</w:t>
        </w:r>
        <w:r w:rsidR="006A457B" w:rsidRPr="006C3F67">
          <w:rPr>
            <w:noProof/>
            <w:webHidden/>
            <w:u w:val="none"/>
          </w:rPr>
          <w:fldChar w:fldCharType="end"/>
        </w:r>
      </w:hyperlink>
    </w:p>
    <w:p w14:paraId="24B1D949" w14:textId="4E09D938" w:rsidR="006A457B" w:rsidRPr="006C3F67" w:rsidRDefault="00077469">
      <w:pPr>
        <w:pStyle w:val="TOC1"/>
        <w:rPr>
          <w:rFonts w:asciiTheme="minorHAnsi" w:eastAsiaTheme="minorEastAsia" w:hAnsiTheme="minorHAnsi" w:cstheme="minorBidi"/>
          <w:b w:val="0"/>
          <w:bCs w:val="0"/>
          <w:noProof/>
          <w:u w:val="none"/>
          <w:lang w:eastAsia="en-GB"/>
        </w:rPr>
      </w:pPr>
      <w:hyperlink w:anchor="_Toc68772049" w:history="1">
        <w:r w:rsidR="006A457B" w:rsidRPr="006C3F67">
          <w:rPr>
            <w:rStyle w:val="Hyperlink"/>
            <w:noProof/>
            <w:u w:val="none"/>
            <w:lang w:eastAsia="en-GB"/>
          </w:rPr>
          <w:t>8.</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lang w:eastAsia="en-GB"/>
          </w:rPr>
          <w:t>Consultation</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_Toc68772049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2</w:t>
        </w:r>
        <w:r w:rsidR="006A457B" w:rsidRPr="006C3F67">
          <w:rPr>
            <w:noProof/>
            <w:webHidden/>
            <w:u w:val="none"/>
          </w:rPr>
          <w:fldChar w:fldCharType="end"/>
        </w:r>
      </w:hyperlink>
      <w:r w:rsidR="00D768CB">
        <w:rPr>
          <w:noProof/>
          <w:u w:val="none"/>
        </w:rPr>
        <w:t>2</w:t>
      </w:r>
    </w:p>
    <w:p w14:paraId="55E97D44" w14:textId="4E733FDF" w:rsidR="006A457B" w:rsidRPr="006C3F67" w:rsidRDefault="00077469">
      <w:pPr>
        <w:pStyle w:val="TOC1"/>
        <w:rPr>
          <w:rFonts w:asciiTheme="minorHAnsi" w:eastAsiaTheme="minorEastAsia" w:hAnsiTheme="minorHAnsi" w:cstheme="minorBidi"/>
          <w:b w:val="0"/>
          <w:bCs w:val="0"/>
          <w:noProof/>
          <w:u w:val="none"/>
          <w:lang w:eastAsia="en-GB"/>
        </w:rPr>
      </w:pPr>
      <w:hyperlink w:anchor="_Toc68772050" w:history="1">
        <w:r w:rsidR="006A457B" w:rsidRPr="006C3F67">
          <w:rPr>
            <w:rStyle w:val="Hyperlink"/>
            <w:noProof/>
            <w:u w:val="none"/>
          </w:rPr>
          <w:t>9.</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 xml:space="preserve">Funding </w:t>
        </w:r>
        <w:r w:rsidR="006A457B" w:rsidRPr="006C3F67">
          <w:rPr>
            <w:rStyle w:val="Hyperlink"/>
            <w:noProof/>
            <w:u w:val="none"/>
            <w:lang w:eastAsia="en-GB"/>
          </w:rPr>
          <w:t>position</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_Toc68772050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24</w:t>
        </w:r>
        <w:r w:rsidR="006A457B" w:rsidRPr="006C3F67">
          <w:rPr>
            <w:noProof/>
            <w:webHidden/>
            <w:u w:val="none"/>
          </w:rPr>
          <w:fldChar w:fldCharType="end"/>
        </w:r>
      </w:hyperlink>
    </w:p>
    <w:p w14:paraId="797778EF" w14:textId="087D0D63" w:rsidR="006A457B" w:rsidRPr="006C3F67" w:rsidRDefault="00077469">
      <w:pPr>
        <w:pStyle w:val="TOC1"/>
        <w:rPr>
          <w:rFonts w:asciiTheme="minorHAnsi" w:eastAsiaTheme="minorEastAsia" w:hAnsiTheme="minorHAnsi" w:cstheme="minorBidi"/>
          <w:b w:val="0"/>
          <w:bCs w:val="0"/>
          <w:noProof/>
          <w:u w:val="none"/>
          <w:lang w:eastAsia="en-GB"/>
        </w:rPr>
      </w:pPr>
      <w:hyperlink w:anchor="_Toc68772051" w:history="1">
        <w:r w:rsidR="006A457B" w:rsidRPr="006C3F67">
          <w:rPr>
            <w:rStyle w:val="Hyperlink"/>
            <w:noProof/>
            <w:u w:val="none"/>
          </w:rPr>
          <w:t>10</w:t>
        </w:r>
        <w:r w:rsidR="006C3F67">
          <w:rPr>
            <w:rStyle w:val="Hyperlink"/>
            <w:noProof/>
            <w:u w:val="none"/>
          </w:rPr>
          <w:t>.</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Consideration of MHC&amp;LG Guidance on compulsory Purchase.</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_Toc68772051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24</w:t>
        </w:r>
        <w:r w:rsidR="006A457B" w:rsidRPr="006C3F67">
          <w:rPr>
            <w:noProof/>
            <w:webHidden/>
            <w:u w:val="none"/>
          </w:rPr>
          <w:fldChar w:fldCharType="end"/>
        </w:r>
      </w:hyperlink>
    </w:p>
    <w:p w14:paraId="776763DA" w14:textId="6D1C1D3A" w:rsidR="006A457B" w:rsidRPr="006C3F67" w:rsidRDefault="00077469">
      <w:pPr>
        <w:pStyle w:val="TOC1"/>
        <w:rPr>
          <w:rFonts w:asciiTheme="minorHAnsi" w:eastAsiaTheme="minorEastAsia" w:hAnsiTheme="minorHAnsi" w:cstheme="minorBidi"/>
          <w:b w:val="0"/>
          <w:bCs w:val="0"/>
          <w:noProof/>
          <w:u w:val="none"/>
          <w:lang w:eastAsia="en-GB"/>
        </w:rPr>
      </w:pPr>
      <w:hyperlink w:anchor="_Toc68772052" w:history="1">
        <w:r w:rsidR="006A457B" w:rsidRPr="006C3F67">
          <w:rPr>
            <w:rStyle w:val="Hyperlink"/>
            <w:noProof/>
            <w:u w:val="none"/>
          </w:rPr>
          <w:t>11</w:t>
        </w:r>
        <w:r w:rsidR="006C3F67">
          <w:rPr>
            <w:rStyle w:val="Hyperlink"/>
            <w:noProof/>
            <w:u w:val="none"/>
          </w:rPr>
          <w:t>.</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Special Considerations</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_Toc68772052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2</w:t>
        </w:r>
        <w:r w:rsidR="006A457B" w:rsidRPr="006C3F67">
          <w:rPr>
            <w:noProof/>
            <w:webHidden/>
            <w:u w:val="none"/>
          </w:rPr>
          <w:fldChar w:fldCharType="end"/>
        </w:r>
      </w:hyperlink>
      <w:r w:rsidR="00D768CB">
        <w:rPr>
          <w:noProof/>
          <w:u w:val="none"/>
        </w:rPr>
        <w:t>5</w:t>
      </w:r>
    </w:p>
    <w:p w14:paraId="546EAC4A" w14:textId="388D8E1F" w:rsidR="006A457B" w:rsidRPr="006C3F67" w:rsidRDefault="00077469">
      <w:pPr>
        <w:pStyle w:val="TOC1"/>
        <w:rPr>
          <w:rFonts w:asciiTheme="minorHAnsi" w:eastAsiaTheme="minorEastAsia" w:hAnsiTheme="minorHAnsi" w:cstheme="minorBidi"/>
          <w:b w:val="0"/>
          <w:bCs w:val="0"/>
          <w:noProof/>
          <w:u w:val="none"/>
          <w:lang w:eastAsia="en-GB"/>
        </w:rPr>
      </w:pPr>
      <w:hyperlink w:anchor="_Toc68772053" w:history="1">
        <w:r w:rsidR="006A457B" w:rsidRPr="006C3F67">
          <w:rPr>
            <w:rStyle w:val="Hyperlink"/>
            <w:noProof/>
            <w:u w:val="none"/>
          </w:rPr>
          <w:t>12</w:t>
        </w:r>
        <w:r w:rsidR="006C3F67">
          <w:rPr>
            <w:rStyle w:val="Hyperlink"/>
            <w:noProof/>
            <w:u w:val="none"/>
          </w:rPr>
          <w:t>.</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Related Applications, Appeals, Orders etc</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_Toc68772053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26</w:t>
        </w:r>
        <w:r w:rsidR="006A457B" w:rsidRPr="006C3F67">
          <w:rPr>
            <w:noProof/>
            <w:webHidden/>
            <w:u w:val="none"/>
          </w:rPr>
          <w:fldChar w:fldCharType="end"/>
        </w:r>
      </w:hyperlink>
    </w:p>
    <w:p w14:paraId="34D463BB" w14:textId="29921900" w:rsidR="006A457B" w:rsidRPr="006C3F67" w:rsidRDefault="00077469">
      <w:pPr>
        <w:pStyle w:val="TOC1"/>
        <w:rPr>
          <w:rFonts w:asciiTheme="minorHAnsi" w:eastAsiaTheme="minorEastAsia" w:hAnsiTheme="minorHAnsi" w:cstheme="minorBidi"/>
          <w:b w:val="0"/>
          <w:bCs w:val="0"/>
          <w:noProof/>
          <w:u w:val="none"/>
          <w:lang w:eastAsia="en-GB"/>
        </w:rPr>
      </w:pPr>
      <w:hyperlink w:anchor="_Toc68772054" w:history="1">
        <w:r w:rsidR="006A457B" w:rsidRPr="006C3F67">
          <w:rPr>
            <w:rStyle w:val="Hyperlink"/>
            <w:noProof/>
            <w:u w:val="none"/>
          </w:rPr>
          <w:t>13</w:t>
        </w:r>
        <w:r w:rsidR="006C3F67">
          <w:rPr>
            <w:rStyle w:val="Hyperlink"/>
            <w:noProof/>
            <w:u w:val="none"/>
          </w:rPr>
          <w:t>.</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Human Rights and Equalities</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_Toc68772054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26</w:t>
        </w:r>
        <w:r w:rsidR="006A457B" w:rsidRPr="006C3F67">
          <w:rPr>
            <w:noProof/>
            <w:webHidden/>
            <w:u w:val="none"/>
          </w:rPr>
          <w:fldChar w:fldCharType="end"/>
        </w:r>
      </w:hyperlink>
    </w:p>
    <w:p w14:paraId="5302D666" w14:textId="64D5D164" w:rsidR="006A457B" w:rsidRPr="006C3F67" w:rsidRDefault="00077469">
      <w:pPr>
        <w:pStyle w:val="TOC1"/>
        <w:rPr>
          <w:rFonts w:asciiTheme="minorHAnsi" w:eastAsiaTheme="minorEastAsia" w:hAnsiTheme="minorHAnsi" w:cstheme="minorBidi"/>
          <w:b w:val="0"/>
          <w:bCs w:val="0"/>
          <w:noProof/>
          <w:u w:val="none"/>
          <w:lang w:eastAsia="en-GB"/>
        </w:rPr>
      </w:pPr>
      <w:hyperlink w:anchor="_Toc68772055" w:history="1">
        <w:r w:rsidR="006A457B" w:rsidRPr="006C3F67">
          <w:rPr>
            <w:rStyle w:val="Hyperlink"/>
            <w:noProof/>
            <w:u w:val="none"/>
          </w:rPr>
          <w:t>14</w:t>
        </w:r>
        <w:r w:rsidR="006C3F67">
          <w:rPr>
            <w:rStyle w:val="Hyperlink"/>
            <w:noProof/>
            <w:u w:val="none"/>
          </w:rPr>
          <w:t>.</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Contacts for further Information</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_Toc68772055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29</w:t>
        </w:r>
        <w:r w:rsidR="006A457B" w:rsidRPr="006C3F67">
          <w:rPr>
            <w:noProof/>
            <w:webHidden/>
            <w:u w:val="none"/>
          </w:rPr>
          <w:fldChar w:fldCharType="end"/>
        </w:r>
      </w:hyperlink>
    </w:p>
    <w:p w14:paraId="2EE7DC40" w14:textId="17204459" w:rsidR="006A457B" w:rsidRPr="006C3F67" w:rsidRDefault="00077469">
      <w:pPr>
        <w:pStyle w:val="TOC1"/>
        <w:rPr>
          <w:rFonts w:asciiTheme="minorHAnsi" w:eastAsiaTheme="minorEastAsia" w:hAnsiTheme="minorHAnsi" w:cstheme="minorBidi"/>
          <w:b w:val="0"/>
          <w:bCs w:val="0"/>
          <w:noProof/>
          <w:u w:val="none"/>
          <w:lang w:eastAsia="en-GB"/>
        </w:rPr>
      </w:pPr>
      <w:hyperlink w:anchor="_Toc68772056" w:history="1">
        <w:r w:rsidR="006A457B" w:rsidRPr="006C3F67">
          <w:rPr>
            <w:rStyle w:val="Hyperlink"/>
            <w:noProof/>
            <w:u w:val="none"/>
          </w:rPr>
          <w:t>15</w:t>
        </w:r>
        <w:r w:rsidR="006C3F67">
          <w:rPr>
            <w:rStyle w:val="Hyperlink"/>
            <w:noProof/>
            <w:u w:val="none"/>
          </w:rPr>
          <w:t>.</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Inspection of Order Documents and Plans</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_Toc68772056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3</w:t>
        </w:r>
        <w:r w:rsidR="006A457B" w:rsidRPr="006C3F67">
          <w:rPr>
            <w:noProof/>
            <w:webHidden/>
            <w:u w:val="none"/>
          </w:rPr>
          <w:fldChar w:fldCharType="end"/>
        </w:r>
      </w:hyperlink>
      <w:r w:rsidR="00D768CB">
        <w:rPr>
          <w:noProof/>
          <w:u w:val="none"/>
        </w:rPr>
        <w:t>1</w:t>
      </w:r>
    </w:p>
    <w:p w14:paraId="0FF94AE2" w14:textId="0E723FA8" w:rsidR="006A457B" w:rsidRPr="006C3F67" w:rsidRDefault="00077469">
      <w:pPr>
        <w:pStyle w:val="TOC1"/>
        <w:rPr>
          <w:rFonts w:asciiTheme="minorHAnsi" w:eastAsiaTheme="minorEastAsia" w:hAnsiTheme="minorHAnsi" w:cstheme="minorBidi"/>
          <w:b w:val="0"/>
          <w:bCs w:val="0"/>
          <w:noProof/>
          <w:u w:val="none"/>
          <w:lang w:eastAsia="en-GB"/>
        </w:rPr>
      </w:pPr>
      <w:hyperlink w:anchor="_Toc68772057" w:history="1">
        <w:r w:rsidR="006A457B" w:rsidRPr="006C3F67">
          <w:rPr>
            <w:rStyle w:val="Hyperlink"/>
            <w:noProof/>
            <w:u w:val="none"/>
          </w:rPr>
          <w:t>16</w:t>
        </w:r>
        <w:r w:rsidR="006C3F67">
          <w:rPr>
            <w:rStyle w:val="Hyperlink"/>
            <w:noProof/>
            <w:u w:val="none"/>
          </w:rPr>
          <w:t>.</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Inquiries Procedure Rules</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_Toc68772057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31</w:t>
        </w:r>
        <w:r w:rsidR="006A457B" w:rsidRPr="006C3F67">
          <w:rPr>
            <w:noProof/>
            <w:webHidden/>
            <w:u w:val="none"/>
          </w:rPr>
          <w:fldChar w:fldCharType="end"/>
        </w:r>
      </w:hyperlink>
    </w:p>
    <w:p w14:paraId="69BA8C74" w14:textId="0791BF19" w:rsidR="006A457B" w:rsidRPr="006C3F67" w:rsidRDefault="00077469">
      <w:pPr>
        <w:pStyle w:val="TOC1"/>
        <w:rPr>
          <w:rFonts w:asciiTheme="minorHAnsi" w:eastAsiaTheme="minorEastAsia" w:hAnsiTheme="minorHAnsi" w:cstheme="minorBidi"/>
          <w:b w:val="0"/>
          <w:bCs w:val="0"/>
          <w:noProof/>
          <w:u w:val="none"/>
          <w:lang w:eastAsia="en-GB"/>
        </w:rPr>
      </w:pPr>
      <w:hyperlink w:anchor="_Toc68772058" w:history="1">
        <w:r w:rsidR="006A457B" w:rsidRPr="006C3F67">
          <w:rPr>
            <w:rStyle w:val="Hyperlink"/>
            <w:noProof/>
            <w:u w:val="none"/>
          </w:rPr>
          <w:t>17</w:t>
        </w:r>
        <w:r w:rsidR="006C3F67">
          <w:rPr>
            <w:rStyle w:val="Hyperlink"/>
            <w:noProof/>
            <w:u w:val="none"/>
          </w:rPr>
          <w:t>.</w:t>
        </w:r>
        <w:r w:rsidR="006A457B" w:rsidRPr="006C3F67">
          <w:rPr>
            <w:rFonts w:asciiTheme="minorHAnsi" w:eastAsiaTheme="minorEastAsia" w:hAnsiTheme="minorHAnsi" w:cstheme="minorBidi"/>
            <w:b w:val="0"/>
            <w:bCs w:val="0"/>
            <w:noProof/>
            <w:u w:val="none"/>
            <w:lang w:eastAsia="en-GB"/>
          </w:rPr>
          <w:tab/>
        </w:r>
        <w:r w:rsidR="006A457B" w:rsidRPr="006C3F67">
          <w:rPr>
            <w:rStyle w:val="Hyperlink"/>
            <w:noProof/>
            <w:u w:val="none"/>
          </w:rPr>
          <w:t>Background Documents</w:t>
        </w:r>
        <w:r w:rsidR="006C3F67">
          <w:rPr>
            <w:rStyle w:val="Hyperlink"/>
            <w:noProof/>
            <w:u w:val="none"/>
          </w:rPr>
          <w:t>…………………………………………………………………..</w:t>
        </w:r>
        <w:r w:rsidR="006A457B" w:rsidRPr="006C3F67">
          <w:rPr>
            <w:noProof/>
            <w:webHidden/>
            <w:u w:val="none"/>
          </w:rPr>
          <w:tab/>
        </w:r>
        <w:r w:rsidR="006A457B" w:rsidRPr="006C3F67">
          <w:rPr>
            <w:noProof/>
            <w:webHidden/>
            <w:u w:val="none"/>
          </w:rPr>
          <w:fldChar w:fldCharType="begin"/>
        </w:r>
        <w:r w:rsidR="006A457B" w:rsidRPr="006C3F67">
          <w:rPr>
            <w:noProof/>
            <w:webHidden/>
            <w:u w:val="none"/>
          </w:rPr>
          <w:instrText xml:space="preserve"> PAGEREF _Toc68772058 \h </w:instrText>
        </w:r>
        <w:r w:rsidR="006A457B" w:rsidRPr="006C3F67">
          <w:rPr>
            <w:noProof/>
            <w:webHidden/>
            <w:u w:val="none"/>
          </w:rPr>
        </w:r>
        <w:r w:rsidR="006A457B" w:rsidRPr="006C3F67">
          <w:rPr>
            <w:noProof/>
            <w:webHidden/>
            <w:u w:val="none"/>
          </w:rPr>
          <w:fldChar w:fldCharType="separate"/>
        </w:r>
        <w:r w:rsidR="006A457B" w:rsidRPr="006C3F67">
          <w:rPr>
            <w:noProof/>
            <w:webHidden/>
            <w:u w:val="none"/>
          </w:rPr>
          <w:t>3</w:t>
        </w:r>
        <w:r w:rsidR="006A457B" w:rsidRPr="006C3F67">
          <w:rPr>
            <w:noProof/>
            <w:webHidden/>
            <w:u w:val="none"/>
          </w:rPr>
          <w:fldChar w:fldCharType="end"/>
        </w:r>
      </w:hyperlink>
      <w:r w:rsidR="00D768CB">
        <w:rPr>
          <w:noProof/>
          <w:u w:val="none"/>
        </w:rPr>
        <w:t>2</w:t>
      </w:r>
    </w:p>
    <w:p w14:paraId="459190C5" w14:textId="34AB1B81" w:rsidR="007F1A06" w:rsidRDefault="007F1A06" w:rsidP="007F1A06">
      <w:pPr>
        <w:jc w:val="both"/>
      </w:pPr>
      <w:r>
        <w:rPr>
          <w:b/>
          <w:bCs/>
          <w:noProof/>
        </w:rPr>
        <w:fldChar w:fldCharType="end"/>
      </w:r>
    </w:p>
    <w:p w14:paraId="7C6BA6B6" w14:textId="77777777" w:rsidR="007F1A06" w:rsidRDefault="007F1A06" w:rsidP="007F1A06">
      <w:pPr>
        <w:pStyle w:val="NoSpacing"/>
        <w:jc w:val="both"/>
        <w:rPr>
          <w:rFonts w:ascii="Arial" w:hAnsi="Arial" w:cs="Arial"/>
          <w:sz w:val="24"/>
          <w:szCs w:val="24"/>
          <w:u w:val="single"/>
        </w:rPr>
      </w:pPr>
    </w:p>
    <w:p w14:paraId="48E78974" w14:textId="77777777" w:rsidR="007F1A06" w:rsidRDefault="007F1A06" w:rsidP="007F1A06">
      <w:pPr>
        <w:pStyle w:val="NoSpacing"/>
        <w:jc w:val="both"/>
        <w:rPr>
          <w:rFonts w:ascii="Arial" w:hAnsi="Arial" w:cs="Arial"/>
          <w:sz w:val="24"/>
          <w:szCs w:val="24"/>
          <w:u w:val="single"/>
        </w:rPr>
      </w:pPr>
    </w:p>
    <w:p w14:paraId="7591125C" w14:textId="77777777" w:rsidR="007F1A06" w:rsidRDefault="007F1A06" w:rsidP="007F1A06">
      <w:pPr>
        <w:pStyle w:val="NoSpacing"/>
        <w:jc w:val="both"/>
        <w:rPr>
          <w:rFonts w:ascii="Arial" w:hAnsi="Arial" w:cs="Arial"/>
          <w:sz w:val="24"/>
          <w:szCs w:val="24"/>
          <w:u w:val="single"/>
        </w:rPr>
      </w:pPr>
      <w:r>
        <w:rPr>
          <w:rFonts w:ascii="Arial" w:hAnsi="Arial" w:cs="Arial"/>
          <w:sz w:val="24"/>
          <w:szCs w:val="24"/>
          <w:u w:val="single"/>
        </w:rPr>
        <w:br w:type="page"/>
      </w:r>
    </w:p>
    <w:p w14:paraId="597A50DA" w14:textId="5F1BA314" w:rsidR="007F1A06" w:rsidRPr="005D02DF" w:rsidRDefault="00BB0B44" w:rsidP="007F1A06">
      <w:pPr>
        <w:pStyle w:val="NoSpacing"/>
        <w:jc w:val="center"/>
        <w:rPr>
          <w:rFonts w:ascii="Arial" w:hAnsi="Arial" w:cs="Arial"/>
          <w:b/>
          <w:sz w:val="24"/>
          <w:szCs w:val="24"/>
          <w:u w:val="single"/>
        </w:rPr>
      </w:pPr>
      <w:r>
        <w:rPr>
          <w:rFonts w:ascii="Arial" w:hAnsi="Arial" w:cs="Arial"/>
          <w:b/>
          <w:sz w:val="24"/>
          <w:szCs w:val="24"/>
          <w:u w:val="single"/>
        </w:rPr>
        <w:lastRenderedPageBreak/>
        <w:t xml:space="preserve">THE </w:t>
      </w:r>
      <w:r w:rsidR="007F1A06" w:rsidRPr="005D02DF">
        <w:rPr>
          <w:rFonts w:ascii="Arial" w:hAnsi="Arial" w:cs="Arial"/>
          <w:b/>
          <w:sz w:val="24"/>
          <w:szCs w:val="24"/>
          <w:u w:val="single"/>
        </w:rPr>
        <w:t>BIRMINGHAM CITY COUNCIL</w:t>
      </w:r>
    </w:p>
    <w:p w14:paraId="447C97BB" w14:textId="3A647863" w:rsidR="007F1A06" w:rsidRPr="005D02DF" w:rsidRDefault="007F1A06" w:rsidP="007F1A06">
      <w:pPr>
        <w:pStyle w:val="NoSpacing"/>
        <w:jc w:val="center"/>
        <w:rPr>
          <w:rFonts w:ascii="Arial" w:hAnsi="Arial" w:cs="Arial"/>
          <w:b/>
          <w:sz w:val="24"/>
          <w:szCs w:val="24"/>
          <w:u w:val="single"/>
        </w:rPr>
      </w:pPr>
      <w:r>
        <w:rPr>
          <w:rFonts w:ascii="Arial" w:hAnsi="Arial" w:cs="Arial"/>
          <w:b/>
          <w:sz w:val="24"/>
          <w:szCs w:val="24"/>
          <w:u w:val="single"/>
        </w:rPr>
        <w:t>(</w:t>
      </w:r>
      <w:r w:rsidR="007A2CDA">
        <w:rPr>
          <w:rFonts w:ascii="Arial" w:hAnsi="Arial" w:cs="Arial"/>
          <w:b/>
          <w:sz w:val="24"/>
          <w:szCs w:val="24"/>
          <w:u w:val="single"/>
        </w:rPr>
        <w:t>POOL FARM ESTATE KINGS NORTON</w:t>
      </w:r>
      <w:r>
        <w:rPr>
          <w:rFonts w:ascii="Arial" w:hAnsi="Arial" w:cs="Arial"/>
          <w:b/>
          <w:sz w:val="24"/>
          <w:szCs w:val="24"/>
          <w:u w:val="single"/>
        </w:rPr>
        <w:t>)</w:t>
      </w:r>
    </w:p>
    <w:p w14:paraId="7AD5C748" w14:textId="2A816DD6" w:rsidR="007F1A06" w:rsidRPr="005D02DF" w:rsidRDefault="007F1A06" w:rsidP="007F1A06">
      <w:pPr>
        <w:pStyle w:val="NoSpacing"/>
        <w:jc w:val="center"/>
        <w:rPr>
          <w:rFonts w:ascii="Arial" w:hAnsi="Arial" w:cs="Arial"/>
          <w:b/>
          <w:sz w:val="24"/>
          <w:szCs w:val="24"/>
          <w:u w:val="single"/>
        </w:rPr>
      </w:pPr>
      <w:r w:rsidRPr="005D02DF">
        <w:rPr>
          <w:rFonts w:ascii="Arial" w:hAnsi="Arial" w:cs="Arial"/>
          <w:b/>
          <w:sz w:val="24"/>
          <w:szCs w:val="24"/>
          <w:u w:val="single"/>
        </w:rPr>
        <w:t xml:space="preserve">COMPULSORY PURCHASE ORDER </w:t>
      </w:r>
      <w:r>
        <w:rPr>
          <w:rFonts w:ascii="Arial" w:hAnsi="Arial" w:cs="Arial"/>
          <w:b/>
          <w:sz w:val="24"/>
          <w:szCs w:val="24"/>
          <w:u w:val="single"/>
        </w:rPr>
        <w:t>202</w:t>
      </w:r>
      <w:r w:rsidR="007A2CDA">
        <w:rPr>
          <w:rFonts w:ascii="Arial" w:hAnsi="Arial" w:cs="Arial"/>
          <w:b/>
          <w:sz w:val="24"/>
          <w:szCs w:val="24"/>
          <w:u w:val="single"/>
        </w:rPr>
        <w:t>1</w:t>
      </w:r>
    </w:p>
    <w:p w14:paraId="764B1A00" w14:textId="77777777" w:rsidR="007F1A06" w:rsidRDefault="007F1A06" w:rsidP="007F1A06">
      <w:pPr>
        <w:pStyle w:val="NoSpacing"/>
        <w:jc w:val="both"/>
        <w:rPr>
          <w:rFonts w:ascii="Arial" w:hAnsi="Arial" w:cs="Arial"/>
          <w:sz w:val="24"/>
          <w:szCs w:val="24"/>
        </w:rPr>
      </w:pPr>
    </w:p>
    <w:p w14:paraId="3A317427" w14:textId="77777777" w:rsidR="007F1A06" w:rsidRDefault="007F1A06" w:rsidP="007F1A06">
      <w:pPr>
        <w:pStyle w:val="NoSpacing"/>
        <w:jc w:val="both"/>
        <w:rPr>
          <w:rFonts w:ascii="Arial" w:hAnsi="Arial" w:cs="Arial"/>
          <w:sz w:val="24"/>
          <w:szCs w:val="24"/>
        </w:rPr>
      </w:pPr>
    </w:p>
    <w:p w14:paraId="1641C347" w14:textId="021EE873" w:rsidR="007F1A06" w:rsidRDefault="007F1A06" w:rsidP="007F1A06">
      <w:pPr>
        <w:pStyle w:val="NoSpacing"/>
        <w:jc w:val="both"/>
        <w:rPr>
          <w:rFonts w:ascii="Arial" w:hAnsi="Arial" w:cs="Arial"/>
          <w:b/>
          <w:sz w:val="24"/>
          <w:szCs w:val="24"/>
          <w:u w:val="single"/>
        </w:rPr>
      </w:pPr>
      <w:r w:rsidRPr="005D02DF">
        <w:rPr>
          <w:rFonts w:ascii="Arial" w:hAnsi="Arial" w:cs="Arial"/>
          <w:b/>
          <w:sz w:val="24"/>
          <w:szCs w:val="24"/>
          <w:u w:val="single"/>
        </w:rPr>
        <w:t>STATEMENT OF REASONS FOR MAKING THE ORDER</w:t>
      </w:r>
    </w:p>
    <w:p w14:paraId="76C845F0" w14:textId="7C2FF0F0" w:rsidR="003F5AE0" w:rsidRDefault="003F5AE0" w:rsidP="007F1A06">
      <w:pPr>
        <w:pStyle w:val="NoSpacing"/>
        <w:jc w:val="both"/>
        <w:rPr>
          <w:rFonts w:ascii="Arial" w:hAnsi="Arial" w:cs="Arial"/>
          <w:b/>
          <w:sz w:val="24"/>
          <w:szCs w:val="24"/>
          <w:u w:val="single"/>
        </w:rPr>
      </w:pPr>
    </w:p>
    <w:p w14:paraId="2BBCC9B9" w14:textId="693DB87B" w:rsidR="003F5AE0" w:rsidRDefault="003F5AE0" w:rsidP="003F5AE0">
      <w:pPr>
        <w:pStyle w:val="NoSpacing"/>
        <w:jc w:val="both"/>
        <w:rPr>
          <w:rFonts w:ascii="Arial" w:hAnsi="Arial" w:cs="Arial"/>
          <w:b/>
          <w:sz w:val="24"/>
          <w:szCs w:val="24"/>
          <w:u w:val="single"/>
        </w:rPr>
      </w:pPr>
      <w:r>
        <w:rPr>
          <w:rFonts w:ascii="Arial" w:hAnsi="Arial" w:cs="Arial"/>
          <w:b/>
          <w:sz w:val="24"/>
          <w:szCs w:val="24"/>
          <w:u w:val="single"/>
        </w:rPr>
        <w:t xml:space="preserve">Enabling Powers for the Compulsory Purchase Order </w:t>
      </w:r>
    </w:p>
    <w:p w14:paraId="632F78CD" w14:textId="2F3A3D92" w:rsidR="008712C1" w:rsidRDefault="008712C1" w:rsidP="007F1A06">
      <w:pPr>
        <w:pStyle w:val="NoSpacing"/>
        <w:jc w:val="both"/>
        <w:rPr>
          <w:rFonts w:ascii="Arial" w:hAnsi="Arial" w:cs="Arial"/>
          <w:b/>
          <w:sz w:val="24"/>
          <w:szCs w:val="24"/>
          <w:u w:val="single"/>
        </w:rPr>
      </w:pPr>
    </w:p>
    <w:p w14:paraId="20B3E458" w14:textId="369854A9" w:rsidR="004C5295" w:rsidRDefault="007F1A06" w:rsidP="007F1A06">
      <w:pPr>
        <w:pStyle w:val="NoSpacing"/>
        <w:jc w:val="both"/>
        <w:rPr>
          <w:rFonts w:ascii="Arial" w:hAnsi="Arial" w:cs="Arial"/>
          <w:color w:val="000000"/>
          <w:sz w:val="24"/>
          <w:szCs w:val="24"/>
        </w:rPr>
      </w:pPr>
      <w:r w:rsidRPr="001111FB">
        <w:rPr>
          <w:rFonts w:ascii="Arial" w:hAnsi="Arial" w:cs="Arial"/>
          <w:color w:val="000000"/>
          <w:sz w:val="24"/>
          <w:szCs w:val="24"/>
        </w:rPr>
        <w:t xml:space="preserve">The Order is made under Section </w:t>
      </w:r>
      <w:r>
        <w:rPr>
          <w:rFonts w:ascii="Arial" w:hAnsi="Arial" w:cs="Arial"/>
          <w:color w:val="000000"/>
          <w:sz w:val="24"/>
          <w:szCs w:val="24"/>
        </w:rPr>
        <w:t>17 of the Housing Act 1985</w:t>
      </w:r>
      <w:r w:rsidR="00E577A4">
        <w:rPr>
          <w:rFonts w:ascii="Arial" w:hAnsi="Arial" w:cs="Arial"/>
          <w:color w:val="000000"/>
          <w:sz w:val="24"/>
          <w:szCs w:val="24"/>
        </w:rPr>
        <w:t xml:space="preserve"> (“the Act”)</w:t>
      </w:r>
      <w:r>
        <w:rPr>
          <w:rFonts w:ascii="Arial" w:hAnsi="Arial" w:cs="Arial"/>
          <w:color w:val="000000"/>
          <w:sz w:val="24"/>
          <w:szCs w:val="24"/>
        </w:rPr>
        <w:t xml:space="preserve"> to </w:t>
      </w:r>
      <w:r w:rsidRPr="001111FB">
        <w:rPr>
          <w:rFonts w:ascii="Arial" w:hAnsi="Arial" w:cs="Arial"/>
          <w:color w:val="000000"/>
          <w:sz w:val="24"/>
          <w:szCs w:val="24"/>
        </w:rPr>
        <w:t xml:space="preserve">facilitate the carrying out of </w:t>
      </w:r>
      <w:r>
        <w:rPr>
          <w:rFonts w:ascii="Arial" w:hAnsi="Arial" w:cs="Arial"/>
          <w:color w:val="000000"/>
          <w:sz w:val="24"/>
          <w:szCs w:val="24"/>
        </w:rPr>
        <w:t xml:space="preserve">a new housing </w:t>
      </w:r>
      <w:r w:rsidRPr="001111FB">
        <w:rPr>
          <w:rFonts w:ascii="Arial" w:hAnsi="Arial" w:cs="Arial"/>
          <w:color w:val="000000"/>
          <w:sz w:val="24"/>
          <w:szCs w:val="24"/>
        </w:rPr>
        <w:t>development</w:t>
      </w:r>
      <w:r w:rsidR="0082718D">
        <w:rPr>
          <w:rFonts w:ascii="Arial" w:hAnsi="Arial" w:cs="Arial"/>
          <w:color w:val="000000"/>
          <w:sz w:val="24"/>
          <w:szCs w:val="24"/>
        </w:rPr>
        <w:t xml:space="preserve"> and to enable the</w:t>
      </w:r>
      <w:r w:rsidR="004C5295">
        <w:rPr>
          <w:rFonts w:ascii="Arial" w:hAnsi="Arial" w:cs="Arial"/>
          <w:color w:val="000000"/>
          <w:sz w:val="24"/>
          <w:szCs w:val="24"/>
        </w:rPr>
        <w:t xml:space="preserve"> demolition of</w:t>
      </w:r>
      <w:r w:rsidR="0061532B">
        <w:rPr>
          <w:rFonts w:ascii="Arial" w:hAnsi="Arial" w:cs="Arial"/>
          <w:color w:val="000000"/>
          <w:sz w:val="24"/>
          <w:szCs w:val="24"/>
        </w:rPr>
        <w:t xml:space="preserve"> </w:t>
      </w:r>
      <w:r w:rsidR="00954287">
        <w:rPr>
          <w:rFonts w:ascii="Arial" w:hAnsi="Arial" w:cs="Arial"/>
          <w:color w:val="000000"/>
          <w:sz w:val="24"/>
          <w:szCs w:val="24"/>
        </w:rPr>
        <w:t xml:space="preserve">outdated </w:t>
      </w:r>
      <w:r w:rsidR="007A2CDA">
        <w:rPr>
          <w:rFonts w:ascii="Arial" w:hAnsi="Arial" w:cs="Arial"/>
          <w:color w:val="000000"/>
          <w:sz w:val="24"/>
          <w:szCs w:val="24"/>
        </w:rPr>
        <w:t>and financially unviable properties</w:t>
      </w:r>
      <w:r w:rsidR="00014EE9">
        <w:rPr>
          <w:rFonts w:ascii="Arial" w:hAnsi="Arial" w:cs="Arial"/>
          <w:color w:val="000000"/>
          <w:sz w:val="24"/>
          <w:szCs w:val="24"/>
        </w:rPr>
        <w:t xml:space="preserve"> and which will deliver qualitative housing gain</w:t>
      </w:r>
      <w:r w:rsidR="00723E1D">
        <w:rPr>
          <w:rFonts w:ascii="Arial" w:hAnsi="Arial" w:cs="Arial"/>
          <w:color w:val="000000"/>
          <w:sz w:val="24"/>
          <w:szCs w:val="24"/>
        </w:rPr>
        <w:t xml:space="preserve"> and support the ongoing regeneration of the Pool Farm </w:t>
      </w:r>
      <w:r w:rsidR="00BA7914">
        <w:rPr>
          <w:rFonts w:ascii="Arial" w:hAnsi="Arial" w:cs="Arial"/>
          <w:color w:val="000000"/>
          <w:sz w:val="24"/>
          <w:szCs w:val="24"/>
        </w:rPr>
        <w:t>e</w:t>
      </w:r>
      <w:r w:rsidR="00723E1D">
        <w:rPr>
          <w:rFonts w:ascii="Arial" w:hAnsi="Arial" w:cs="Arial"/>
          <w:color w:val="000000"/>
          <w:sz w:val="24"/>
          <w:szCs w:val="24"/>
        </w:rPr>
        <w:t>state.</w:t>
      </w:r>
    </w:p>
    <w:p w14:paraId="66F6DD7C" w14:textId="77777777" w:rsidR="004C5295" w:rsidRDefault="004C5295" w:rsidP="007F1A06">
      <w:pPr>
        <w:pStyle w:val="NoSpacing"/>
        <w:jc w:val="both"/>
        <w:rPr>
          <w:rFonts w:ascii="Arial" w:hAnsi="Arial" w:cs="Arial"/>
          <w:color w:val="000000"/>
          <w:sz w:val="24"/>
          <w:szCs w:val="24"/>
        </w:rPr>
      </w:pPr>
    </w:p>
    <w:p w14:paraId="77C7A705" w14:textId="741B9770" w:rsidR="007F1A06" w:rsidRDefault="007F1A06" w:rsidP="007F1A06">
      <w:pPr>
        <w:pStyle w:val="NoSpacing"/>
        <w:jc w:val="both"/>
        <w:rPr>
          <w:rFonts w:ascii="Arial" w:hAnsi="Arial" w:cs="Arial"/>
          <w:color w:val="000000"/>
          <w:sz w:val="24"/>
          <w:szCs w:val="24"/>
        </w:rPr>
      </w:pPr>
    </w:p>
    <w:p w14:paraId="415F6207" w14:textId="77777777" w:rsidR="007F1A06" w:rsidRDefault="007F1A06" w:rsidP="007F1A06">
      <w:pPr>
        <w:pStyle w:val="NoSpacing"/>
        <w:jc w:val="both"/>
        <w:rPr>
          <w:rFonts w:ascii="Arial" w:hAnsi="Arial" w:cs="Arial"/>
          <w:color w:val="000000"/>
          <w:sz w:val="24"/>
          <w:szCs w:val="24"/>
        </w:rPr>
      </w:pPr>
    </w:p>
    <w:p w14:paraId="70B7CD4B" w14:textId="061EA6EF" w:rsidR="00C80AD3" w:rsidRPr="00E27956" w:rsidRDefault="007F1A06" w:rsidP="00C80AD3">
      <w:pPr>
        <w:pStyle w:val="NoSpacing"/>
        <w:numPr>
          <w:ilvl w:val="0"/>
          <w:numId w:val="3"/>
        </w:numPr>
        <w:ind w:left="567" w:hanging="567"/>
        <w:jc w:val="both"/>
        <w:outlineLvl w:val="0"/>
        <w:rPr>
          <w:rFonts w:ascii="Arial" w:hAnsi="Arial" w:cs="Arial"/>
          <w:b/>
          <w:sz w:val="24"/>
          <w:szCs w:val="24"/>
        </w:rPr>
      </w:pPr>
      <w:bookmarkStart w:id="0" w:name="_Toc68772042"/>
      <w:r w:rsidRPr="007F1A06">
        <w:rPr>
          <w:rFonts w:ascii="Arial" w:hAnsi="Arial" w:cs="Arial"/>
          <w:b/>
          <w:sz w:val="24"/>
          <w:szCs w:val="24"/>
          <w:u w:val="single"/>
        </w:rPr>
        <w:t>Introduction</w:t>
      </w:r>
      <w:bookmarkEnd w:id="0"/>
    </w:p>
    <w:p w14:paraId="7944B640" w14:textId="77777777" w:rsidR="00E27956" w:rsidRDefault="00E27956" w:rsidP="00E27956">
      <w:pPr>
        <w:pStyle w:val="NoSpacing"/>
        <w:ind w:left="540"/>
        <w:jc w:val="both"/>
        <w:rPr>
          <w:rFonts w:ascii="Arial" w:hAnsi="Arial" w:cs="Arial"/>
          <w:sz w:val="24"/>
          <w:szCs w:val="24"/>
        </w:rPr>
      </w:pPr>
    </w:p>
    <w:p w14:paraId="11D3A79B" w14:textId="3005E2BD" w:rsidR="007F1A06" w:rsidRPr="00DF6EC6" w:rsidRDefault="007F1A06" w:rsidP="00054CE1">
      <w:pPr>
        <w:pStyle w:val="NoSpacing"/>
        <w:numPr>
          <w:ilvl w:val="1"/>
          <w:numId w:val="3"/>
        </w:numPr>
        <w:jc w:val="both"/>
        <w:rPr>
          <w:rFonts w:ascii="Arial" w:hAnsi="Arial" w:cs="Arial"/>
          <w:sz w:val="24"/>
          <w:szCs w:val="24"/>
        </w:rPr>
      </w:pPr>
      <w:r w:rsidRPr="00DF6EC6">
        <w:rPr>
          <w:rFonts w:ascii="Arial" w:hAnsi="Arial" w:cs="Arial"/>
          <w:sz w:val="24"/>
          <w:szCs w:val="24"/>
        </w:rPr>
        <w:t xml:space="preserve">This document is the Statement of Reasons of the Council for making a compulsory purchase order entitled the </w:t>
      </w:r>
      <w:r w:rsidR="00C7799A" w:rsidRPr="00DF6EC6">
        <w:rPr>
          <w:rFonts w:ascii="Arial" w:hAnsi="Arial" w:cs="Arial"/>
          <w:sz w:val="24"/>
          <w:szCs w:val="24"/>
        </w:rPr>
        <w:t>‘</w:t>
      </w:r>
      <w:r w:rsidR="00BB0B44" w:rsidRPr="00DF6EC6">
        <w:rPr>
          <w:rFonts w:ascii="Arial" w:hAnsi="Arial" w:cs="Arial"/>
          <w:sz w:val="24"/>
          <w:szCs w:val="24"/>
        </w:rPr>
        <w:t xml:space="preserve">The </w:t>
      </w:r>
      <w:r w:rsidRPr="00DF6EC6">
        <w:rPr>
          <w:rFonts w:ascii="Arial" w:hAnsi="Arial" w:cs="Arial"/>
          <w:sz w:val="24"/>
          <w:szCs w:val="24"/>
        </w:rPr>
        <w:t>Birmingham City Council (</w:t>
      </w:r>
      <w:r w:rsidR="007A2CDA" w:rsidRPr="00DF6EC6">
        <w:rPr>
          <w:rFonts w:ascii="Arial" w:hAnsi="Arial" w:cs="Arial"/>
          <w:sz w:val="24"/>
          <w:szCs w:val="24"/>
        </w:rPr>
        <w:t>Pool Farm Estate</w:t>
      </w:r>
      <w:r w:rsidR="00954287" w:rsidRPr="00DF6EC6">
        <w:rPr>
          <w:rFonts w:ascii="Arial" w:hAnsi="Arial" w:cs="Arial"/>
          <w:sz w:val="24"/>
          <w:szCs w:val="24"/>
        </w:rPr>
        <w:t xml:space="preserve"> Kings Norton</w:t>
      </w:r>
      <w:r w:rsidRPr="00DF6EC6">
        <w:rPr>
          <w:rFonts w:ascii="Arial" w:hAnsi="Arial" w:cs="Arial"/>
          <w:sz w:val="24"/>
          <w:szCs w:val="24"/>
        </w:rPr>
        <w:t>) Compulsory Purchase Order 20</w:t>
      </w:r>
      <w:r w:rsidR="00014EE9" w:rsidRPr="00DF6EC6">
        <w:rPr>
          <w:rFonts w:ascii="Arial" w:hAnsi="Arial" w:cs="Arial"/>
          <w:sz w:val="24"/>
          <w:szCs w:val="24"/>
        </w:rPr>
        <w:t>2</w:t>
      </w:r>
      <w:r w:rsidR="00465F9A" w:rsidRPr="00DF6EC6">
        <w:rPr>
          <w:rFonts w:ascii="Arial" w:hAnsi="Arial" w:cs="Arial"/>
          <w:sz w:val="24"/>
          <w:szCs w:val="24"/>
        </w:rPr>
        <w:t>1</w:t>
      </w:r>
      <w:r w:rsidR="00C7799A" w:rsidRPr="00DF6EC6">
        <w:rPr>
          <w:rFonts w:ascii="Arial" w:hAnsi="Arial" w:cs="Arial"/>
          <w:sz w:val="24"/>
          <w:szCs w:val="24"/>
        </w:rPr>
        <w:t>’</w:t>
      </w:r>
      <w:r w:rsidRPr="00DF6EC6">
        <w:rPr>
          <w:rFonts w:ascii="Arial" w:hAnsi="Arial" w:cs="Arial"/>
          <w:sz w:val="24"/>
          <w:szCs w:val="24"/>
        </w:rPr>
        <w:t xml:space="preserve"> (</w:t>
      </w:r>
      <w:r w:rsidR="00BF1448" w:rsidRPr="00DF6EC6">
        <w:rPr>
          <w:rFonts w:ascii="Arial" w:hAnsi="Arial" w:cs="Arial"/>
          <w:sz w:val="24"/>
          <w:szCs w:val="24"/>
        </w:rPr>
        <w:t>“</w:t>
      </w:r>
      <w:r w:rsidRPr="00DF6EC6">
        <w:rPr>
          <w:rFonts w:ascii="Arial" w:hAnsi="Arial" w:cs="Arial"/>
          <w:sz w:val="24"/>
          <w:szCs w:val="24"/>
        </w:rPr>
        <w:t>the Order</w:t>
      </w:r>
      <w:r w:rsidR="00BF1448" w:rsidRPr="00DF6EC6">
        <w:rPr>
          <w:rFonts w:ascii="Arial" w:hAnsi="Arial" w:cs="Arial"/>
          <w:sz w:val="24"/>
          <w:szCs w:val="24"/>
        </w:rPr>
        <w:t>”</w:t>
      </w:r>
      <w:r w:rsidRPr="00DF6EC6">
        <w:rPr>
          <w:rFonts w:ascii="Arial" w:hAnsi="Arial" w:cs="Arial"/>
          <w:sz w:val="24"/>
          <w:szCs w:val="24"/>
        </w:rPr>
        <w:t xml:space="preserve">).  </w:t>
      </w:r>
    </w:p>
    <w:p w14:paraId="7FD19868" w14:textId="77777777" w:rsidR="007F1A06" w:rsidRDefault="007F1A06" w:rsidP="007F1A06">
      <w:pPr>
        <w:pStyle w:val="NoSpacing"/>
        <w:ind w:left="540"/>
        <w:jc w:val="both"/>
        <w:rPr>
          <w:rFonts w:ascii="Arial" w:hAnsi="Arial" w:cs="Arial"/>
          <w:sz w:val="24"/>
          <w:szCs w:val="24"/>
        </w:rPr>
      </w:pPr>
    </w:p>
    <w:p w14:paraId="26D0C957" w14:textId="77777777" w:rsidR="007F1A06" w:rsidRDefault="007F1A06" w:rsidP="007F1A06">
      <w:pPr>
        <w:pStyle w:val="NoSpacing"/>
        <w:numPr>
          <w:ilvl w:val="1"/>
          <w:numId w:val="3"/>
        </w:numPr>
        <w:jc w:val="both"/>
        <w:rPr>
          <w:rFonts w:ascii="Arial" w:hAnsi="Arial" w:cs="Arial"/>
          <w:sz w:val="24"/>
          <w:szCs w:val="24"/>
        </w:rPr>
      </w:pPr>
      <w:r>
        <w:rPr>
          <w:rFonts w:ascii="Arial" w:hAnsi="Arial" w:cs="Arial"/>
          <w:sz w:val="24"/>
          <w:szCs w:val="24"/>
        </w:rPr>
        <w:t xml:space="preserve">In this Statement of Reasons, Birmingham City Council is referred to as “the Council” and the land included in the Order is referred to as “the Order Lands”.  </w:t>
      </w:r>
    </w:p>
    <w:p w14:paraId="32C8D650" w14:textId="77777777" w:rsidR="007F1A06" w:rsidRDefault="007F1A06" w:rsidP="007F1A06">
      <w:pPr>
        <w:pStyle w:val="NoSpacing"/>
        <w:ind w:left="540"/>
        <w:jc w:val="both"/>
        <w:rPr>
          <w:rFonts w:ascii="Arial" w:hAnsi="Arial" w:cs="Arial"/>
          <w:sz w:val="24"/>
          <w:szCs w:val="24"/>
        </w:rPr>
      </w:pPr>
    </w:p>
    <w:p w14:paraId="5DD28E62" w14:textId="77777777" w:rsidR="007F1A06" w:rsidRDefault="007F1A06" w:rsidP="007F1A06">
      <w:pPr>
        <w:pStyle w:val="NoSpacing"/>
        <w:numPr>
          <w:ilvl w:val="1"/>
          <w:numId w:val="3"/>
        </w:numPr>
        <w:jc w:val="both"/>
        <w:rPr>
          <w:rFonts w:ascii="Arial" w:hAnsi="Arial" w:cs="Arial"/>
          <w:sz w:val="24"/>
          <w:szCs w:val="24"/>
        </w:rPr>
      </w:pPr>
      <w:r>
        <w:rPr>
          <w:rFonts w:ascii="Arial" w:hAnsi="Arial" w:cs="Arial"/>
          <w:sz w:val="24"/>
          <w:szCs w:val="24"/>
        </w:rPr>
        <w:t>This Statement of Reasons has been prepared in compliance with the Ministry of Housing, Communities and Local Government “Guidance on Compulsory purchase process and The Crichel Down Rules” dated July 2019.</w:t>
      </w:r>
    </w:p>
    <w:p w14:paraId="198504C3" w14:textId="77777777" w:rsidR="007F1A06" w:rsidRDefault="007F1A06" w:rsidP="007F1A06">
      <w:pPr>
        <w:pStyle w:val="NoSpacing"/>
        <w:jc w:val="both"/>
        <w:rPr>
          <w:rFonts w:ascii="Arial" w:hAnsi="Arial" w:cs="Arial"/>
          <w:sz w:val="24"/>
          <w:szCs w:val="24"/>
        </w:rPr>
      </w:pPr>
    </w:p>
    <w:p w14:paraId="1F145AA0" w14:textId="08880C5E" w:rsidR="007F1A06" w:rsidRDefault="007F1A06" w:rsidP="007F1A06">
      <w:pPr>
        <w:pStyle w:val="NoSpacing"/>
        <w:numPr>
          <w:ilvl w:val="1"/>
          <w:numId w:val="3"/>
        </w:numPr>
        <w:jc w:val="both"/>
        <w:rPr>
          <w:rFonts w:ascii="Arial" w:hAnsi="Arial" w:cs="Arial"/>
          <w:sz w:val="24"/>
          <w:szCs w:val="24"/>
        </w:rPr>
      </w:pPr>
      <w:r w:rsidRPr="00041365">
        <w:rPr>
          <w:rFonts w:ascii="Arial" w:hAnsi="Arial" w:cs="Arial"/>
          <w:sz w:val="24"/>
          <w:szCs w:val="24"/>
        </w:rPr>
        <w:t xml:space="preserve">The Order has been made by the Council to support the </w:t>
      </w:r>
      <w:r>
        <w:rPr>
          <w:rFonts w:ascii="Arial" w:hAnsi="Arial" w:cs="Arial"/>
          <w:sz w:val="24"/>
          <w:szCs w:val="24"/>
        </w:rPr>
        <w:t xml:space="preserve">housing </w:t>
      </w:r>
      <w:r w:rsidRPr="00041365">
        <w:rPr>
          <w:rFonts w:ascii="Arial" w:hAnsi="Arial" w:cs="Arial"/>
          <w:sz w:val="24"/>
          <w:szCs w:val="24"/>
        </w:rPr>
        <w:t xml:space="preserve">development of an area known as </w:t>
      </w:r>
      <w:r w:rsidR="00723E1D">
        <w:rPr>
          <w:rFonts w:ascii="Arial" w:hAnsi="Arial" w:cs="Arial"/>
          <w:sz w:val="24"/>
          <w:szCs w:val="24"/>
        </w:rPr>
        <w:t xml:space="preserve">the </w:t>
      </w:r>
      <w:r w:rsidR="00C80AD3">
        <w:rPr>
          <w:rFonts w:ascii="Arial" w:hAnsi="Arial" w:cs="Arial"/>
          <w:sz w:val="24"/>
          <w:szCs w:val="24"/>
        </w:rPr>
        <w:t xml:space="preserve">Pool Farm Estate </w:t>
      </w:r>
      <w:r w:rsidRPr="00041365">
        <w:rPr>
          <w:rFonts w:ascii="Arial" w:hAnsi="Arial" w:cs="Arial"/>
          <w:sz w:val="24"/>
          <w:szCs w:val="24"/>
        </w:rPr>
        <w:t xml:space="preserve">and </w:t>
      </w:r>
      <w:r w:rsidR="00C80AD3">
        <w:rPr>
          <w:rFonts w:ascii="Arial" w:hAnsi="Arial" w:cs="Arial"/>
          <w:sz w:val="24"/>
          <w:szCs w:val="24"/>
        </w:rPr>
        <w:t>Shannon Road</w:t>
      </w:r>
      <w:r w:rsidRPr="00041365">
        <w:rPr>
          <w:rFonts w:ascii="Arial" w:hAnsi="Arial" w:cs="Arial"/>
          <w:sz w:val="24"/>
          <w:szCs w:val="24"/>
        </w:rPr>
        <w:t xml:space="preserve">.  The proposal includes the </w:t>
      </w:r>
      <w:r w:rsidR="00461368">
        <w:rPr>
          <w:rFonts w:ascii="Arial" w:hAnsi="Arial" w:cs="Arial"/>
          <w:sz w:val="24"/>
          <w:szCs w:val="24"/>
        </w:rPr>
        <w:t xml:space="preserve">clearance of </w:t>
      </w:r>
      <w:r w:rsidR="003F5AE0">
        <w:rPr>
          <w:rFonts w:ascii="Arial" w:hAnsi="Arial" w:cs="Arial"/>
          <w:sz w:val="24"/>
          <w:szCs w:val="24"/>
        </w:rPr>
        <w:t xml:space="preserve">418 </w:t>
      </w:r>
      <w:r w:rsidR="00C80AD3">
        <w:rPr>
          <w:rFonts w:ascii="Arial" w:hAnsi="Arial" w:cs="Arial"/>
          <w:sz w:val="24"/>
          <w:szCs w:val="24"/>
        </w:rPr>
        <w:t xml:space="preserve">properties comprising low rise flats </w:t>
      </w:r>
      <w:r w:rsidR="00954287">
        <w:rPr>
          <w:rFonts w:ascii="Arial" w:hAnsi="Arial" w:cs="Arial"/>
          <w:sz w:val="24"/>
          <w:szCs w:val="24"/>
        </w:rPr>
        <w:t xml:space="preserve">and houses </w:t>
      </w:r>
      <w:r w:rsidR="00C80AD3">
        <w:rPr>
          <w:rFonts w:ascii="Arial" w:hAnsi="Arial" w:cs="Arial"/>
          <w:sz w:val="24"/>
          <w:szCs w:val="24"/>
        </w:rPr>
        <w:t>on the Pool Farm estate and 4 tower blocks on Shannon Road</w:t>
      </w:r>
      <w:r w:rsidR="00461368">
        <w:rPr>
          <w:rFonts w:ascii="Arial" w:hAnsi="Arial" w:cs="Arial"/>
          <w:sz w:val="24"/>
          <w:szCs w:val="24"/>
        </w:rPr>
        <w:t xml:space="preserve"> and the redevelopment of the sites with new housing</w:t>
      </w:r>
      <w:r w:rsidR="00C80AD3">
        <w:rPr>
          <w:rFonts w:ascii="Arial" w:hAnsi="Arial" w:cs="Arial"/>
          <w:sz w:val="24"/>
          <w:szCs w:val="24"/>
        </w:rPr>
        <w:t>.</w:t>
      </w:r>
      <w:r>
        <w:rPr>
          <w:rFonts w:ascii="Arial" w:hAnsi="Arial" w:cs="Arial"/>
          <w:sz w:val="24"/>
          <w:szCs w:val="24"/>
        </w:rPr>
        <w:t xml:space="preserve">  The Order Lands subject to this Order </w:t>
      </w:r>
      <w:r w:rsidR="00014EE9">
        <w:rPr>
          <w:rFonts w:ascii="Arial" w:hAnsi="Arial" w:cs="Arial"/>
          <w:sz w:val="24"/>
          <w:szCs w:val="24"/>
        </w:rPr>
        <w:t xml:space="preserve">comprise </w:t>
      </w:r>
      <w:r w:rsidR="00F61873">
        <w:rPr>
          <w:rFonts w:ascii="Arial" w:hAnsi="Arial" w:cs="Arial"/>
          <w:sz w:val="24"/>
          <w:szCs w:val="24"/>
        </w:rPr>
        <w:t xml:space="preserve">7 </w:t>
      </w:r>
      <w:r>
        <w:rPr>
          <w:rFonts w:ascii="Arial" w:hAnsi="Arial" w:cs="Arial"/>
          <w:sz w:val="24"/>
          <w:szCs w:val="24"/>
        </w:rPr>
        <w:t xml:space="preserve">leasehold </w:t>
      </w:r>
      <w:r w:rsidR="002D4D0B">
        <w:rPr>
          <w:rFonts w:ascii="Arial" w:hAnsi="Arial" w:cs="Arial"/>
          <w:sz w:val="24"/>
          <w:szCs w:val="24"/>
        </w:rPr>
        <w:t xml:space="preserve">residential </w:t>
      </w:r>
      <w:r>
        <w:rPr>
          <w:rFonts w:ascii="Arial" w:hAnsi="Arial" w:cs="Arial"/>
          <w:sz w:val="24"/>
          <w:szCs w:val="24"/>
        </w:rPr>
        <w:t>properties</w:t>
      </w:r>
      <w:r w:rsidR="00F61873">
        <w:rPr>
          <w:rFonts w:ascii="Arial" w:hAnsi="Arial" w:cs="Arial"/>
          <w:sz w:val="24"/>
          <w:szCs w:val="24"/>
        </w:rPr>
        <w:t xml:space="preserve"> </w:t>
      </w:r>
      <w:r w:rsidR="00AC6C26">
        <w:rPr>
          <w:rFonts w:ascii="Arial" w:hAnsi="Arial" w:cs="Arial"/>
          <w:sz w:val="24"/>
          <w:szCs w:val="24"/>
        </w:rPr>
        <w:t xml:space="preserve">and 1 freehold property </w:t>
      </w:r>
      <w:r w:rsidR="00F61873">
        <w:rPr>
          <w:rFonts w:ascii="Arial" w:hAnsi="Arial" w:cs="Arial"/>
          <w:sz w:val="24"/>
          <w:szCs w:val="24"/>
        </w:rPr>
        <w:t>situated across the Pool Farm estate.</w:t>
      </w:r>
    </w:p>
    <w:p w14:paraId="6AE55EED" w14:textId="77777777" w:rsidR="007F1A06" w:rsidRDefault="007F1A06" w:rsidP="007F1A06">
      <w:pPr>
        <w:pStyle w:val="NoSpacing"/>
        <w:jc w:val="both"/>
        <w:rPr>
          <w:rFonts w:ascii="Arial" w:hAnsi="Arial" w:cs="Arial"/>
          <w:sz w:val="24"/>
          <w:szCs w:val="24"/>
        </w:rPr>
      </w:pPr>
    </w:p>
    <w:p w14:paraId="7C7789C7" w14:textId="6F230D54" w:rsidR="007F1A06" w:rsidRDefault="007F1A06" w:rsidP="00465F9A">
      <w:pPr>
        <w:pStyle w:val="NoSpacing"/>
        <w:numPr>
          <w:ilvl w:val="1"/>
          <w:numId w:val="3"/>
        </w:numPr>
        <w:jc w:val="both"/>
        <w:rPr>
          <w:rFonts w:ascii="Arial" w:hAnsi="Arial" w:cs="Arial"/>
          <w:sz w:val="24"/>
          <w:szCs w:val="24"/>
        </w:rPr>
      </w:pPr>
      <w:r>
        <w:rPr>
          <w:rFonts w:ascii="Arial" w:hAnsi="Arial" w:cs="Arial"/>
          <w:sz w:val="24"/>
          <w:szCs w:val="24"/>
        </w:rPr>
        <w:t xml:space="preserve">The demolition of the </w:t>
      </w:r>
      <w:r w:rsidR="00F61873">
        <w:rPr>
          <w:rFonts w:ascii="Arial" w:hAnsi="Arial" w:cs="Arial"/>
          <w:sz w:val="24"/>
          <w:szCs w:val="24"/>
        </w:rPr>
        <w:t xml:space="preserve">Pool Farm and Shannon Road properties </w:t>
      </w:r>
      <w:r w:rsidR="00461368">
        <w:rPr>
          <w:rFonts w:ascii="Arial" w:hAnsi="Arial" w:cs="Arial"/>
          <w:sz w:val="24"/>
          <w:szCs w:val="24"/>
        </w:rPr>
        <w:t xml:space="preserve">form part of the final phase of the regeneration of the wider housing area that is </w:t>
      </w:r>
      <w:r w:rsidR="00723E1D">
        <w:rPr>
          <w:rFonts w:ascii="Arial" w:hAnsi="Arial" w:cs="Arial"/>
          <w:sz w:val="24"/>
          <w:szCs w:val="24"/>
        </w:rPr>
        <w:t xml:space="preserve">known </w:t>
      </w:r>
      <w:r w:rsidR="00461368">
        <w:rPr>
          <w:rFonts w:ascii="Arial" w:hAnsi="Arial" w:cs="Arial"/>
          <w:sz w:val="24"/>
          <w:szCs w:val="24"/>
        </w:rPr>
        <w:t xml:space="preserve">as the </w:t>
      </w:r>
      <w:r w:rsidR="009A51D5">
        <w:rPr>
          <w:rFonts w:ascii="Arial" w:hAnsi="Arial" w:cs="Arial"/>
          <w:sz w:val="24"/>
          <w:szCs w:val="24"/>
        </w:rPr>
        <w:t>‘</w:t>
      </w:r>
      <w:r w:rsidR="00BA6DEE">
        <w:rPr>
          <w:rFonts w:ascii="Arial" w:hAnsi="Arial" w:cs="Arial"/>
          <w:sz w:val="24"/>
          <w:szCs w:val="24"/>
        </w:rPr>
        <w:t>Three</w:t>
      </w:r>
      <w:r w:rsidR="00461368">
        <w:rPr>
          <w:rFonts w:ascii="Arial" w:hAnsi="Arial" w:cs="Arial"/>
          <w:sz w:val="24"/>
          <w:szCs w:val="24"/>
        </w:rPr>
        <w:t xml:space="preserve"> Estates</w:t>
      </w:r>
      <w:r w:rsidR="009A51D5">
        <w:rPr>
          <w:rFonts w:ascii="Arial" w:hAnsi="Arial" w:cs="Arial"/>
          <w:sz w:val="24"/>
          <w:szCs w:val="24"/>
        </w:rPr>
        <w:t>’</w:t>
      </w:r>
      <w:r w:rsidR="00461368">
        <w:rPr>
          <w:rFonts w:ascii="Arial" w:hAnsi="Arial" w:cs="Arial"/>
          <w:sz w:val="24"/>
          <w:szCs w:val="24"/>
        </w:rPr>
        <w:t>, of which Pool Farm forms part</w:t>
      </w:r>
      <w:r w:rsidR="00BD00EC">
        <w:rPr>
          <w:rFonts w:ascii="Arial" w:hAnsi="Arial" w:cs="Arial"/>
          <w:sz w:val="24"/>
          <w:szCs w:val="24"/>
        </w:rPr>
        <w:t xml:space="preserve"> along with the Hawksley and Primrose estates</w:t>
      </w:r>
      <w:r w:rsidR="00461368">
        <w:rPr>
          <w:rFonts w:ascii="Arial" w:hAnsi="Arial" w:cs="Arial"/>
          <w:sz w:val="24"/>
          <w:szCs w:val="24"/>
        </w:rPr>
        <w:t xml:space="preserve">. </w:t>
      </w:r>
      <w:r w:rsidR="00954287" w:rsidRPr="00954287">
        <w:rPr>
          <w:rFonts w:ascii="Arial" w:hAnsi="Arial" w:cs="Arial"/>
          <w:sz w:val="24"/>
          <w:szCs w:val="24"/>
        </w:rPr>
        <w:t xml:space="preserve">Although geographically linked, the regeneration of </w:t>
      </w:r>
      <w:r w:rsidR="00954287">
        <w:rPr>
          <w:rFonts w:ascii="Arial" w:hAnsi="Arial" w:cs="Arial"/>
          <w:sz w:val="24"/>
          <w:szCs w:val="24"/>
        </w:rPr>
        <w:t xml:space="preserve">each of </w:t>
      </w:r>
      <w:r w:rsidR="00954287" w:rsidRPr="00954287">
        <w:rPr>
          <w:rFonts w:ascii="Arial" w:hAnsi="Arial" w:cs="Arial"/>
          <w:sz w:val="24"/>
          <w:szCs w:val="24"/>
        </w:rPr>
        <w:t xml:space="preserve">the </w:t>
      </w:r>
      <w:r w:rsidR="006E3BD0">
        <w:rPr>
          <w:rFonts w:ascii="Arial" w:hAnsi="Arial" w:cs="Arial"/>
          <w:sz w:val="24"/>
          <w:szCs w:val="24"/>
        </w:rPr>
        <w:t>T</w:t>
      </w:r>
      <w:r w:rsidR="00954287" w:rsidRPr="00954287">
        <w:rPr>
          <w:rFonts w:ascii="Arial" w:hAnsi="Arial" w:cs="Arial"/>
          <w:sz w:val="24"/>
          <w:szCs w:val="24"/>
        </w:rPr>
        <w:t xml:space="preserve">hree </w:t>
      </w:r>
      <w:r w:rsidR="006E3BD0">
        <w:rPr>
          <w:rFonts w:ascii="Arial" w:hAnsi="Arial" w:cs="Arial"/>
          <w:sz w:val="24"/>
          <w:szCs w:val="24"/>
        </w:rPr>
        <w:t>E</w:t>
      </w:r>
      <w:r w:rsidR="00954287" w:rsidRPr="00954287">
        <w:rPr>
          <w:rFonts w:ascii="Arial" w:hAnsi="Arial" w:cs="Arial"/>
          <w:sz w:val="24"/>
          <w:szCs w:val="24"/>
        </w:rPr>
        <w:t>states ha</w:t>
      </w:r>
      <w:r w:rsidR="00954287">
        <w:rPr>
          <w:rFonts w:ascii="Arial" w:hAnsi="Arial" w:cs="Arial"/>
          <w:sz w:val="24"/>
          <w:szCs w:val="24"/>
        </w:rPr>
        <w:t>s</w:t>
      </w:r>
      <w:r w:rsidR="00954287" w:rsidRPr="00954287">
        <w:rPr>
          <w:rFonts w:ascii="Arial" w:hAnsi="Arial" w:cs="Arial"/>
          <w:sz w:val="24"/>
          <w:szCs w:val="24"/>
        </w:rPr>
        <w:t xml:space="preserve"> been progressed separately but within the context of the overriding regeneration and planning framework.</w:t>
      </w:r>
      <w:r w:rsidR="00954287">
        <w:rPr>
          <w:rFonts w:ascii="Arial" w:hAnsi="Arial" w:cs="Arial"/>
          <w:sz w:val="24"/>
          <w:szCs w:val="24"/>
        </w:rPr>
        <w:t xml:space="preserve"> </w:t>
      </w:r>
      <w:r w:rsidR="00FF2C09">
        <w:rPr>
          <w:rFonts w:ascii="Arial" w:hAnsi="Arial" w:cs="Arial"/>
          <w:sz w:val="24"/>
          <w:szCs w:val="24"/>
        </w:rPr>
        <w:t xml:space="preserve">The clearance proposals were set out </w:t>
      </w:r>
      <w:bookmarkStart w:id="1" w:name="_Hlk57294904"/>
      <w:r w:rsidR="00FF2C09">
        <w:rPr>
          <w:rFonts w:ascii="Arial" w:hAnsi="Arial" w:cs="Arial"/>
          <w:sz w:val="24"/>
          <w:szCs w:val="24"/>
        </w:rPr>
        <w:t xml:space="preserve">in a report </w:t>
      </w:r>
      <w:r>
        <w:rPr>
          <w:rFonts w:ascii="Arial" w:hAnsi="Arial" w:cs="Arial"/>
          <w:sz w:val="24"/>
          <w:szCs w:val="24"/>
        </w:rPr>
        <w:t>entitled ‘</w:t>
      </w:r>
      <w:r w:rsidRPr="00020D99">
        <w:rPr>
          <w:rFonts w:ascii="Arial" w:hAnsi="Arial" w:cs="Arial"/>
          <w:sz w:val="24"/>
          <w:szCs w:val="24"/>
        </w:rPr>
        <w:t xml:space="preserve">Housing Clearance Programme’ </w:t>
      </w:r>
      <w:r w:rsidR="00BD00EC" w:rsidRPr="00020D99">
        <w:rPr>
          <w:rFonts w:ascii="Arial" w:hAnsi="Arial" w:cs="Arial"/>
          <w:sz w:val="24"/>
          <w:szCs w:val="24"/>
        </w:rPr>
        <w:t>(BCC</w:t>
      </w:r>
      <w:r w:rsidR="00F87E1D" w:rsidRPr="00020D99">
        <w:rPr>
          <w:rFonts w:ascii="Arial" w:hAnsi="Arial" w:cs="Arial"/>
          <w:sz w:val="24"/>
          <w:szCs w:val="24"/>
        </w:rPr>
        <w:t>4</w:t>
      </w:r>
      <w:r w:rsidR="00BD00EC" w:rsidRPr="00020D99">
        <w:rPr>
          <w:rFonts w:ascii="Arial" w:hAnsi="Arial" w:cs="Arial"/>
          <w:sz w:val="24"/>
          <w:szCs w:val="24"/>
        </w:rPr>
        <w:t>)</w:t>
      </w:r>
      <w:r w:rsidR="000B3DFB">
        <w:rPr>
          <w:rFonts w:ascii="Arial" w:hAnsi="Arial" w:cs="Arial"/>
          <w:sz w:val="24"/>
          <w:szCs w:val="24"/>
        </w:rPr>
        <w:t xml:space="preserve"> </w:t>
      </w:r>
      <w:r>
        <w:rPr>
          <w:rFonts w:ascii="Arial" w:hAnsi="Arial" w:cs="Arial"/>
          <w:sz w:val="24"/>
          <w:szCs w:val="24"/>
        </w:rPr>
        <w:t xml:space="preserve">that was approved by the Cabinet </w:t>
      </w:r>
      <w:r w:rsidR="00FF2C09">
        <w:rPr>
          <w:rFonts w:ascii="Arial" w:hAnsi="Arial" w:cs="Arial"/>
          <w:sz w:val="24"/>
          <w:szCs w:val="24"/>
        </w:rPr>
        <w:t xml:space="preserve">of the Council at its meeting held </w:t>
      </w:r>
      <w:r>
        <w:rPr>
          <w:rFonts w:ascii="Arial" w:hAnsi="Arial" w:cs="Arial"/>
          <w:sz w:val="24"/>
          <w:szCs w:val="24"/>
        </w:rPr>
        <w:t xml:space="preserve">on 14 February 2017 </w:t>
      </w:r>
      <w:bookmarkEnd w:id="1"/>
      <w:r w:rsidR="00FF2C09">
        <w:rPr>
          <w:rFonts w:ascii="Arial" w:hAnsi="Arial" w:cs="Arial"/>
          <w:sz w:val="24"/>
          <w:szCs w:val="24"/>
        </w:rPr>
        <w:t>and this</w:t>
      </w:r>
      <w:r w:rsidR="000F05E1">
        <w:rPr>
          <w:rFonts w:ascii="Arial" w:hAnsi="Arial" w:cs="Arial"/>
          <w:sz w:val="24"/>
          <w:szCs w:val="24"/>
        </w:rPr>
        <w:t xml:space="preserve"> </w:t>
      </w:r>
      <w:r>
        <w:rPr>
          <w:rFonts w:ascii="Arial" w:hAnsi="Arial" w:cs="Arial"/>
          <w:sz w:val="24"/>
          <w:szCs w:val="24"/>
        </w:rPr>
        <w:t>authorised the use of compulsory purchase powers to acquire land as necessary</w:t>
      </w:r>
      <w:r w:rsidR="00FF2C09">
        <w:rPr>
          <w:rFonts w:ascii="Arial" w:hAnsi="Arial" w:cs="Arial"/>
          <w:sz w:val="24"/>
          <w:szCs w:val="24"/>
        </w:rPr>
        <w:t xml:space="preserve"> to facilitate the development and regeneration of the estate</w:t>
      </w:r>
      <w:r>
        <w:rPr>
          <w:rFonts w:ascii="Arial" w:hAnsi="Arial" w:cs="Arial"/>
          <w:sz w:val="24"/>
          <w:szCs w:val="24"/>
        </w:rPr>
        <w:t>.</w:t>
      </w:r>
    </w:p>
    <w:p w14:paraId="24F9F159" w14:textId="77777777" w:rsidR="00FF2C09" w:rsidRDefault="00FF2C09" w:rsidP="00465F9A">
      <w:pPr>
        <w:pStyle w:val="ListParagraph"/>
        <w:rPr>
          <w:rFonts w:ascii="Arial" w:hAnsi="Arial" w:cs="Arial"/>
          <w:sz w:val="24"/>
          <w:szCs w:val="24"/>
        </w:rPr>
      </w:pPr>
    </w:p>
    <w:p w14:paraId="4F9F151E" w14:textId="0C7581CF" w:rsidR="00FF2C09" w:rsidRDefault="00FF2C09" w:rsidP="00465F9A">
      <w:pPr>
        <w:pStyle w:val="NoSpacing"/>
        <w:numPr>
          <w:ilvl w:val="1"/>
          <w:numId w:val="3"/>
        </w:numPr>
        <w:jc w:val="both"/>
        <w:rPr>
          <w:rFonts w:ascii="Arial" w:hAnsi="Arial" w:cs="Arial"/>
          <w:sz w:val="24"/>
          <w:szCs w:val="24"/>
        </w:rPr>
      </w:pPr>
      <w:r>
        <w:rPr>
          <w:rFonts w:ascii="Arial" w:hAnsi="Arial" w:cs="Arial"/>
          <w:sz w:val="24"/>
          <w:szCs w:val="24"/>
        </w:rPr>
        <w:lastRenderedPageBreak/>
        <w:t xml:space="preserve">Proposals for the estate have been set out in local planning and housing policy for some </w:t>
      </w:r>
      <w:r w:rsidR="00987918">
        <w:rPr>
          <w:rFonts w:ascii="Arial" w:hAnsi="Arial" w:cs="Arial"/>
          <w:sz w:val="24"/>
          <w:szCs w:val="24"/>
        </w:rPr>
        <w:t>time and</w:t>
      </w:r>
      <w:r>
        <w:rPr>
          <w:rFonts w:ascii="Arial" w:hAnsi="Arial" w:cs="Arial"/>
          <w:sz w:val="24"/>
          <w:szCs w:val="24"/>
        </w:rPr>
        <w:t xml:space="preserve"> have been subject to significant local consultation. </w:t>
      </w:r>
      <w:r w:rsidR="00BD00EC">
        <w:rPr>
          <w:rFonts w:ascii="Arial" w:hAnsi="Arial" w:cs="Arial"/>
          <w:sz w:val="24"/>
          <w:szCs w:val="24"/>
        </w:rPr>
        <w:t xml:space="preserve">The overall regeneration programme will take 20 years and involve approximately £150 million of investment. </w:t>
      </w:r>
      <w:r>
        <w:rPr>
          <w:rFonts w:ascii="Arial" w:hAnsi="Arial" w:cs="Arial"/>
          <w:sz w:val="24"/>
          <w:szCs w:val="24"/>
        </w:rPr>
        <w:t xml:space="preserve">More recently, planning applications have been </w:t>
      </w:r>
      <w:r w:rsidR="00954287">
        <w:rPr>
          <w:rFonts w:ascii="Arial" w:hAnsi="Arial" w:cs="Arial"/>
          <w:sz w:val="24"/>
          <w:szCs w:val="24"/>
        </w:rPr>
        <w:t xml:space="preserve">approved </w:t>
      </w:r>
      <w:r>
        <w:rPr>
          <w:rFonts w:ascii="Arial" w:hAnsi="Arial" w:cs="Arial"/>
          <w:sz w:val="24"/>
          <w:szCs w:val="24"/>
        </w:rPr>
        <w:t xml:space="preserve">for the proposed </w:t>
      </w:r>
      <w:r w:rsidR="00BD00EC">
        <w:rPr>
          <w:rFonts w:ascii="Arial" w:hAnsi="Arial" w:cs="Arial"/>
          <w:sz w:val="24"/>
          <w:szCs w:val="24"/>
        </w:rPr>
        <w:t xml:space="preserve">Pool Farm </w:t>
      </w:r>
      <w:r>
        <w:rPr>
          <w:rFonts w:ascii="Arial" w:hAnsi="Arial" w:cs="Arial"/>
          <w:sz w:val="24"/>
          <w:szCs w:val="24"/>
        </w:rPr>
        <w:t xml:space="preserve">development areas and these are detailed </w:t>
      </w:r>
      <w:r w:rsidR="00954287">
        <w:rPr>
          <w:rFonts w:ascii="Arial" w:hAnsi="Arial" w:cs="Arial"/>
          <w:sz w:val="24"/>
          <w:szCs w:val="24"/>
        </w:rPr>
        <w:t xml:space="preserve">under section </w:t>
      </w:r>
      <w:r w:rsidR="00896567">
        <w:rPr>
          <w:rFonts w:ascii="Arial" w:hAnsi="Arial" w:cs="Arial"/>
          <w:sz w:val="24"/>
          <w:szCs w:val="24"/>
        </w:rPr>
        <w:t>7</w:t>
      </w:r>
      <w:r w:rsidR="00954287">
        <w:rPr>
          <w:rFonts w:ascii="Arial" w:hAnsi="Arial" w:cs="Arial"/>
          <w:sz w:val="24"/>
          <w:szCs w:val="24"/>
        </w:rPr>
        <w:t xml:space="preserve"> </w:t>
      </w:r>
      <w:r>
        <w:rPr>
          <w:rFonts w:ascii="Arial" w:hAnsi="Arial" w:cs="Arial"/>
          <w:sz w:val="24"/>
          <w:szCs w:val="24"/>
        </w:rPr>
        <w:t>below.</w:t>
      </w:r>
    </w:p>
    <w:p w14:paraId="10ED95DA" w14:textId="77777777" w:rsidR="007F1A06" w:rsidRDefault="007F1A06" w:rsidP="007F1A06">
      <w:pPr>
        <w:pStyle w:val="NoSpacing"/>
        <w:ind w:left="540"/>
        <w:jc w:val="both"/>
        <w:rPr>
          <w:rFonts w:ascii="Arial" w:hAnsi="Arial" w:cs="Arial"/>
          <w:sz w:val="24"/>
          <w:szCs w:val="24"/>
        </w:rPr>
      </w:pPr>
    </w:p>
    <w:p w14:paraId="2D18DDD1" w14:textId="7AA0AB01" w:rsidR="007E29A1" w:rsidRDefault="007E29A1" w:rsidP="00970423">
      <w:pPr>
        <w:pStyle w:val="NoSpacing"/>
        <w:numPr>
          <w:ilvl w:val="1"/>
          <w:numId w:val="3"/>
        </w:numPr>
        <w:jc w:val="both"/>
        <w:rPr>
          <w:rFonts w:ascii="Arial" w:hAnsi="Arial" w:cs="Arial"/>
          <w:sz w:val="24"/>
          <w:szCs w:val="24"/>
        </w:rPr>
      </w:pPr>
      <w:r>
        <w:rPr>
          <w:rFonts w:ascii="Arial" w:hAnsi="Arial" w:cs="Arial"/>
          <w:sz w:val="24"/>
          <w:szCs w:val="24"/>
        </w:rPr>
        <w:t>The necessary funding is available to deliver the redevelopment proposals.</w:t>
      </w:r>
      <w:r w:rsidR="00F810CB">
        <w:rPr>
          <w:rFonts w:ascii="Arial" w:hAnsi="Arial" w:cs="Arial"/>
          <w:sz w:val="24"/>
          <w:szCs w:val="24"/>
        </w:rPr>
        <w:t xml:space="preserve"> This is set out in</w:t>
      </w:r>
      <w:r w:rsidR="000F2D62">
        <w:rPr>
          <w:rFonts w:ascii="Arial" w:hAnsi="Arial" w:cs="Arial"/>
          <w:sz w:val="24"/>
          <w:szCs w:val="24"/>
        </w:rPr>
        <w:t xml:space="preserve"> detail in</w:t>
      </w:r>
      <w:r w:rsidR="00F810CB">
        <w:rPr>
          <w:rFonts w:ascii="Arial" w:hAnsi="Arial" w:cs="Arial"/>
          <w:sz w:val="24"/>
          <w:szCs w:val="24"/>
        </w:rPr>
        <w:t xml:space="preserve"> Section </w:t>
      </w:r>
      <w:r w:rsidR="000F2D62">
        <w:rPr>
          <w:rFonts w:ascii="Arial" w:hAnsi="Arial" w:cs="Arial"/>
          <w:sz w:val="24"/>
          <w:szCs w:val="24"/>
        </w:rPr>
        <w:t>9.</w:t>
      </w:r>
    </w:p>
    <w:p w14:paraId="2D664A79" w14:textId="77777777" w:rsidR="007E29A1" w:rsidRDefault="007E29A1" w:rsidP="007F1A06">
      <w:pPr>
        <w:pStyle w:val="NoSpacing"/>
        <w:jc w:val="both"/>
        <w:rPr>
          <w:rFonts w:ascii="Arial" w:hAnsi="Arial" w:cs="Arial"/>
          <w:sz w:val="24"/>
          <w:szCs w:val="24"/>
        </w:rPr>
      </w:pPr>
    </w:p>
    <w:p w14:paraId="09BB9103" w14:textId="3F285BE6" w:rsidR="007F1A06" w:rsidRDefault="007F1A06" w:rsidP="007F1A06">
      <w:pPr>
        <w:pStyle w:val="NoSpacing"/>
        <w:numPr>
          <w:ilvl w:val="1"/>
          <w:numId w:val="3"/>
        </w:numPr>
        <w:jc w:val="both"/>
        <w:rPr>
          <w:rFonts w:ascii="Arial" w:hAnsi="Arial" w:cs="Arial"/>
          <w:sz w:val="24"/>
          <w:szCs w:val="24"/>
        </w:rPr>
      </w:pPr>
      <w:r>
        <w:rPr>
          <w:rFonts w:ascii="Arial" w:hAnsi="Arial" w:cs="Arial"/>
          <w:sz w:val="24"/>
          <w:szCs w:val="24"/>
        </w:rPr>
        <w:t xml:space="preserve">This statement describes the Order Lands in detail in Section 2.  Sections 3 – </w:t>
      </w:r>
      <w:r w:rsidR="00711A11">
        <w:rPr>
          <w:rFonts w:ascii="Arial" w:hAnsi="Arial" w:cs="Arial"/>
          <w:sz w:val="24"/>
          <w:szCs w:val="24"/>
        </w:rPr>
        <w:t>8</w:t>
      </w:r>
      <w:r>
        <w:rPr>
          <w:rFonts w:ascii="Arial" w:hAnsi="Arial" w:cs="Arial"/>
          <w:sz w:val="24"/>
          <w:szCs w:val="24"/>
        </w:rPr>
        <w:t xml:space="preserve"> describe the development proposals, the Case for compulsory purchase, the planning and other policy considerations, and consultation </w:t>
      </w:r>
      <w:r w:rsidR="00896567">
        <w:rPr>
          <w:rFonts w:ascii="Arial" w:hAnsi="Arial" w:cs="Arial"/>
          <w:sz w:val="24"/>
          <w:szCs w:val="24"/>
        </w:rPr>
        <w:t>details.</w:t>
      </w:r>
      <w:r>
        <w:rPr>
          <w:rFonts w:ascii="Arial" w:hAnsi="Arial" w:cs="Arial"/>
          <w:sz w:val="24"/>
          <w:szCs w:val="24"/>
        </w:rPr>
        <w:t xml:space="preserve"> Other matters referred to in this statement include special considerations and human rights in section </w:t>
      </w:r>
      <w:r w:rsidR="000F2D62">
        <w:rPr>
          <w:rFonts w:ascii="Arial" w:hAnsi="Arial" w:cs="Arial"/>
          <w:sz w:val="24"/>
          <w:szCs w:val="24"/>
        </w:rPr>
        <w:t>10</w:t>
      </w:r>
      <w:r>
        <w:rPr>
          <w:rFonts w:ascii="Arial" w:hAnsi="Arial" w:cs="Arial"/>
          <w:sz w:val="24"/>
          <w:szCs w:val="24"/>
        </w:rPr>
        <w:t>-</w:t>
      </w:r>
      <w:r w:rsidR="00896567">
        <w:rPr>
          <w:rFonts w:ascii="Arial" w:hAnsi="Arial" w:cs="Arial"/>
          <w:sz w:val="24"/>
          <w:szCs w:val="24"/>
        </w:rPr>
        <w:t>1</w:t>
      </w:r>
      <w:r w:rsidR="00D964BF">
        <w:rPr>
          <w:rFonts w:ascii="Arial" w:hAnsi="Arial" w:cs="Arial"/>
          <w:sz w:val="24"/>
          <w:szCs w:val="24"/>
        </w:rPr>
        <w:t>7</w:t>
      </w:r>
      <w:r>
        <w:rPr>
          <w:rFonts w:ascii="Arial" w:hAnsi="Arial" w:cs="Arial"/>
          <w:sz w:val="24"/>
          <w:szCs w:val="24"/>
        </w:rPr>
        <w:t xml:space="preserve"> and provides further information about who to contact about the development proposals and compulsory purchase process.</w:t>
      </w:r>
    </w:p>
    <w:p w14:paraId="7BB6C327" w14:textId="77777777" w:rsidR="007F1A06" w:rsidRDefault="007F1A06" w:rsidP="007F1A06">
      <w:pPr>
        <w:pStyle w:val="NoSpacing"/>
        <w:ind w:left="540"/>
        <w:jc w:val="both"/>
        <w:rPr>
          <w:rFonts w:ascii="Arial" w:hAnsi="Arial" w:cs="Arial"/>
          <w:sz w:val="24"/>
          <w:szCs w:val="24"/>
        </w:rPr>
      </w:pPr>
    </w:p>
    <w:p w14:paraId="2D69AFAC" w14:textId="77777777" w:rsidR="007F1A06" w:rsidRDefault="007F1A06" w:rsidP="007F1A06">
      <w:pPr>
        <w:pStyle w:val="NoSpacing"/>
        <w:numPr>
          <w:ilvl w:val="1"/>
          <w:numId w:val="3"/>
        </w:numPr>
        <w:jc w:val="both"/>
        <w:rPr>
          <w:rFonts w:ascii="Arial" w:hAnsi="Arial" w:cs="Arial"/>
          <w:sz w:val="24"/>
          <w:szCs w:val="24"/>
        </w:rPr>
      </w:pPr>
      <w:r w:rsidRPr="009C118A">
        <w:rPr>
          <w:rFonts w:ascii="Arial" w:hAnsi="Arial" w:cs="Arial"/>
          <w:sz w:val="24"/>
          <w:szCs w:val="24"/>
        </w:rPr>
        <w:t>The Order is being made and submitted to the Ministry of Housing, Communities and Local Government (“the Secretary of State”) for confirmation.</w:t>
      </w:r>
    </w:p>
    <w:p w14:paraId="4A8520BE" w14:textId="77777777" w:rsidR="007F1A06" w:rsidRDefault="007F1A06" w:rsidP="007F1A06">
      <w:pPr>
        <w:pStyle w:val="NoSpacing"/>
        <w:jc w:val="both"/>
        <w:rPr>
          <w:rFonts w:ascii="Arial" w:hAnsi="Arial" w:cs="Arial"/>
          <w:sz w:val="24"/>
          <w:szCs w:val="24"/>
        </w:rPr>
      </w:pPr>
    </w:p>
    <w:p w14:paraId="7045E8E5" w14:textId="77777777" w:rsidR="007F1A06" w:rsidRPr="007F1A06" w:rsidRDefault="007F1A06" w:rsidP="007F1A06">
      <w:pPr>
        <w:pStyle w:val="NoSpacing"/>
        <w:numPr>
          <w:ilvl w:val="0"/>
          <w:numId w:val="3"/>
        </w:numPr>
        <w:ind w:left="567" w:hanging="567"/>
        <w:jc w:val="both"/>
        <w:outlineLvl w:val="0"/>
        <w:rPr>
          <w:rFonts w:ascii="Arial" w:hAnsi="Arial" w:cs="Arial"/>
          <w:b/>
          <w:sz w:val="24"/>
          <w:szCs w:val="24"/>
          <w:u w:val="single"/>
        </w:rPr>
      </w:pPr>
      <w:bookmarkStart w:id="2" w:name="_Toc68772043"/>
      <w:r w:rsidRPr="007F1A06">
        <w:rPr>
          <w:rFonts w:ascii="Arial" w:hAnsi="Arial" w:cs="Arial"/>
          <w:b/>
          <w:sz w:val="24"/>
          <w:szCs w:val="24"/>
          <w:u w:val="single"/>
        </w:rPr>
        <w:t>Description of the Order Land, location, and current use.</w:t>
      </w:r>
      <w:bookmarkEnd w:id="2"/>
    </w:p>
    <w:p w14:paraId="45048B28" w14:textId="77777777" w:rsidR="007F1A06" w:rsidRDefault="007F1A06" w:rsidP="007F1A06">
      <w:pPr>
        <w:pStyle w:val="NoSpacing"/>
        <w:jc w:val="both"/>
        <w:rPr>
          <w:rFonts w:ascii="Arial" w:hAnsi="Arial" w:cs="Arial"/>
          <w:sz w:val="24"/>
          <w:szCs w:val="24"/>
        </w:rPr>
      </w:pPr>
    </w:p>
    <w:p w14:paraId="665ABF5F" w14:textId="49F81614" w:rsidR="00072C7B" w:rsidRPr="00487959" w:rsidRDefault="007F1A06" w:rsidP="00072C7B">
      <w:pPr>
        <w:pStyle w:val="NoSpacing"/>
        <w:numPr>
          <w:ilvl w:val="1"/>
          <w:numId w:val="3"/>
        </w:numPr>
        <w:jc w:val="both"/>
        <w:rPr>
          <w:rFonts w:ascii="Arial" w:hAnsi="Arial" w:cs="Arial"/>
          <w:sz w:val="24"/>
          <w:szCs w:val="24"/>
          <w:lang w:eastAsia="en-GB"/>
        </w:rPr>
      </w:pPr>
      <w:r w:rsidRPr="00B44A68">
        <w:rPr>
          <w:rFonts w:ascii="Arial" w:hAnsi="Arial" w:cs="Arial"/>
          <w:sz w:val="24"/>
          <w:szCs w:val="24"/>
          <w:lang w:eastAsia="en-GB"/>
        </w:rPr>
        <w:t xml:space="preserve">The </w:t>
      </w:r>
      <w:r w:rsidR="00461D11" w:rsidRPr="00072C7B">
        <w:rPr>
          <w:rFonts w:ascii="Arial" w:hAnsi="Arial" w:cs="Arial"/>
          <w:sz w:val="24"/>
          <w:szCs w:val="24"/>
          <w:lang w:eastAsia="en-GB"/>
        </w:rPr>
        <w:t xml:space="preserve">Pool Farm estate </w:t>
      </w:r>
      <w:r w:rsidR="00B44A68" w:rsidRPr="00B44A68">
        <w:rPr>
          <w:rFonts w:ascii="Arial" w:hAnsi="Arial" w:cs="Arial"/>
          <w:sz w:val="24"/>
          <w:szCs w:val="24"/>
          <w:lang w:eastAsia="en-GB"/>
        </w:rPr>
        <w:t>is located on the southern edge of Birmingham in the Kings Norton Ward of the Northfield constituency approximately 9 km from the city centre. It is situated to the east of the A441 Redditch Road, the main vehicular connection between the area, the city centre to the north and the M42 motorway to the south of the city.</w:t>
      </w:r>
      <w:r w:rsidR="00072C7B" w:rsidRPr="00072C7B">
        <w:rPr>
          <w:rFonts w:ascii="Arial" w:hAnsi="Arial" w:cs="Arial"/>
          <w:sz w:val="24"/>
          <w:szCs w:val="24"/>
          <w:lang w:eastAsia="en-GB"/>
        </w:rPr>
        <w:t xml:space="preserve"> </w:t>
      </w:r>
      <w:r w:rsidR="00072C7B" w:rsidRPr="00487959">
        <w:rPr>
          <w:rFonts w:ascii="Arial" w:hAnsi="Arial" w:cs="Arial"/>
          <w:sz w:val="24"/>
          <w:szCs w:val="24"/>
          <w:lang w:eastAsia="en-GB"/>
        </w:rPr>
        <w:t xml:space="preserve">It is around 2km from Kings Norton railway station which lies to the north west. Kings Norton centre is located around 1km to the north west. The </w:t>
      </w:r>
      <w:r w:rsidR="00072C7B">
        <w:rPr>
          <w:rFonts w:ascii="Arial" w:hAnsi="Arial" w:cs="Arial"/>
          <w:sz w:val="24"/>
          <w:szCs w:val="24"/>
          <w:lang w:eastAsia="en-GB"/>
        </w:rPr>
        <w:t xml:space="preserve">area </w:t>
      </w:r>
      <w:r w:rsidR="00072C7B" w:rsidRPr="00487959">
        <w:rPr>
          <w:rFonts w:ascii="Arial" w:hAnsi="Arial" w:cs="Arial"/>
          <w:sz w:val="24"/>
          <w:szCs w:val="24"/>
          <w:lang w:eastAsia="en-GB"/>
        </w:rPr>
        <w:t>is in a very accessible and sustainable location with a wide range of local amenities close by and good transport connections for travel locally and further afield.</w:t>
      </w:r>
    </w:p>
    <w:p w14:paraId="0B54821C" w14:textId="298ACFC3" w:rsidR="00072C7B" w:rsidRDefault="00B44A68" w:rsidP="00465F9A">
      <w:pPr>
        <w:pStyle w:val="NoSpacing"/>
        <w:ind w:left="540"/>
        <w:jc w:val="both"/>
        <w:rPr>
          <w:rFonts w:ascii="Arial" w:hAnsi="Arial" w:cs="Arial"/>
          <w:sz w:val="24"/>
          <w:szCs w:val="24"/>
          <w:lang w:eastAsia="en-GB"/>
        </w:rPr>
      </w:pPr>
      <w:r w:rsidRPr="00072C7B">
        <w:rPr>
          <w:rFonts w:ascii="Arial" w:hAnsi="Arial" w:cs="Arial"/>
          <w:sz w:val="24"/>
          <w:szCs w:val="24"/>
          <w:lang w:eastAsia="en-GB"/>
        </w:rPr>
        <w:t xml:space="preserve"> </w:t>
      </w:r>
    </w:p>
    <w:p w14:paraId="3AB7882D" w14:textId="6C48C88A" w:rsidR="00072C7B" w:rsidRDefault="00072C7B" w:rsidP="00A054E4">
      <w:pPr>
        <w:pStyle w:val="NoSpacing"/>
        <w:numPr>
          <w:ilvl w:val="1"/>
          <w:numId w:val="3"/>
        </w:numPr>
        <w:jc w:val="both"/>
        <w:rPr>
          <w:rFonts w:ascii="Arial" w:hAnsi="Arial" w:cs="Arial"/>
          <w:sz w:val="24"/>
          <w:szCs w:val="24"/>
          <w:lang w:eastAsia="en-GB"/>
        </w:rPr>
      </w:pPr>
      <w:r w:rsidRPr="00970423">
        <w:rPr>
          <w:rFonts w:ascii="Arial" w:hAnsi="Arial" w:cs="Arial"/>
          <w:sz w:val="24"/>
          <w:szCs w:val="24"/>
          <w:lang w:eastAsia="en-GB"/>
        </w:rPr>
        <w:t xml:space="preserve">The Pool Farm estate forms part of an area of housing collectively referred to as </w:t>
      </w:r>
      <w:r w:rsidR="000B3DFB" w:rsidRPr="00970423">
        <w:rPr>
          <w:rFonts w:ascii="Arial" w:hAnsi="Arial" w:cs="Arial"/>
          <w:sz w:val="24"/>
          <w:szCs w:val="24"/>
          <w:lang w:eastAsia="en-GB"/>
        </w:rPr>
        <w:t>‘The Three</w:t>
      </w:r>
      <w:r w:rsidRPr="00970423">
        <w:rPr>
          <w:rFonts w:ascii="Arial" w:hAnsi="Arial" w:cs="Arial"/>
          <w:sz w:val="24"/>
          <w:szCs w:val="24"/>
          <w:lang w:eastAsia="en-GB"/>
        </w:rPr>
        <w:t xml:space="preserve"> </w:t>
      </w:r>
      <w:r w:rsidR="007E29A1" w:rsidRPr="00970423">
        <w:rPr>
          <w:rFonts w:ascii="Arial" w:hAnsi="Arial" w:cs="Arial"/>
          <w:sz w:val="24"/>
          <w:szCs w:val="24"/>
          <w:lang w:eastAsia="en-GB"/>
        </w:rPr>
        <w:t>E</w:t>
      </w:r>
      <w:r w:rsidRPr="00970423">
        <w:rPr>
          <w:rFonts w:ascii="Arial" w:hAnsi="Arial" w:cs="Arial"/>
          <w:sz w:val="24"/>
          <w:szCs w:val="24"/>
          <w:lang w:eastAsia="en-GB"/>
        </w:rPr>
        <w:t>states</w:t>
      </w:r>
      <w:r w:rsidR="007E29A1" w:rsidRPr="00970423">
        <w:rPr>
          <w:rFonts w:ascii="Arial" w:hAnsi="Arial" w:cs="Arial"/>
          <w:sz w:val="24"/>
          <w:szCs w:val="24"/>
          <w:lang w:eastAsia="en-GB"/>
        </w:rPr>
        <w:t>”</w:t>
      </w:r>
      <w:r w:rsidRPr="00970423">
        <w:rPr>
          <w:rFonts w:ascii="Arial" w:hAnsi="Arial" w:cs="Arial"/>
          <w:sz w:val="24"/>
          <w:szCs w:val="24"/>
          <w:lang w:eastAsia="en-GB"/>
        </w:rPr>
        <w:t xml:space="preserve"> - an area of mainly municipal housing developed in phases between the 1950s and 1970s as part of the rapid post war expansion and development of the city. The types of property on the estate are typical of much of the municipal housing built at that time. The Order Lands </w:t>
      </w:r>
      <w:r w:rsidR="007E29A1" w:rsidRPr="00970423">
        <w:rPr>
          <w:rFonts w:ascii="Arial" w:hAnsi="Arial" w:cs="Arial"/>
          <w:sz w:val="24"/>
          <w:szCs w:val="24"/>
          <w:lang w:eastAsia="en-GB"/>
        </w:rPr>
        <w:t>are</w:t>
      </w:r>
      <w:r w:rsidRPr="00970423">
        <w:rPr>
          <w:rFonts w:ascii="Arial" w:hAnsi="Arial" w:cs="Arial"/>
          <w:sz w:val="24"/>
          <w:szCs w:val="24"/>
          <w:lang w:eastAsia="en-GB"/>
        </w:rPr>
        <w:t xml:space="preserve"> located across the Pool Farm estate and comprise housing that was built by the </w:t>
      </w:r>
      <w:r w:rsidR="00970423" w:rsidRPr="00970423">
        <w:rPr>
          <w:rFonts w:ascii="Arial" w:hAnsi="Arial" w:cs="Arial"/>
          <w:sz w:val="24"/>
          <w:szCs w:val="24"/>
          <w:lang w:eastAsia="en-GB"/>
        </w:rPr>
        <w:t>Council,</w:t>
      </w:r>
      <w:r w:rsidRPr="00970423">
        <w:rPr>
          <w:rFonts w:ascii="Arial" w:hAnsi="Arial" w:cs="Arial"/>
          <w:sz w:val="24"/>
          <w:szCs w:val="24"/>
          <w:lang w:eastAsia="en-GB"/>
        </w:rPr>
        <w:t xml:space="preserve"> but which was subsequently sold under Right to Buy legislation.</w:t>
      </w:r>
    </w:p>
    <w:p w14:paraId="6CDEDB25" w14:textId="77777777" w:rsidR="00A054E4" w:rsidRDefault="00A054E4" w:rsidP="00DA7F86">
      <w:pPr>
        <w:pStyle w:val="ListParagraph"/>
        <w:spacing w:after="0" w:line="240" w:lineRule="auto"/>
        <w:rPr>
          <w:rFonts w:ascii="Arial" w:hAnsi="Arial" w:cs="Arial"/>
          <w:sz w:val="24"/>
          <w:szCs w:val="24"/>
          <w:lang w:eastAsia="en-GB"/>
        </w:rPr>
      </w:pPr>
    </w:p>
    <w:p w14:paraId="41D9A553" w14:textId="0A5A5FA6" w:rsidR="007F1A06" w:rsidRPr="00A054E4" w:rsidRDefault="000A5960" w:rsidP="00970423">
      <w:pPr>
        <w:pStyle w:val="NoSpacing"/>
        <w:numPr>
          <w:ilvl w:val="1"/>
          <w:numId w:val="3"/>
        </w:numPr>
        <w:jc w:val="both"/>
        <w:rPr>
          <w:rFonts w:ascii="Arial" w:hAnsi="Arial" w:cs="Arial"/>
          <w:sz w:val="24"/>
          <w:szCs w:val="24"/>
          <w:lang w:eastAsia="en-GB"/>
        </w:rPr>
      </w:pPr>
      <w:r w:rsidRPr="00A054E4">
        <w:rPr>
          <w:rFonts w:ascii="Arial" w:hAnsi="Arial" w:cs="Arial"/>
          <w:sz w:val="24"/>
          <w:szCs w:val="24"/>
        </w:rPr>
        <w:t xml:space="preserve">The </w:t>
      </w:r>
      <w:r w:rsidR="00072C7B" w:rsidRPr="00A054E4">
        <w:rPr>
          <w:rFonts w:ascii="Arial" w:hAnsi="Arial" w:cs="Arial"/>
          <w:sz w:val="24"/>
          <w:szCs w:val="24"/>
        </w:rPr>
        <w:t xml:space="preserve">majority of the estate </w:t>
      </w:r>
      <w:r w:rsidRPr="00A054E4">
        <w:rPr>
          <w:rFonts w:ascii="Arial" w:hAnsi="Arial" w:cs="Arial"/>
          <w:sz w:val="24"/>
          <w:szCs w:val="24"/>
        </w:rPr>
        <w:t xml:space="preserve">is in the freehold ownership of </w:t>
      </w:r>
      <w:r w:rsidR="003B5088">
        <w:rPr>
          <w:rFonts w:ascii="Arial" w:hAnsi="Arial" w:cs="Arial"/>
          <w:sz w:val="24"/>
          <w:szCs w:val="24"/>
        </w:rPr>
        <w:t>the</w:t>
      </w:r>
      <w:r w:rsidRPr="00A054E4">
        <w:rPr>
          <w:rFonts w:ascii="Arial" w:hAnsi="Arial" w:cs="Arial"/>
          <w:sz w:val="24"/>
          <w:szCs w:val="24"/>
        </w:rPr>
        <w:t xml:space="preserve"> Council, </w:t>
      </w:r>
      <w:r w:rsidR="00072C7B" w:rsidRPr="00A054E4">
        <w:rPr>
          <w:rFonts w:ascii="Arial" w:hAnsi="Arial" w:cs="Arial"/>
          <w:sz w:val="24"/>
          <w:szCs w:val="24"/>
        </w:rPr>
        <w:t xml:space="preserve">although there are </w:t>
      </w:r>
      <w:r w:rsidRPr="00A054E4">
        <w:rPr>
          <w:rFonts w:ascii="Arial" w:hAnsi="Arial" w:cs="Arial"/>
          <w:sz w:val="24"/>
          <w:szCs w:val="24"/>
        </w:rPr>
        <w:t xml:space="preserve"> a number of owner occupied houses which do not form part of the redevelopment</w:t>
      </w:r>
      <w:r w:rsidR="00072C7B" w:rsidRPr="00A054E4">
        <w:rPr>
          <w:rFonts w:ascii="Arial" w:hAnsi="Arial" w:cs="Arial"/>
          <w:sz w:val="24"/>
          <w:szCs w:val="24"/>
        </w:rPr>
        <w:t xml:space="preserve"> and which include a mix of bungalows and two-storey dwellings that are being retained as part of the overall proposals</w:t>
      </w:r>
      <w:r w:rsidR="006D38B0" w:rsidRPr="00A054E4">
        <w:rPr>
          <w:rFonts w:ascii="Arial" w:hAnsi="Arial" w:cs="Arial"/>
          <w:sz w:val="24"/>
          <w:szCs w:val="24"/>
        </w:rPr>
        <w:t xml:space="preserve">. The retained properties were previously considered as part of a wider proposals for regeneration in Kings Norton but were not included in the Cabinet Clearance Report where properties were selected based on </w:t>
      </w:r>
      <w:r w:rsidR="00F3186B" w:rsidRPr="00A054E4">
        <w:rPr>
          <w:rFonts w:ascii="Arial" w:hAnsi="Arial" w:cs="Arial"/>
          <w:sz w:val="24"/>
          <w:szCs w:val="24"/>
        </w:rPr>
        <w:t>their condition, financial viability and their failure to meet modern standards.</w:t>
      </w:r>
      <w:r w:rsidR="002340D7" w:rsidRPr="00A054E4">
        <w:rPr>
          <w:rFonts w:ascii="Arial" w:hAnsi="Arial" w:cs="Arial"/>
          <w:sz w:val="24"/>
          <w:szCs w:val="24"/>
          <w:lang w:eastAsia="en-GB"/>
        </w:rPr>
        <w:t xml:space="preserve"> </w:t>
      </w:r>
    </w:p>
    <w:p w14:paraId="574AA546" w14:textId="77777777" w:rsidR="002340D7" w:rsidRDefault="002340D7" w:rsidP="002340D7">
      <w:pPr>
        <w:pStyle w:val="NoSpacing"/>
        <w:jc w:val="both"/>
        <w:rPr>
          <w:rFonts w:ascii="Arial" w:hAnsi="Arial" w:cs="Arial"/>
          <w:sz w:val="24"/>
          <w:szCs w:val="24"/>
          <w:lang w:eastAsia="en-GB"/>
        </w:rPr>
      </w:pPr>
    </w:p>
    <w:p w14:paraId="44D04900" w14:textId="10200E4A" w:rsidR="00F92A7F" w:rsidRDefault="004557D7" w:rsidP="00F92A7F">
      <w:pPr>
        <w:pStyle w:val="NoSpacing"/>
        <w:numPr>
          <w:ilvl w:val="1"/>
          <w:numId w:val="3"/>
        </w:numPr>
        <w:jc w:val="both"/>
        <w:rPr>
          <w:rFonts w:ascii="Arial" w:hAnsi="Arial" w:cs="Arial"/>
          <w:sz w:val="24"/>
          <w:szCs w:val="24"/>
          <w:lang w:eastAsia="en-GB"/>
        </w:rPr>
      </w:pPr>
      <w:r>
        <w:rPr>
          <w:rFonts w:ascii="Arial" w:hAnsi="Arial" w:cs="Arial"/>
          <w:sz w:val="24"/>
          <w:szCs w:val="24"/>
          <w:lang w:eastAsia="en-GB"/>
        </w:rPr>
        <w:lastRenderedPageBreak/>
        <w:t xml:space="preserve">Included in the </w:t>
      </w:r>
      <w:r w:rsidR="00F92A7F" w:rsidRPr="00F92A7F">
        <w:rPr>
          <w:rFonts w:ascii="Arial" w:hAnsi="Arial" w:cs="Arial"/>
          <w:sz w:val="24"/>
          <w:szCs w:val="24"/>
          <w:lang w:eastAsia="en-GB"/>
        </w:rPr>
        <w:t xml:space="preserve">Order land </w:t>
      </w:r>
      <w:r>
        <w:rPr>
          <w:rFonts w:ascii="Arial" w:hAnsi="Arial" w:cs="Arial"/>
          <w:sz w:val="24"/>
          <w:szCs w:val="24"/>
          <w:lang w:eastAsia="en-GB"/>
        </w:rPr>
        <w:t xml:space="preserve">are </w:t>
      </w:r>
      <w:r w:rsidR="003F5AE0">
        <w:rPr>
          <w:rFonts w:ascii="Arial" w:hAnsi="Arial" w:cs="Arial"/>
          <w:sz w:val="24"/>
          <w:szCs w:val="24"/>
          <w:lang w:eastAsia="en-GB"/>
        </w:rPr>
        <w:t xml:space="preserve">the </w:t>
      </w:r>
      <w:r w:rsidR="00970423" w:rsidRPr="00F92A7F">
        <w:rPr>
          <w:rFonts w:ascii="Arial" w:hAnsi="Arial" w:cs="Arial"/>
          <w:sz w:val="24"/>
          <w:szCs w:val="24"/>
          <w:lang w:eastAsia="en-GB"/>
        </w:rPr>
        <w:t>privately-owned</w:t>
      </w:r>
      <w:r w:rsidR="00F92A7F" w:rsidRPr="00F92A7F">
        <w:rPr>
          <w:rFonts w:ascii="Arial" w:hAnsi="Arial" w:cs="Arial"/>
          <w:sz w:val="24"/>
          <w:szCs w:val="24"/>
          <w:lang w:eastAsia="en-GB"/>
        </w:rPr>
        <w:t xml:space="preserve"> </w:t>
      </w:r>
      <w:r>
        <w:rPr>
          <w:rFonts w:ascii="Arial" w:hAnsi="Arial" w:cs="Arial"/>
          <w:sz w:val="24"/>
          <w:szCs w:val="24"/>
          <w:lang w:eastAsia="en-GB"/>
        </w:rPr>
        <w:t xml:space="preserve">residential </w:t>
      </w:r>
      <w:r w:rsidR="00F92A7F" w:rsidRPr="00F92A7F">
        <w:rPr>
          <w:rFonts w:ascii="Arial" w:hAnsi="Arial" w:cs="Arial"/>
          <w:sz w:val="24"/>
          <w:szCs w:val="24"/>
          <w:lang w:eastAsia="en-GB"/>
        </w:rPr>
        <w:t>propert</w:t>
      </w:r>
      <w:r>
        <w:rPr>
          <w:rFonts w:ascii="Arial" w:hAnsi="Arial" w:cs="Arial"/>
          <w:sz w:val="24"/>
          <w:szCs w:val="24"/>
          <w:lang w:eastAsia="en-GB"/>
        </w:rPr>
        <w:t>ies</w:t>
      </w:r>
      <w:r w:rsidR="00F92A7F" w:rsidRPr="00F92A7F">
        <w:rPr>
          <w:rFonts w:ascii="Arial" w:hAnsi="Arial" w:cs="Arial"/>
          <w:sz w:val="24"/>
          <w:szCs w:val="24"/>
          <w:lang w:eastAsia="en-GB"/>
        </w:rPr>
        <w:t xml:space="preserve"> located at:</w:t>
      </w:r>
    </w:p>
    <w:p w14:paraId="3E820DD8" w14:textId="77777777" w:rsidR="0016722F" w:rsidRDefault="0016722F" w:rsidP="00F92A7F">
      <w:pPr>
        <w:pStyle w:val="NoSpacing"/>
        <w:ind w:left="540"/>
        <w:jc w:val="both"/>
        <w:rPr>
          <w:rFonts w:ascii="Arial" w:hAnsi="Arial" w:cs="Arial"/>
          <w:sz w:val="24"/>
          <w:szCs w:val="24"/>
          <w:lang w:eastAsia="en-GB"/>
        </w:rPr>
      </w:pPr>
    </w:p>
    <w:p w14:paraId="2FDC7AF0" w14:textId="6BB22DEB" w:rsidR="00D84BD7" w:rsidRPr="0016722F" w:rsidRDefault="00D84BD7" w:rsidP="00D84BD7">
      <w:pPr>
        <w:pStyle w:val="NoSpacing"/>
        <w:ind w:left="540"/>
        <w:jc w:val="both"/>
        <w:rPr>
          <w:rFonts w:ascii="Arial" w:hAnsi="Arial" w:cs="Arial"/>
          <w:sz w:val="24"/>
          <w:szCs w:val="24"/>
          <w:lang w:eastAsia="en-GB"/>
        </w:rPr>
      </w:pPr>
      <w:bookmarkStart w:id="3" w:name="_Hlk65575999"/>
      <w:r w:rsidRPr="0016722F">
        <w:rPr>
          <w:rFonts w:ascii="Arial" w:hAnsi="Arial" w:cs="Arial"/>
          <w:sz w:val="24"/>
          <w:szCs w:val="24"/>
          <w:lang w:eastAsia="en-GB"/>
        </w:rPr>
        <w:t>59 Gildas Avenue</w:t>
      </w:r>
      <w:r>
        <w:rPr>
          <w:rFonts w:ascii="Arial" w:hAnsi="Arial" w:cs="Arial"/>
          <w:sz w:val="24"/>
          <w:szCs w:val="24"/>
          <w:lang w:eastAsia="en-GB"/>
        </w:rPr>
        <w:t xml:space="preserve"> – </w:t>
      </w:r>
      <w:r w:rsidRPr="00E86F58">
        <w:rPr>
          <w:rFonts w:ascii="Arial" w:hAnsi="Arial" w:cs="Arial"/>
          <w:sz w:val="24"/>
          <w:szCs w:val="24"/>
        </w:rPr>
        <w:t>2 storey 4 bed</w:t>
      </w:r>
      <w:r>
        <w:rPr>
          <w:rFonts w:ascii="Arial" w:hAnsi="Arial" w:cs="Arial"/>
          <w:sz w:val="24"/>
          <w:szCs w:val="24"/>
        </w:rPr>
        <w:t>room</w:t>
      </w:r>
      <w:r w:rsidRPr="00E86F58">
        <w:rPr>
          <w:rFonts w:ascii="Arial" w:hAnsi="Arial" w:cs="Arial"/>
          <w:sz w:val="24"/>
          <w:szCs w:val="24"/>
        </w:rPr>
        <w:t xml:space="preserve"> </w:t>
      </w:r>
      <w:r w:rsidR="00A054E4" w:rsidRPr="00E86F58">
        <w:rPr>
          <w:rFonts w:ascii="Arial" w:hAnsi="Arial" w:cs="Arial"/>
          <w:sz w:val="24"/>
          <w:szCs w:val="24"/>
        </w:rPr>
        <w:t>semi-detached</w:t>
      </w:r>
      <w:r w:rsidRPr="00E86F58">
        <w:rPr>
          <w:rFonts w:ascii="Arial" w:hAnsi="Arial" w:cs="Arial"/>
          <w:sz w:val="24"/>
          <w:szCs w:val="24"/>
        </w:rPr>
        <w:t xml:space="preserve"> h</w:t>
      </w:r>
      <w:r w:rsidRPr="00E86F58">
        <w:rPr>
          <w:rFonts w:ascii="Arial" w:hAnsi="Arial" w:cs="Arial"/>
          <w:sz w:val="24"/>
          <w:szCs w:val="24"/>
          <w:lang w:eastAsia="en-GB"/>
        </w:rPr>
        <w:t>ouse</w:t>
      </w:r>
    </w:p>
    <w:p w14:paraId="3865098D" w14:textId="77777777" w:rsidR="00D84BD7" w:rsidRPr="00067405" w:rsidRDefault="00D84BD7" w:rsidP="00D84BD7">
      <w:pPr>
        <w:pStyle w:val="NoSpacing"/>
        <w:ind w:left="540"/>
        <w:jc w:val="both"/>
        <w:rPr>
          <w:rFonts w:ascii="Arial" w:hAnsi="Arial" w:cs="Arial"/>
          <w:sz w:val="24"/>
          <w:szCs w:val="24"/>
          <w:lang w:eastAsia="en-GB"/>
        </w:rPr>
      </w:pPr>
      <w:r w:rsidRPr="00067405">
        <w:rPr>
          <w:rFonts w:ascii="Arial" w:hAnsi="Arial" w:cs="Arial"/>
          <w:sz w:val="24"/>
          <w:szCs w:val="24"/>
          <w:lang w:eastAsia="en-GB"/>
        </w:rPr>
        <w:t>90 Sisefield Road</w:t>
      </w:r>
      <w:r>
        <w:rPr>
          <w:rFonts w:ascii="Arial" w:hAnsi="Arial" w:cs="Arial"/>
          <w:sz w:val="24"/>
          <w:szCs w:val="24"/>
          <w:lang w:eastAsia="en-GB"/>
        </w:rPr>
        <w:t xml:space="preserve"> – first floor 3 bedroom flat</w:t>
      </w:r>
    </w:p>
    <w:p w14:paraId="172C4130" w14:textId="77777777" w:rsidR="00D84BD7" w:rsidRPr="00067405" w:rsidRDefault="00D84BD7" w:rsidP="00D84BD7">
      <w:pPr>
        <w:pStyle w:val="NoSpacing"/>
        <w:ind w:left="540"/>
        <w:jc w:val="both"/>
        <w:rPr>
          <w:rFonts w:ascii="Arial" w:hAnsi="Arial" w:cs="Arial"/>
          <w:sz w:val="24"/>
          <w:szCs w:val="24"/>
          <w:lang w:eastAsia="en-GB"/>
        </w:rPr>
      </w:pPr>
      <w:r w:rsidRPr="00067405">
        <w:rPr>
          <w:rFonts w:ascii="Arial" w:hAnsi="Arial" w:cs="Arial"/>
          <w:sz w:val="24"/>
          <w:szCs w:val="24"/>
          <w:lang w:eastAsia="en-GB"/>
        </w:rPr>
        <w:t>92 Sisefield Road</w:t>
      </w:r>
      <w:r>
        <w:rPr>
          <w:rFonts w:ascii="Arial" w:hAnsi="Arial" w:cs="Arial"/>
          <w:sz w:val="24"/>
          <w:szCs w:val="24"/>
          <w:lang w:eastAsia="en-GB"/>
        </w:rPr>
        <w:t xml:space="preserve"> – ground floor 3 bedroom flat</w:t>
      </w:r>
    </w:p>
    <w:p w14:paraId="17CD958C" w14:textId="77777777" w:rsidR="00D84BD7" w:rsidRDefault="00D84BD7" w:rsidP="00D84BD7">
      <w:pPr>
        <w:pStyle w:val="NoSpacing"/>
        <w:ind w:left="540"/>
        <w:jc w:val="both"/>
        <w:rPr>
          <w:rFonts w:ascii="Arial" w:hAnsi="Arial" w:cs="Arial"/>
          <w:sz w:val="24"/>
          <w:szCs w:val="24"/>
          <w:lang w:eastAsia="en-GB"/>
        </w:rPr>
      </w:pPr>
      <w:r w:rsidRPr="00515454">
        <w:rPr>
          <w:rFonts w:ascii="Arial" w:hAnsi="Arial" w:cs="Arial"/>
          <w:sz w:val="24"/>
          <w:szCs w:val="24"/>
          <w:lang w:eastAsia="en-GB"/>
        </w:rPr>
        <w:t>37 Hillmeads Road</w:t>
      </w:r>
      <w:r>
        <w:rPr>
          <w:rFonts w:ascii="Arial" w:hAnsi="Arial" w:cs="Arial"/>
          <w:sz w:val="24"/>
          <w:szCs w:val="24"/>
          <w:lang w:eastAsia="en-GB"/>
        </w:rPr>
        <w:t xml:space="preserve"> –first floor 3 bedroom flat</w:t>
      </w:r>
    </w:p>
    <w:p w14:paraId="44EEDDCC" w14:textId="481415A8" w:rsidR="00D84BD7" w:rsidRPr="00515454" w:rsidRDefault="00D84BD7" w:rsidP="00D84BD7">
      <w:pPr>
        <w:pStyle w:val="NoSpacing"/>
        <w:ind w:left="540"/>
        <w:jc w:val="both"/>
        <w:rPr>
          <w:rFonts w:ascii="Arial" w:hAnsi="Arial" w:cs="Arial"/>
          <w:sz w:val="24"/>
          <w:szCs w:val="24"/>
          <w:lang w:eastAsia="en-GB"/>
        </w:rPr>
      </w:pPr>
      <w:r>
        <w:rPr>
          <w:rFonts w:ascii="Arial" w:hAnsi="Arial" w:cs="Arial"/>
          <w:sz w:val="24"/>
          <w:szCs w:val="24"/>
          <w:lang w:eastAsia="en-GB"/>
        </w:rPr>
        <w:t>63 Hillmeads Road – first floor 3 bedroom flat</w:t>
      </w:r>
    </w:p>
    <w:p w14:paraId="1ABFAEF5" w14:textId="03B41033" w:rsidR="00D84BD7" w:rsidRDefault="00D84BD7" w:rsidP="00D84BD7">
      <w:pPr>
        <w:pStyle w:val="NoSpacing"/>
        <w:ind w:left="540"/>
        <w:jc w:val="both"/>
        <w:rPr>
          <w:rFonts w:ascii="Arial" w:hAnsi="Arial" w:cs="Arial"/>
          <w:sz w:val="24"/>
          <w:szCs w:val="24"/>
          <w:lang w:eastAsia="en-GB"/>
        </w:rPr>
      </w:pPr>
      <w:r w:rsidRPr="00067405">
        <w:rPr>
          <w:rFonts w:ascii="Arial" w:hAnsi="Arial" w:cs="Arial"/>
          <w:sz w:val="24"/>
          <w:szCs w:val="24"/>
          <w:lang w:eastAsia="en-GB"/>
        </w:rPr>
        <w:t>7 Arrow Walk</w:t>
      </w:r>
      <w:r>
        <w:rPr>
          <w:rFonts w:ascii="Arial" w:hAnsi="Arial" w:cs="Arial"/>
          <w:sz w:val="24"/>
          <w:szCs w:val="24"/>
          <w:lang w:eastAsia="en-GB"/>
        </w:rPr>
        <w:t xml:space="preserve"> – ground floor 3 bedroom flat</w:t>
      </w:r>
    </w:p>
    <w:p w14:paraId="2DDE2BE7" w14:textId="1A3752DA" w:rsidR="00AC6C26" w:rsidRDefault="00AC6C26" w:rsidP="00D84BD7">
      <w:pPr>
        <w:pStyle w:val="NoSpacing"/>
        <w:ind w:left="540"/>
        <w:jc w:val="both"/>
        <w:rPr>
          <w:rFonts w:ascii="Arial" w:hAnsi="Arial" w:cs="Arial"/>
          <w:sz w:val="24"/>
          <w:szCs w:val="24"/>
          <w:lang w:eastAsia="en-GB"/>
        </w:rPr>
      </w:pPr>
      <w:r>
        <w:rPr>
          <w:rFonts w:ascii="Arial" w:hAnsi="Arial" w:cs="Arial"/>
          <w:sz w:val="24"/>
          <w:szCs w:val="24"/>
          <w:lang w:eastAsia="en-GB"/>
        </w:rPr>
        <w:t xml:space="preserve">1 Hillmeads Road </w:t>
      </w:r>
      <w:r w:rsidR="00251FC1">
        <w:rPr>
          <w:rFonts w:ascii="Arial" w:hAnsi="Arial" w:cs="Arial"/>
          <w:sz w:val="24"/>
          <w:szCs w:val="24"/>
          <w:lang w:eastAsia="en-GB"/>
        </w:rPr>
        <w:t>– first floor 3 bedroom flat</w:t>
      </w:r>
    </w:p>
    <w:p w14:paraId="0F3A9DC5" w14:textId="4CAFB134" w:rsidR="00AC6C26" w:rsidRDefault="00AC6C26" w:rsidP="00D84BD7">
      <w:pPr>
        <w:pStyle w:val="NoSpacing"/>
        <w:ind w:left="540"/>
        <w:jc w:val="both"/>
        <w:rPr>
          <w:rFonts w:ascii="Arial" w:hAnsi="Arial" w:cs="Arial"/>
          <w:sz w:val="24"/>
          <w:szCs w:val="24"/>
          <w:lang w:eastAsia="en-GB"/>
        </w:rPr>
      </w:pPr>
      <w:r>
        <w:rPr>
          <w:rFonts w:ascii="Arial" w:hAnsi="Arial" w:cs="Arial"/>
          <w:sz w:val="24"/>
          <w:szCs w:val="24"/>
          <w:lang w:eastAsia="en-GB"/>
        </w:rPr>
        <w:t xml:space="preserve">105 Walkers Heath Road </w:t>
      </w:r>
      <w:r w:rsidR="00251FC1">
        <w:rPr>
          <w:rFonts w:ascii="Arial" w:hAnsi="Arial" w:cs="Arial"/>
          <w:sz w:val="24"/>
          <w:szCs w:val="24"/>
          <w:lang w:eastAsia="en-GB"/>
        </w:rPr>
        <w:t>–</w:t>
      </w:r>
      <w:r>
        <w:rPr>
          <w:rFonts w:ascii="Arial" w:hAnsi="Arial" w:cs="Arial"/>
          <w:sz w:val="24"/>
          <w:szCs w:val="24"/>
          <w:lang w:eastAsia="en-GB"/>
        </w:rPr>
        <w:t xml:space="preserve"> </w:t>
      </w:r>
      <w:r w:rsidR="00251FC1">
        <w:rPr>
          <w:rFonts w:ascii="Arial" w:hAnsi="Arial" w:cs="Arial"/>
          <w:sz w:val="24"/>
          <w:szCs w:val="24"/>
          <w:lang w:eastAsia="en-GB"/>
        </w:rPr>
        <w:t>first floor 3 bedroom flat</w:t>
      </w:r>
      <w:r>
        <w:rPr>
          <w:rFonts w:ascii="Arial" w:hAnsi="Arial" w:cs="Arial"/>
          <w:sz w:val="24"/>
          <w:szCs w:val="24"/>
          <w:lang w:eastAsia="en-GB"/>
        </w:rPr>
        <w:t xml:space="preserve"> </w:t>
      </w:r>
    </w:p>
    <w:p w14:paraId="0B2DF973" w14:textId="7DC77748" w:rsidR="00544DC5" w:rsidRDefault="00544DC5" w:rsidP="00D84BD7">
      <w:pPr>
        <w:pStyle w:val="NoSpacing"/>
        <w:ind w:left="540"/>
        <w:jc w:val="both"/>
        <w:rPr>
          <w:rFonts w:ascii="Arial" w:hAnsi="Arial" w:cs="Arial"/>
          <w:sz w:val="24"/>
          <w:szCs w:val="24"/>
          <w:lang w:eastAsia="en-GB"/>
        </w:rPr>
      </w:pPr>
    </w:p>
    <w:bookmarkEnd w:id="3"/>
    <w:p w14:paraId="65D4BCFD" w14:textId="77777777" w:rsidR="000B3DFB" w:rsidRDefault="000B3DFB" w:rsidP="00F92A7F">
      <w:pPr>
        <w:pStyle w:val="NoSpacing"/>
        <w:ind w:left="540"/>
        <w:jc w:val="both"/>
        <w:rPr>
          <w:rFonts w:ascii="Arial" w:hAnsi="Arial" w:cs="Arial"/>
          <w:sz w:val="24"/>
          <w:szCs w:val="24"/>
          <w:lang w:eastAsia="en-GB"/>
        </w:rPr>
      </w:pPr>
    </w:p>
    <w:p w14:paraId="02CCD51C" w14:textId="65BD3A77" w:rsidR="00072C7B" w:rsidRPr="00020D99" w:rsidRDefault="00072C7B" w:rsidP="00072C7B">
      <w:pPr>
        <w:pStyle w:val="ListParagraph"/>
        <w:numPr>
          <w:ilvl w:val="1"/>
          <w:numId w:val="3"/>
        </w:numPr>
        <w:jc w:val="both"/>
        <w:rPr>
          <w:rFonts w:ascii="Arial" w:hAnsi="Arial" w:cs="Arial"/>
          <w:i/>
          <w:sz w:val="24"/>
          <w:szCs w:val="24"/>
        </w:rPr>
      </w:pPr>
      <w:r w:rsidRPr="00302B83">
        <w:rPr>
          <w:rFonts w:ascii="Arial" w:hAnsi="Arial" w:cs="Arial"/>
          <w:sz w:val="24"/>
          <w:szCs w:val="24"/>
        </w:rPr>
        <w:t xml:space="preserve">Full details of the order land are given in the </w:t>
      </w:r>
      <w:r w:rsidRPr="00020D99">
        <w:rPr>
          <w:rFonts w:ascii="Arial" w:hAnsi="Arial" w:cs="Arial"/>
          <w:sz w:val="24"/>
          <w:szCs w:val="24"/>
        </w:rPr>
        <w:t xml:space="preserve">Order Schedule and </w:t>
      </w:r>
      <w:r w:rsidR="00BD00EC" w:rsidRPr="00020D99">
        <w:rPr>
          <w:rFonts w:ascii="Arial" w:hAnsi="Arial" w:cs="Arial"/>
          <w:sz w:val="24"/>
          <w:szCs w:val="24"/>
        </w:rPr>
        <w:t xml:space="preserve">Order </w:t>
      </w:r>
      <w:r w:rsidR="008760A3" w:rsidRPr="00020D99">
        <w:rPr>
          <w:rFonts w:ascii="Arial" w:hAnsi="Arial" w:cs="Arial"/>
          <w:sz w:val="24"/>
          <w:szCs w:val="24"/>
        </w:rPr>
        <w:t>Map BCC</w:t>
      </w:r>
      <w:r w:rsidR="00251FC1" w:rsidRPr="00020D99">
        <w:rPr>
          <w:rFonts w:ascii="Arial" w:hAnsi="Arial" w:cs="Arial"/>
          <w:sz w:val="24"/>
          <w:szCs w:val="24"/>
        </w:rPr>
        <w:t>2 and BCC3</w:t>
      </w:r>
      <w:r w:rsidRPr="00020D99">
        <w:rPr>
          <w:rFonts w:ascii="Arial" w:hAnsi="Arial" w:cs="Arial"/>
          <w:sz w:val="24"/>
          <w:szCs w:val="24"/>
        </w:rPr>
        <w:t>.</w:t>
      </w:r>
    </w:p>
    <w:p w14:paraId="34B92AFB" w14:textId="6D6B45A9" w:rsidR="007F1A06" w:rsidRDefault="00F92A7F" w:rsidP="007F1A06">
      <w:pPr>
        <w:pStyle w:val="NoSpacing"/>
        <w:numPr>
          <w:ilvl w:val="1"/>
          <w:numId w:val="3"/>
        </w:numPr>
        <w:jc w:val="both"/>
        <w:rPr>
          <w:rFonts w:ascii="Arial" w:hAnsi="Arial" w:cs="Arial"/>
          <w:sz w:val="24"/>
          <w:szCs w:val="24"/>
        </w:rPr>
      </w:pPr>
      <w:r w:rsidRPr="00F92A7F">
        <w:rPr>
          <w:rFonts w:ascii="Arial" w:hAnsi="Arial" w:cs="Arial"/>
          <w:sz w:val="24"/>
          <w:szCs w:val="24"/>
          <w:lang w:eastAsia="en-GB"/>
        </w:rPr>
        <w:t xml:space="preserve">The </w:t>
      </w:r>
      <w:r w:rsidR="00AC6C26">
        <w:rPr>
          <w:rFonts w:ascii="Arial" w:hAnsi="Arial" w:cs="Arial"/>
          <w:sz w:val="24"/>
          <w:szCs w:val="24"/>
          <w:lang w:eastAsia="en-GB"/>
        </w:rPr>
        <w:t>8</w:t>
      </w:r>
      <w:r w:rsidRPr="00F92A7F">
        <w:rPr>
          <w:rFonts w:ascii="Arial" w:hAnsi="Arial" w:cs="Arial"/>
          <w:sz w:val="24"/>
          <w:szCs w:val="24"/>
          <w:lang w:eastAsia="en-GB"/>
        </w:rPr>
        <w:t xml:space="preserve"> properties </w:t>
      </w:r>
      <w:r w:rsidR="00072C7B">
        <w:rPr>
          <w:rFonts w:ascii="Arial" w:hAnsi="Arial" w:cs="Arial"/>
          <w:sz w:val="24"/>
          <w:szCs w:val="24"/>
          <w:lang w:eastAsia="en-GB"/>
        </w:rPr>
        <w:t xml:space="preserve">were originally built and managed by </w:t>
      </w:r>
      <w:r w:rsidR="007239B8">
        <w:rPr>
          <w:rFonts w:ascii="Arial" w:hAnsi="Arial" w:cs="Arial"/>
          <w:sz w:val="24"/>
          <w:szCs w:val="24"/>
          <w:lang w:eastAsia="en-GB"/>
        </w:rPr>
        <w:t xml:space="preserve">the </w:t>
      </w:r>
      <w:r w:rsidRPr="00F92A7F">
        <w:rPr>
          <w:rFonts w:ascii="Arial" w:hAnsi="Arial" w:cs="Arial"/>
          <w:sz w:val="24"/>
          <w:szCs w:val="24"/>
          <w:lang w:eastAsia="en-GB"/>
        </w:rPr>
        <w:t>Council</w:t>
      </w:r>
      <w:r w:rsidR="007239B8">
        <w:rPr>
          <w:rFonts w:ascii="Arial" w:hAnsi="Arial" w:cs="Arial"/>
          <w:sz w:val="24"/>
          <w:szCs w:val="24"/>
          <w:lang w:eastAsia="en-GB"/>
        </w:rPr>
        <w:t xml:space="preserve"> but are now</w:t>
      </w:r>
      <w:r w:rsidRPr="00F92A7F">
        <w:rPr>
          <w:rFonts w:ascii="Arial" w:hAnsi="Arial" w:cs="Arial"/>
          <w:sz w:val="24"/>
          <w:szCs w:val="24"/>
          <w:lang w:eastAsia="en-GB"/>
        </w:rPr>
        <w:t xml:space="preserve"> owned </w:t>
      </w:r>
      <w:r w:rsidR="00BA7914">
        <w:rPr>
          <w:rFonts w:ascii="Arial" w:hAnsi="Arial" w:cs="Arial"/>
          <w:sz w:val="24"/>
          <w:szCs w:val="24"/>
          <w:lang w:eastAsia="en-GB"/>
        </w:rPr>
        <w:t xml:space="preserve">privately or </w:t>
      </w:r>
      <w:r w:rsidR="007239B8">
        <w:rPr>
          <w:rFonts w:ascii="Arial" w:hAnsi="Arial" w:cs="Arial"/>
          <w:sz w:val="24"/>
          <w:szCs w:val="24"/>
          <w:lang w:eastAsia="en-GB"/>
        </w:rPr>
        <w:t>by</w:t>
      </w:r>
      <w:r w:rsidRPr="00F92A7F">
        <w:rPr>
          <w:rFonts w:ascii="Arial" w:hAnsi="Arial" w:cs="Arial"/>
          <w:sz w:val="24"/>
          <w:szCs w:val="24"/>
          <w:lang w:eastAsia="en-GB"/>
        </w:rPr>
        <w:t xml:space="preserve"> </w:t>
      </w:r>
      <w:r w:rsidR="007239B8">
        <w:rPr>
          <w:rFonts w:ascii="Arial" w:hAnsi="Arial" w:cs="Arial"/>
          <w:sz w:val="24"/>
          <w:szCs w:val="24"/>
          <w:lang w:eastAsia="en-GB"/>
        </w:rPr>
        <w:t xml:space="preserve">the </w:t>
      </w:r>
      <w:r w:rsidRPr="00F92A7F">
        <w:rPr>
          <w:rFonts w:ascii="Arial" w:hAnsi="Arial" w:cs="Arial"/>
          <w:sz w:val="24"/>
          <w:szCs w:val="24"/>
          <w:lang w:eastAsia="en-GB"/>
        </w:rPr>
        <w:t xml:space="preserve">sitting tenants </w:t>
      </w:r>
      <w:r w:rsidR="007239B8">
        <w:rPr>
          <w:rFonts w:ascii="Arial" w:hAnsi="Arial" w:cs="Arial"/>
          <w:sz w:val="24"/>
          <w:szCs w:val="24"/>
          <w:lang w:eastAsia="en-GB"/>
        </w:rPr>
        <w:t xml:space="preserve">who </w:t>
      </w:r>
      <w:r w:rsidRPr="00F92A7F">
        <w:rPr>
          <w:rFonts w:ascii="Arial" w:hAnsi="Arial" w:cs="Arial"/>
          <w:sz w:val="24"/>
          <w:szCs w:val="24"/>
          <w:lang w:eastAsia="en-GB"/>
        </w:rPr>
        <w:t xml:space="preserve">have exercised the Right to Buy. All the properties are low rise flats apart from 59 Gildas Avenue which is a single dwelling </w:t>
      </w:r>
      <w:r w:rsidR="004557D7">
        <w:rPr>
          <w:rFonts w:ascii="Arial" w:hAnsi="Arial" w:cs="Arial"/>
          <w:sz w:val="24"/>
          <w:szCs w:val="24"/>
          <w:lang w:eastAsia="en-GB"/>
        </w:rPr>
        <w:t>four</w:t>
      </w:r>
      <w:r w:rsidR="00251FC1">
        <w:rPr>
          <w:rFonts w:ascii="Arial" w:hAnsi="Arial" w:cs="Arial"/>
          <w:sz w:val="24"/>
          <w:szCs w:val="24"/>
          <w:lang w:eastAsia="en-GB"/>
        </w:rPr>
        <w:t>-</w:t>
      </w:r>
      <w:r w:rsidR="004557D7">
        <w:rPr>
          <w:rFonts w:ascii="Arial" w:hAnsi="Arial" w:cs="Arial"/>
          <w:sz w:val="24"/>
          <w:szCs w:val="24"/>
          <w:lang w:eastAsia="en-GB"/>
        </w:rPr>
        <w:t xml:space="preserve">bedroom </w:t>
      </w:r>
      <w:r w:rsidRPr="00F92A7F">
        <w:rPr>
          <w:rFonts w:ascii="Arial" w:hAnsi="Arial" w:cs="Arial"/>
          <w:sz w:val="24"/>
          <w:szCs w:val="24"/>
          <w:lang w:eastAsia="en-GB"/>
        </w:rPr>
        <w:t xml:space="preserve">house. </w:t>
      </w:r>
      <w:r w:rsidR="00544DC5">
        <w:rPr>
          <w:rFonts w:ascii="Arial" w:hAnsi="Arial" w:cs="Arial"/>
          <w:sz w:val="24"/>
          <w:szCs w:val="24"/>
          <w:lang w:eastAsia="en-GB"/>
        </w:rPr>
        <w:t xml:space="preserve">Photographs of the order properties </w:t>
      </w:r>
      <w:r w:rsidR="00020D99">
        <w:rPr>
          <w:rFonts w:ascii="Arial" w:hAnsi="Arial" w:cs="Arial"/>
          <w:sz w:val="24"/>
          <w:szCs w:val="24"/>
          <w:lang w:eastAsia="en-GB"/>
        </w:rPr>
        <w:t>are contained in BCC 22.</w:t>
      </w:r>
      <w:r w:rsidRPr="00F92A7F">
        <w:rPr>
          <w:rFonts w:ascii="Arial" w:hAnsi="Arial" w:cs="Arial"/>
          <w:sz w:val="24"/>
          <w:szCs w:val="24"/>
          <w:lang w:eastAsia="en-GB"/>
        </w:rPr>
        <w:t xml:space="preserve">   </w:t>
      </w:r>
    </w:p>
    <w:p w14:paraId="69850BF2" w14:textId="77777777" w:rsidR="007F1A06" w:rsidRDefault="007F1A06" w:rsidP="007F1A06">
      <w:pPr>
        <w:pStyle w:val="NoSpacing"/>
        <w:jc w:val="both"/>
      </w:pPr>
    </w:p>
    <w:p w14:paraId="3BC57F32" w14:textId="7159A504" w:rsidR="00403256" w:rsidRDefault="00F92A7F" w:rsidP="00D32538">
      <w:pPr>
        <w:pStyle w:val="NoSpacing"/>
        <w:numPr>
          <w:ilvl w:val="1"/>
          <w:numId w:val="3"/>
        </w:numPr>
        <w:jc w:val="both"/>
        <w:rPr>
          <w:rFonts w:ascii="Arial" w:hAnsi="Arial" w:cs="Arial"/>
          <w:sz w:val="24"/>
          <w:szCs w:val="24"/>
        </w:rPr>
      </w:pPr>
      <w:r w:rsidRPr="00403256">
        <w:rPr>
          <w:rFonts w:ascii="Arial" w:hAnsi="Arial" w:cs="Arial"/>
          <w:sz w:val="24"/>
          <w:szCs w:val="24"/>
        </w:rPr>
        <w:t xml:space="preserve">The 2017 Clearance report approved the demolition of </w:t>
      </w:r>
      <w:r w:rsidR="00D91682" w:rsidRPr="00403256">
        <w:rPr>
          <w:rFonts w:ascii="Arial" w:hAnsi="Arial" w:cs="Arial"/>
          <w:sz w:val="24"/>
          <w:szCs w:val="24"/>
        </w:rPr>
        <w:t xml:space="preserve">240 Low Rise flats and </w:t>
      </w:r>
      <w:r w:rsidR="00D84BD7">
        <w:rPr>
          <w:rFonts w:ascii="Arial" w:hAnsi="Arial" w:cs="Arial"/>
          <w:sz w:val="24"/>
          <w:szCs w:val="24"/>
        </w:rPr>
        <w:t xml:space="preserve">houses including </w:t>
      </w:r>
      <w:r w:rsidR="00D91682" w:rsidRPr="00403256">
        <w:rPr>
          <w:rFonts w:ascii="Arial" w:hAnsi="Arial" w:cs="Arial"/>
          <w:sz w:val="24"/>
          <w:szCs w:val="24"/>
        </w:rPr>
        <w:t>11 owner occupied properties on the Pool Farm estate. These properties were identified as being financially unviable as they are of non</w:t>
      </w:r>
      <w:r w:rsidR="004557D7">
        <w:rPr>
          <w:rFonts w:ascii="Arial" w:hAnsi="Arial" w:cs="Arial"/>
          <w:sz w:val="24"/>
          <w:szCs w:val="24"/>
        </w:rPr>
        <w:t>-</w:t>
      </w:r>
      <w:r w:rsidR="00D91682" w:rsidRPr="00403256">
        <w:rPr>
          <w:rFonts w:ascii="Arial" w:hAnsi="Arial" w:cs="Arial"/>
          <w:sz w:val="24"/>
          <w:szCs w:val="24"/>
        </w:rPr>
        <w:t xml:space="preserve">traditional construction with them </w:t>
      </w:r>
      <w:r w:rsidR="008760A3" w:rsidRPr="00403256">
        <w:rPr>
          <w:rFonts w:ascii="Arial" w:hAnsi="Arial" w:cs="Arial"/>
          <w:sz w:val="24"/>
          <w:szCs w:val="24"/>
        </w:rPr>
        <w:t>suffering the</w:t>
      </w:r>
      <w:r w:rsidR="00D91682" w:rsidRPr="00403256">
        <w:rPr>
          <w:rFonts w:ascii="Arial" w:hAnsi="Arial" w:cs="Arial"/>
          <w:sz w:val="24"/>
          <w:szCs w:val="24"/>
        </w:rPr>
        <w:t xml:space="preserve"> structural issues associated with this type of construction. The four tower blocks situated on Shannon Road housing 167 tenants have been identified as being Large Panel System Blocks (LPS)</w:t>
      </w:r>
      <w:r w:rsidR="00D32538" w:rsidRPr="00403256">
        <w:rPr>
          <w:rFonts w:ascii="Arial" w:hAnsi="Arial" w:cs="Arial"/>
          <w:sz w:val="24"/>
          <w:szCs w:val="24"/>
        </w:rPr>
        <w:t>. These LPS blocks are potentially structurally defective and may require expensive investment works to remedy such structural issues as are identified.</w:t>
      </w:r>
    </w:p>
    <w:p w14:paraId="33E39B2F" w14:textId="77777777" w:rsidR="00403256" w:rsidRPr="00403256" w:rsidRDefault="00403256" w:rsidP="00403256">
      <w:pPr>
        <w:pStyle w:val="NoSpacing"/>
        <w:jc w:val="both"/>
        <w:rPr>
          <w:rFonts w:ascii="Arial" w:hAnsi="Arial" w:cs="Arial"/>
          <w:sz w:val="24"/>
          <w:szCs w:val="24"/>
        </w:rPr>
      </w:pPr>
    </w:p>
    <w:p w14:paraId="302825D2" w14:textId="6BFC613C" w:rsidR="007F1A06" w:rsidRDefault="00D32538" w:rsidP="007F1A06">
      <w:pPr>
        <w:pStyle w:val="NoSpacing"/>
        <w:numPr>
          <w:ilvl w:val="1"/>
          <w:numId w:val="3"/>
        </w:numPr>
        <w:jc w:val="both"/>
        <w:rPr>
          <w:rFonts w:ascii="Arial" w:hAnsi="Arial" w:cs="Arial"/>
          <w:sz w:val="24"/>
          <w:szCs w:val="24"/>
          <w:lang w:eastAsia="en-GB"/>
        </w:rPr>
      </w:pPr>
      <w:r>
        <w:rPr>
          <w:rFonts w:ascii="Arial" w:hAnsi="Arial" w:cs="Arial"/>
          <w:sz w:val="24"/>
          <w:szCs w:val="24"/>
        </w:rPr>
        <w:t>In addition to the structural issues and the significant investment needed in order to bring them up to reasonable living standards the</w:t>
      </w:r>
      <w:r w:rsidR="003F5AE0">
        <w:rPr>
          <w:rFonts w:ascii="Arial" w:hAnsi="Arial" w:cs="Arial"/>
          <w:sz w:val="24"/>
          <w:szCs w:val="24"/>
        </w:rPr>
        <w:t>ir</w:t>
      </w:r>
      <w:r>
        <w:rPr>
          <w:rFonts w:ascii="Arial" w:hAnsi="Arial" w:cs="Arial"/>
          <w:sz w:val="24"/>
          <w:szCs w:val="24"/>
        </w:rPr>
        <w:t xml:space="preserve"> layout and situation do not meet the modern expectations </w:t>
      </w:r>
      <w:r w:rsidR="00B20DB6">
        <w:rPr>
          <w:rFonts w:ascii="Arial" w:hAnsi="Arial" w:cs="Arial"/>
          <w:sz w:val="24"/>
          <w:szCs w:val="24"/>
        </w:rPr>
        <w:t>and</w:t>
      </w:r>
      <w:r>
        <w:rPr>
          <w:rFonts w:ascii="Arial" w:hAnsi="Arial" w:cs="Arial"/>
          <w:sz w:val="24"/>
          <w:szCs w:val="24"/>
        </w:rPr>
        <w:t xml:space="preserve"> aspirations of residents. </w:t>
      </w:r>
      <w:r w:rsidR="007F1A06" w:rsidRPr="001B5F05">
        <w:rPr>
          <w:rFonts w:ascii="Arial" w:hAnsi="Arial" w:cs="Arial"/>
          <w:sz w:val="24"/>
          <w:szCs w:val="24"/>
        </w:rPr>
        <w:t>There are indications of management issues, for example: ongoing problems with abandoned vehicles, dumped rubbish</w:t>
      </w:r>
      <w:r>
        <w:rPr>
          <w:rFonts w:ascii="Arial" w:hAnsi="Arial" w:cs="Arial"/>
          <w:sz w:val="24"/>
          <w:szCs w:val="24"/>
        </w:rPr>
        <w:t xml:space="preserve">, and </w:t>
      </w:r>
      <w:r w:rsidR="00896567">
        <w:rPr>
          <w:rFonts w:ascii="Arial" w:hAnsi="Arial" w:cs="Arial"/>
          <w:sz w:val="24"/>
          <w:szCs w:val="24"/>
        </w:rPr>
        <w:t>anti-social</w:t>
      </w:r>
      <w:r>
        <w:rPr>
          <w:rFonts w:ascii="Arial" w:hAnsi="Arial" w:cs="Arial"/>
          <w:sz w:val="24"/>
          <w:szCs w:val="24"/>
        </w:rPr>
        <w:t xml:space="preserve"> behaviour. These i</w:t>
      </w:r>
      <w:r w:rsidR="007F1A06" w:rsidRPr="001B5F05">
        <w:rPr>
          <w:rFonts w:ascii="Arial" w:hAnsi="Arial" w:cs="Arial"/>
          <w:sz w:val="24"/>
          <w:szCs w:val="24"/>
        </w:rPr>
        <w:t>ssues are a constant drain of various council services</w:t>
      </w:r>
      <w:r w:rsidR="007F1A06">
        <w:rPr>
          <w:rFonts w:ascii="Arial" w:hAnsi="Arial" w:cs="Arial"/>
          <w:sz w:val="24"/>
          <w:szCs w:val="24"/>
        </w:rPr>
        <w:t xml:space="preserve"> and resources.</w:t>
      </w:r>
    </w:p>
    <w:p w14:paraId="0F3FBA24" w14:textId="77777777" w:rsidR="007F1A06" w:rsidRDefault="007F1A06" w:rsidP="007F1A06">
      <w:pPr>
        <w:pStyle w:val="NoSpacing"/>
        <w:jc w:val="both"/>
        <w:rPr>
          <w:lang w:eastAsia="en-GB"/>
        </w:rPr>
      </w:pPr>
    </w:p>
    <w:p w14:paraId="6B917BE7" w14:textId="61872812" w:rsidR="007F1A06" w:rsidRPr="00487959" w:rsidRDefault="007F1A06" w:rsidP="007F1A06">
      <w:pPr>
        <w:pStyle w:val="NoSpacing"/>
        <w:numPr>
          <w:ilvl w:val="1"/>
          <w:numId w:val="3"/>
        </w:numPr>
        <w:jc w:val="both"/>
        <w:rPr>
          <w:rFonts w:ascii="Arial" w:hAnsi="Arial" w:cs="Arial"/>
          <w:sz w:val="24"/>
          <w:szCs w:val="24"/>
          <w:lang w:eastAsia="en-GB"/>
        </w:rPr>
      </w:pPr>
      <w:r w:rsidRPr="00487959">
        <w:rPr>
          <w:rFonts w:ascii="Arial" w:hAnsi="Arial" w:cs="Arial"/>
          <w:sz w:val="24"/>
          <w:szCs w:val="24"/>
        </w:rPr>
        <w:t xml:space="preserve">The estate layout is now considered to be poor in urban design terms, with unsatisfactory relationships between the housing, parking and amenity space. This creates a lack of ownership resulting in the misuse of the environment and a feeling of dereliction &amp; reduced personal safety. </w:t>
      </w:r>
      <w:r w:rsidR="00D32538" w:rsidRPr="00487959">
        <w:rPr>
          <w:rFonts w:ascii="Arial" w:hAnsi="Arial" w:cs="Arial"/>
          <w:sz w:val="24"/>
          <w:szCs w:val="24"/>
        </w:rPr>
        <w:t xml:space="preserve">There are a number of interconnecting walkways between roads which are </w:t>
      </w:r>
      <w:r w:rsidR="00607186" w:rsidRPr="00487959">
        <w:rPr>
          <w:rFonts w:ascii="Arial" w:hAnsi="Arial" w:cs="Arial"/>
          <w:sz w:val="24"/>
          <w:szCs w:val="24"/>
        </w:rPr>
        <w:t xml:space="preserve">enclosed and </w:t>
      </w:r>
      <w:r w:rsidR="00D32538" w:rsidRPr="00487959">
        <w:rPr>
          <w:rFonts w:ascii="Arial" w:hAnsi="Arial" w:cs="Arial"/>
          <w:sz w:val="24"/>
          <w:szCs w:val="24"/>
        </w:rPr>
        <w:t xml:space="preserve">not well lit </w:t>
      </w:r>
      <w:r w:rsidR="00607186" w:rsidRPr="00487959">
        <w:rPr>
          <w:rFonts w:ascii="Arial" w:hAnsi="Arial" w:cs="Arial"/>
          <w:sz w:val="24"/>
          <w:szCs w:val="24"/>
        </w:rPr>
        <w:t xml:space="preserve">which </w:t>
      </w:r>
      <w:r w:rsidR="00D32538" w:rsidRPr="00487959">
        <w:rPr>
          <w:rFonts w:ascii="Arial" w:hAnsi="Arial" w:cs="Arial"/>
          <w:sz w:val="24"/>
          <w:szCs w:val="24"/>
        </w:rPr>
        <w:t>encourage</w:t>
      </w:r>
      <w:r w:rsidR="00607186" w:rsidRPr="00487959">
        <w:rPr>
          <w:rFonts w:ascii="Arial" w:hAnsi="Arial" w:cs="Arial"/>
          <w:sz w:val="24"/>
          <w:szCs w:val="24"/>
        </w:rPr>
        <w:t>s</w:t>
      </w:r>
      <w:r w:rsidR="00D32538" w:rsidRPr="00487959">
        <w:rPr>
          <w:rFonts w:ascii="Arial" w:hAnsi="Arial" w:cs="Arial"/>
          <w:sz w:val="24"/>
          <w:szCs w:val="24"/>
        </w:rPr>
        <w:t xml:space="preserve"> criminal activity. </w:t>
      </w:r>
    </w:p>
    <w:p w14:paraId="2C1FEF5C" w14:textId="36EAAABC" w:rsidR="007F1A06" w:rsidRDefault="007F1A06" w:rsidP="007F1A06">
      <w:pPr>
        <w:pStyle w:val="NoSpacing"/>
        <w:jc w:val="both"/>
        <w:rPr>
          <w:rFonts w:ascii="Arial" w:hAnsi="Arial" w:cs="Arial"/>
          <w:sz w:val="24"/>
          <w:szCs w:val="24"/>
          <w:lang w:eastAsia="en-GB"/>
        </w:rPr>
      </w:pPr>
    </w:p>
    <w:p w14:paraId="404D5BC9" w14:textId="171C772D" w:rsidR="00487959" w:rsidRPr="00487959" w:rsidRDefault="00487959" w:rsidP="00487959">
      <w:pPr>
        <w:pStyle w:val="NoSpacing"/>
        <w:numPr>
          <w:ilvl w:val="1"/>
          <w:numId w:val="3"/>
        </w:numPr>
        <w:jc w:val="both"/>
        <w:rPr>
          <w:rFonts w:ascii="Arial" w:hAnsi="Arial" w:cs="Arial"/>
          <w:sz w:val="24"/>
          <w:szCs w:val="24"/>
          <w:lang w:eastAsia="en-GB"/>
        </w:rPr>
      </w:pPr>
      <w:r w:rsidRPr="00487959">
        <w:rPr>
          <w:rFonts w:ascii="Arial" w:hAnsi="Arial" w:cs="Arial"/>
          <w:sz w:val="24"/>
          <w:szCs w:val="24"/>
          <w:lang w:eastAsia="en-GB"/>
        </w:rPr>
        <w:t xml:space="preserve">The </w:t>
      </w:r>
      <w:r w:rsidR="007239B8">
        <w:rPr>
          <w:rFonts w:ascii="Arial" w:hAnsi="Arial" w:cs="Arial"/>
          <w:sz w:val="24"/>
          <w:szCs w:val="24"/>
          <w:lang w:eastAsia="en-GB"/>
        </w:rPr>
        <w:t xml:space="preserve">estate </w:t>
      </w:r>
      <w:r w:rsidRPr="00487959">
        <w:rPr>
          <w:rFonts w:ascii="Arial" w:hAnsi="Arial" w:cs="Arial"/>
          <w:sz w:val="24"/>
          <w:szCs w:val="24"/>
          <w:lang w:eastAsia="en-GB"/>
        </w:rPr>
        <w:t xml:space="preserve">is within walking and cycling distance of a range of local services and facilities including schools, medical facilities and food stores. The </w:t>
      </w:r>
      <w:r w:rsidR="007239B8">
        <w:rPr>
          <w:rFonts w:ascii="Arial" w:hAnsi="Arial" w:cs="Arial"/>
          <w:sz w:val="24"/>
          <w:szCs w:val="24"/>
          <w:lang w:eastAsia="en-GB"/>
        </w:rPr>
        <w:t>estate</w:t>
      </w:r>
      <w:r w:rsidRPr="00487959">
        <w:rPr>
          <w:rFonts w:ascii="Arial" w:hAnsi="Arial" w:cs="Arial"/>
          <w:sz w:val="24"/>
          <w:szCs w:val="24"/>
          <w:lang w:eastAsia="en-GB"/>
        </w:rPr>
        <w:t xml:space="preserve"> has access to frequent and </w:t>
      </w:r>
      <w:r w:rsidR="000B369E" w:rsidRPr="00487959">
        <w:rPr>
          <w:rFonts w:ascii="Arial" w:hAnsi="Arial" w:cs="Arial"/>
          <w:sz w:val="24"/>
          <w:szCs w:val="24"/>
          <w:lang w:eastAsia="en-GB"/>
        </w:rPr>
        <w:t>high-quality</w:t>
      </w:r>
      <w:r w:rsidRPr="00487959">
        <w:rPr>
          <w:rFonts w:ascii="Arial" w:hAnsi="Arial" w:cs="Arial"/>
          <w:sz w:val="24"/>
          <w:szCs w:val="24"/>
          <w:lang w:eastAsia="en-GB"/>
        </w:rPr>
        <w:t xml:space="preserve"> bus services to Kings Norton and Birmingham </w:t>
      </w:r>
      <w:r w:rsidRPr="00487959">
        <w:rPr>
          <w:rFonts w:ascii="Arial" w:hAnsi="Arial" w:cs="Arial"/>
          <w:sz w:val="24"/>
          <w:szCs w:val="24"/>
          <w:lang w:eastAsia="en-GB"/>
        </w:rPr>
        <w:lastRenderedPageBreak/>
        <w:t>city centre</w:t>
      </w:r>
      <w:r w:rsidR="008760A3">
        <w:rPr>
          <w:rFonts w:ascii="Arial" w:hAnsi="Arial" w:cs="Arial"/>
          <w:sz w:val="24"/>
          <w:szCs w:val="24"/>
          <w:lang w:eastAsia="en-GB"/>
        </w:rPr>
        <w:t>.</w:t>
      </w:r>
      <w:r w:rsidRPr="00487959">
        <w:rPr>
          <w:rFonts w:ascii="Arial" w:hAnsi="Arial" w:cs="Arial"/>
          <w:sz w:val="24"/>
          <w:szCs w:val="24"/>
          <w:lang w:eastAsia="en-GB"/>
        </w:rPr>
        <w:t xml:space="preserve"> The surrounding land uses are mainly residential, with predominantly open countryside to the east</w:t>
      </w:r>
      <w:r w:rsidR="007239B8">
        <w:rPr>
          <w:rFonts w:ascii="Arial" w:hAnsi="Arial" w:cs="Arial"/>
          <w:sz w:val="24"/>
          <w:szCs w:val="24"/>
          <w:lang w:eastAsia="en-GB"/>
        </w:rPr>
        <w:t xml:space="preserve"> which lies within Worcestershire</w:t>
      </w:r>
      <w:r w:rsidRPr="00487959">
        <w:rPr>
          <w:rFonts w:ascii="Arial" w:hAnsi="Arial" w:cs="Arial"/>
          <w:sz w:val="24"/>
          <w:szCs w:val="24"/>
          <w:lang w:eastAsia="en-GB"/>
        </w:rPr>
        <w:t xml:space="preserve">. </w:t>
      </w:r>
    </w:p>
    <w:p w14:paraId="339A44C7" w14:textId="77777777" w:rsidR="00487959" w:rsidRPr="00487959" w:rsidRDefault="00487959" w:rsidP="00487959">
      <w:pPr>
        <w:pStyle w:val="NoSpacing"/>
        <w:jc w:val="both"/>
        <w:rPr>
          <w:rFonts w:ascii="Arial" w:hAnsi="Arial" w:cs="Arial"/>
          <w:sz w:val="24"/>
          <w:szCs w:val="24"/>
          <w:lang w:eastAsia="en-GB"/>
        </w:rPr>
      </w:pPr>
    </w:p>
    <w:p w14:paraId="2C57B5F1" w14:textId="37926619" w:rsidR="007F1A06" w:rsidRPr="0098018C" w:rsidRDefault="00403256" w:rsidP="007F1A06">
      <w:pPr>
        <w:pStyle w:val="NoSpacing"/>
        <w:numPr>
          <w:ilvl w:val="1"/>
          <w:numId w:val="3"/>
        </w:numPr>
        <w:jc w:val="both"/>
        <w:rPr>
          <w:rFonts w:ascii="Arial" w:hAnsi="Arial" w:cs="Arial"/>
          <w:sz w:val="24"/>
          <w:szCs w:val="24"/>
          <w:lang w:eastAsia="en-GB"/>
        </w:rPr>
      </w:pPr>
      <w:r>
        <w:rPr>
          <w:rFonts w:ascii="Arial" w:hAnsi="Arial" w:cs="Arial"/>
          <w:sz w:val="24"/>
          <w:szCs w:val="24"/>
          <w:lang w:eastAsia="en-GB"/>
        </w:rPr>
        <w:t xml:space="preserve">Situated </w:t>
      </w:r>
      <w:r w:rsidR="0062470C">
        <w:rPr>
          <w:rFonts w:ascii="Arial" w:hAnsi="Arial" w:cs="Arial"/>
          <w:sz w:val="24"/>
          <w:szCs w:val="24"/>
          <w:lang w:eastAsia="en-GB"/>
        </w:rPr>
        <w:t>off Sisefield Road i</w:t>
      </w:r>
      <w:r>
        <w:rPr>
          <w:rFonts w:ascii="Arial" w:hAnsi="Arial" w:cs="Arial"/>
          <w:sz w:val="24"/>
          <w:szCs w:val="24"/>
          <w:lang w:eastAsia="en-GB"/>
        </w:rPr>
        <w:t xml:space="preserve">s </w:t>
      </w:r>
      <w:r w:rsidR="0062470C">
        <w:rPr>
          <w:rFonts w:ascii="Arial" w:hAnsi="Arial" w:cs="Arial"/>
          <w:sz w:val="24"/>
          <w:szCs w:val="24"/>
          <w:lang w:eastAsia="en-GB"/>
        </w:rPr>
        <w:t xml:space="preserve">St Pauls Catholic Primary School and off Shannon Road is the Ark Academy secondary school for 11-18 year olds. </w:t>
      </w:r>
      <w:r w:rsidR="007F1A06" w:rsidRPr="0098018C">
        <w:rPr>
          <w:rFonts w:ascii="Arial" w:hAnsi="Arial" w:cs="Arial"/>
          <w:sz w:val="24"/>
          <w:szCs w:val="24"/>
          <w:lang w:eastAsia="en-GB"/>
        </w:rPr>
        <w:t>The site is</w:t>
      </w:r>
      <w:r>
        <w:rPr>
          <w:rFonts w:ascii="Arial" w:hAnsi="Arial" w:cs="Arial"/>
          <w:sz w:val="24"/>
          <w:szCs w:val="24"/>
          <w:lang w:eastAsia="en-GB"/>
        </w:rPr>
        <w:t xml:space="preserve"> </w:t>
      </w:r>
      <w:r w:rsidR="007F1A06" w:rsidRPr="0098018C">
        <w:rPr>
          <w:rFonts w:ascii="Arial" w:hAnsi="Arial" w:cs="Arial"/>
          <w:sz w:val="24"/>
          <w:szCs w:val="24"/>
          <w:lang w:eastAsia="en-GB"/>
        </w:rPr>
        <w:t xml:space="preserve"> surrounded by various schools </w:t>
      </w:r>
      <w:r w:rsidR="007F1A06">
        <w:rPr>
          <w:rFonts w:ascii="Arial" w:hAnsi="Arial" w:cs="Arial"/>
          <w:sz w:val="24"/>
          <w:szCs w:val="24"/>
          <w:lang w:eastAsia="en-GB"/>
        </w:rPr>
        <w:t xml:space="preserve">including </w:t>
      </w:r>
      <w:r w:rsidR="007F1A06" w:rsidRPr="0098018C">
        <w:rPr>
          <w:rFonts w:ascii="Arial" w:hAnsi="Arial" w:cs="Arial"/>
          <w:sz w:val="24"/>
          <w:szCs w:val="24"/>
          <w:lang w:eastAsia="en-GB"/>
        </w:rPr>
        <w:t>nursery, primary, secondary and sixth forms.</w:t>
      </w:r>
      <w:r w:rsidR="007F1A06">
        <w:rPr>
          <w:rFonts w:ascii="Arial" w:hAnsi="Arial" w:cs="Arial"/>
          <w:sz w:val="24"/>
          <w:szCs w:val="24"/>
          <w:lang w:eastAsia="en-GB"/>
        </w:rPr>
        <w:t xml:space="preserve"> </w:t>
      </w:r>
      <w:r w:rsidR="0062470C">
        <w:rPr>
          <w:rFonts w:ascii="Arial" w:hAnsi="Arial" w:cs="Arial"/>
          <w:sz w:val="24"/>
          <w:szCs w:val="24"/>
          <w:lang w:eastAsia="en-GB"/>
        </w:rPr>
        <w:t>Kings Norton Nursery is situated in Arrow Walk</w:t>
      </w:r>
      <w:r w:rsidR="00EB2B31">
        <w:rPr>
          <w:rFonts w:ascii="Arial" w:hAnsi="Arial" w:cs="Arial"/>
          <w:sz w:val="24"/>
          <w:szCs w:val="24"/>
          <w:lang w:eastAsia="en-GB"/>
        </w:rPr>
        <w:t xml:space="preserve">. </w:t>
      </w:r>
      <w:r w:rsidR="0062470C">
        <w:rPr>
          <w:rFonts w:ascii="Arial" w:hAnsi="Arial" w:cs="Arial"/>
          <w:sz w:val="24"/>
          <w:szCs w:val="24"/>
          <w:lang w:eastAsia="en-GB"/>
        </w:rPr>
        <w:t>Broadmeadow Infant and Nursery School</w:t>
      </w:r>
      <w:r w:rsidR="00EB2B31">
        <w:rPr>
          <w:rFonts w:ascii="Arial" w:hAnsi="Arial" w:cs="Arial"/>
          <w:sz w:val="24"/>
          <w:szCs w:val="24"/>
          <w:lang w:eastAsia="en-GB"/>
        </w:rPr>
        <w:t>,</w:t>
      </w:r>
      <w:r w:rsidR="0062470C">
        <w:rPr>
          <w:rFonts w:ascii="Arial" w:hAnsi="Arial" w:cs="Arial"/>
          <w:sz w:val="24"/>
          <w:szCs w:val="24"/>
          <w:lang w:eastAsia="en-GB"/>
        </w:rPr>
        <w:t xml:space="preserve"> Bells Farm Primary School</w:t>
      </w:r>
      <w:r w:rsidR="00EB2B31">
        <w:rPr>
          <w:rFonts w:ascii="Arial" w:hAnsi="Arial" w:cs="Arial"/>
          <w:sz w:val="24"/>
          <w:szCs w:val="24"/>
          <w:lang w:eastAsia="en-GB"/>
        </w:rPr>
        <w:t xml:space="preserve"> and Kings Norton Primary School are all within walking distance of the estate. Cadbury Sixth Form College is al</w:t>
      </w:r>
      <w:r w:rsidR="000F7C31">
        <w:rPr>
          <w:rFonts w:ascii="Arial" w:hAnsi="Arial" w:cs="Arial"/>
          <w:sz w:val="24"/>
          <w:szCs w:val="24"/>
          <w:lang w:eastAsia="en-GB"/>
        </w:rPr>
        <w:t>so</w:t>
      </w:r>
      <w:r w:rsidR="00EB2B31">
        <w:rPr>
          <w:rFonts w:ascii="Arial" w:hAnsi="Arial" w:cs="Arial"/>
          <w:sz w:val="24"/>
          <w:szCs w:val="24"/>
          <w:lang w:eastAsia="en-GB"/>
        </w:rPr>
        <w:t xml:space="preserve"> close by.</w:t>
      </w:r>
    </w:p>
    <w:p w14:paraId="3BEB9D7E" w14:textId="77777777" w:rsidR="007F1A06" w:rsidRDefault="007F1A06" w:rsidP="007F1A06">
      <w:pPr>
        <w:pStyle w:val="NoSpacing"/>
        <w:jc w:val="both"/>
        <w:rPr>
          <w:rFonts w:ascii="Arial" w:hAnsi="Arial" w:cs="Arial"/>
          <w:sz w:val="24"/>
          <w:szCs w:val="24"/>
          <w:u w:val="single"/>
          <w:lang w:eastAsia="en-GB"/>
        </w:rPr>
      </w:pPr>
    </w:p>
    <w:p w14:paraId="5905B46D" w14:textId="0A7A6B81" w:rsidR="007F1A06" w:rsidRDefault="00EB2B31" w:rsidP="007F1A06">
      <w:pPr>
        <w:pStyle w:val="NoSpacing"/>
        <w:numPr>
          <w:ilvl w:val="1"/>
          <w:numId w:val="3"/>
        </w:numPr>
        <w:jc w:val="both"/>
        <w:rPr>
          <w:rFonts w:ascii="Arial" w:hAnsi="Arial" w:cs="Arial"/>
          <w:sz w:val="24"/>
          <w:szCs w:val="24"/>
          <w:lang w:eastAsia="en-GB"/>
        </w:rPr>
      </w:pPr>
      <w:r>
        <w:rPr>
          <w:rFonts w:ascii="Arial" w:hAnsi="Arial" w:cs="Arial"/>
          <w:sz w:val="24"/>
          <w:szCs w:val="24"/>
          <w:lang w:eastAsia="en-GB"/>
        </w:rPr>
        <w:t xml:space="preserve">An Aldi supermarket has recently been opened on the Redditch Road (A441) as part of the adjacent Primrose estate regeneration but there are also supermarkets other </w:t>
      </w:r>
      <w:r w:rsidRPr="0098018C">
        <w:rPr>
          <w:rFonts w:ascii="Arial" w:hAnsi="Arial" w:cs="Arial"/>
          <w:sz w:val="24"/>
          <w:szCs w:val="24"/>
          <w:lang w:eastAsia="en-GB"/>
        </w:rPr>
        <w:t xml:space="preserve">shops </w:t>
      </w:r>
      <w:r>
        <w:rPr>
          <w:rFonts w:ascii="Arial" w:hAnsi="Arial" w:cs="Arial"/>
          <w:sz w:val="24"/>
          <w:szCs w:val="24"/>
          <w:lang w:eastAsia="en-GB"/>
        </w:rPr>
        <w:t xml:space="preserve">and services, </w:t>
      </w:r>
      <w:r w:rsidRPr="0098018C">
        <w:rPr>
          <w:rFonts w:ascii="Arial" w:hAnsi="Arial" w:cs="Arial"/>
          <w:sz w:val="24"/>
          <w:szCs w:val="24"/>
          <w:lang w:eastAsia="en-GB"/>
        </w:rPr>
        <w:t xml:space="preserve">food </w:t>
      </w:r>
      <w:r>
        <w:rPr>
          <w:rFonts w:ascii="Arial" w:hAnsi="Arial" w:cs="Arial"/>
          <w:sz w:val="24"/>
          <w:szCs w:val="24"/>
          <w:lang w:eastAsia="en-GB"/>
        </w:rPr>
        <w:t>outlets, banks, surgeries and pharmacies in the neighbouring areas of Kings Norton centre, Cotteridge, Druids Heath and Kings Heath.</w:t>
      </w:r>
      <w:r w:rsidR="007F1A06">
        <w:rPr>
          <w:rFonts w:ascii="Arial" w:hAnsi="Arial" w:cs="Arial"/>
          <w:sz w:val="24"/>
          <w:szCs w:val="24"/>
          <w:lang w:eastAsia="en-GB"/>
        </w:rPr>
        <w:t xml:space="preserve"> </w:t>
      </w:r>
    </w:p>
    <w:p w14:paraId="4AE7A8A4" w14:textId="77777777" w:rsidR="007F1A06" w:rsidRPr="0098018C" w:rsidRDefault="007F1A06" w:rsidP="007F1A06">
      <w:pPr>
        <w:pStyle w:val="NoSpacing"/>
        <w:jc w:val="both"/>
        <w:rPr>
          <w:rFonts w:ascii="Arial" w:hAnsi="Arial" w:cs="Arial"/>
          <w:sz w:val="24"/>
          <w:szCs w:val="24"/>
          <w:lang w:eastAsia="en-GB"/>
        </w:rPr>
      </w:pPr>
    </w:p>
    <w:p w14:paraId="48A67244" w14:textId="77777777" w:rsidR="008760A3" w:rsidRDefault="007F1A06" w:rsidP="002D4D0B">
      <w:pPr>
        <w:pStyle w:val="NoSpacing"/>
        <w:numPr>
          <w:ilvl w:val="1"/>
          <w:numId w:val="3"/>
        </w:numPr>
        <w:jc w:val="both"/>
        <w:rPr>
          <w:rFonts w:ascii="Arial" w:hAnsi="Arial" w:cs="Arial"/>
          <w:sz w:val="24"/>
          <w:szCs w:val="24"/>
          <w:lang w:eastAsia="en-GB"/>
        </w:rPr>
      </w:pPr>
      <w:r w:rsidRPr="0098018C">
        <w:rPr>
          <w:rFonts w:ascii="Arial" w:hAnsi="Arial" w:cs="Arial"/>
          <w:sz w:val="24"/>
          <w:szCs w:val="24"/>
          <w:lang w:eastAsia="en-GB"/>
        </w:rPr>
        <w:t xml:space="preserve">There is some </w:t>
      </w:r>
      <w:r w:rsidR="00EB2B31">
        <w:rPr>
          <w:rFonts w:ascii="Arial" w:hAnsi="Arial" w:cs="Arial"/>
          <w:sz w:val="24"/>
          <w:szCs w:val="24"/>
          <w:lang w:eastAsia="en-GB"/>
        </w:rPr>
        <w:t xml:space="preserve">new </w:t>
      </w:r>
      <w:r w:rsidRPr="0098018C">
        <w:rPr>
          <w:rFonts w:ascii="Arial" w:hAnsi="Arial" w:cs="Arial"/>
          <w:sz w:val="24"/>
          <w:szCs w:val="24"/>
          <w:lang w:eastAsia="en-GB"/>
        </w:rPr>
        <w:t xml:space="preserve">formal public open space with play equipment </w:t>
      </w:r>
      <w:r w:rsidR="00EB2B31">
        <w:rPr>
          <w:rFonts w:ascii="Arial" w:hAnsi="Arial" w:cs="Arial"/>
          <w:sz w:val="24"/>
          <w:szCs w:val="24"/>
          <w:lang w:eastAsia="en-GB"/>
        </w:rPr>
        <w:t xml:space="preserve">being constructed as part of the Primrose regeneration </w:t>
      </w:r>
      <w:r w:rsidRPr="0098018C">
        <w:rPr>
          <w:rFonts w:ascii="Arial" w:hAnsi="Arial" w:cs="Arial"/>
          <w:sz w:val="24"/>
          <w:szCs w:val="24"/>
          <w:lang w:eastAsia="en-GB"/>
        </w:rPr>
        <w:t xml:space="preserve">situated </w:t>
      </w:r>
      <w:r w:rsidR="00EB2B31">
        <w:rPr>
          <w:rFonts w:ascii="Arial" w:hAnsi="Arial" w:cs="Arial"/>
          <w:sz w:val="24"/>
          <w:szCs w:val="24"/>
          <w:lang w:eastAsia="en-GB"/>
        </w:rPr>
        <w:t>off Shannon Road. A</w:t>
      </w:r>
      <w:r w:rsidRPr="0098018C">
        <w:rPr>
          <w:rFonts w:ascii="Arial" w:hAnsi="Arial" w:cs="Arial"/>
          <w:sz w:val="24"/>
          <w:szCs w:val="24"/>
          <w:lang w:eastAsia="en-GB"/>
        </w:rPr>
        <w:t>lso located</w:t>
      </w:r>
      <w:r>
        <w:rPr>
          <w:rFonts w:ascii="Arial" w:hAnsi="Arial" w:cs="Arial"/>
          <w:sz w:val="24"/>
          <w:szCs w:val="24"/>
          <w:lang w:eastAsia="en-GB"/>
        </w:rPr>
        <w:t xml:space="preserve"> </w:t>
      </w:r>
      <w:r w:rsidRPr="0098018C">
        <w:rPr>
          <w:rFonts w:ascii="Arial" w:hAnsi="Arial" w:cs="Arial"/>
          <w:sz w:val="24"/>
          <w:szCs w:val="24"/>
          <w:lang w:eastAsia="en-GB"/>
        </w:rPr>
        <w:t xml:space="preserve">in close proximity </w:t>
      </w:r>
      <w:r>
        <w:rPr>
          <w:rFonts w:ascii="Arial" w:hAnsi="Arial" w:cs="Arial"/>
          <w:sz w:val="24"/>
          <w:szCs w:val="24"/>
          <w:lang w:eastAsia="en-GB"/>
        </w:rPr>
        <w:t>are</w:t>
      </w:r>
      <w:r w:rsidRPr="0098018C">
        <w:rPr>
          <w:rFonts w:ascii="Arial" w:hAnsi="Arial" w:cs="Arial"/>
          <w:sz w:val="24"/>
          <w:szCs w:val="24"/>
          <w:lang w:eastAsia="en-GB"/>
        </w:rPr>
        <w:t xml:space="preserve"> </w:t>
      </w:r>
      <w:r w:rsidR="00EB2B31">
        <w:rPr>
          <w:rFonts w:ascii="Arial" w:hAnsi="Arial" w:cs="Arial"/>
          <w:sz w:val="24"/>
          <w:szCs w:val="24"/>
          <w:lang w:eastAsia="en-GB"/>
        </w:rPr>
        <w:t>Walker</w:t>
      </w:r>
      <w:r w:rsidR="000F7C31">
        <w:rPr>
          <w:rFonts w:ascii="Arial" w:hAnsi="Arial" w:cs="Arial"/>
          <w:sz w:val="24"/>
          <w:szCs w:val="24"/>
          <w:lang w:eastAsia="en-GB"/>
        </w:rPr>
        <w:t>s</w:t>
      </w:r>
      <w:r w:rsidR="00EB2B31">
        <w:rPr>
          <w:rFonts w:ascii="Arial" w:hAnsi="Arial" w:cs="Arial"/>
          <w:sz w:val="24"/>
          <w:szCs w:val="24"/>
          <w:lang w:eastAsia="en-GB"/>
        </w:rPr>
        <w:t xml:space="preserve"> Heath </w:t>
      </w:r>
      <w:r w:rsidR="008462E8">
        <w:rPr>
          <w:rFonts w:ascii="Arial" w:hAnsi="Arial" w:cs="Arial"/>
          <w:sz w:val="24"/>
          <w:szCs w:val="24"/>
          <w:lang w:eastAsia="en-GB"/>
        </w:rPr>
        <w:t>P</w:t>
      </w:r>
      <w:r w:rsidR="00EB2B31">
        <w:rPr>
          <w:rFonts w:ascii="Arial" w:hAnsi="Arial" w:cs="Arial"/>
          <w:sz w:val="24"/>
          <w:szCs w:val="24"/>
          <w:lang w:eastAsia="en-GB"/>
        </w:rPr>
        <w:t>ark and Kings Norton Park.</w:t>
      </w:r>
    </w:p>
    <w:p w14:paraId="347A6987" w14:textId="77777777" w:rsidR="008760A3" w:rsidRDefault="008760A3" w:rsidP="008760A3">
      <w:pPr>
        <w:pStyle w:val="ListParagraph"/>
        <w:rPr>
          <w:rFonts w:ascii="Arial" w:hAnsi="Arial" w:cs="Arial"/>
          <w:b/>
          <w:bCs/>
          <w:sz w:val="24"/>
          <w:szCs w:val="24"/>
          <w:lang w:eastAsia="en-GB"/>
        </w:rPr>
      </w:pPr>
    </w:p>
    <w:p w14:paraId="6ED5A857" w14:textId="18485AFE" w:rsidR="008760A3" w:rsidRPr="008760A3" w:rsidRDefault="002D4D0B" w:rsidP="008760A3">
      <w:pPr>
        <w:pStyle w:val="NoSpacing"/>
        <w:numPr>
          <w:ilvl w:val="0"/>
          <w:numId w:val="3"/>
        </w:numPr>
        <w:ind w:left="567" w:hanging="567"/>
        <w:jc w:val="both"/>
        <w:outlineLvl w:val="0"/>
        <w:rPr>
          <w:rFonts w:ascii="Arial" w:hAnsi="Arial" w:cs="Arial"/>
          <w:b/>
          <w:sz w:val="24"/>
          <w:szCs w:val="24"/>
          <w:u w:val="single"/>
        </w:rPr>
      </w:pPr>
      <w:bookmarkStart w:id="4" w:name="_Toc68772044"/>
      <w:r w:rsidRPr="00020D99">
        <w:rPr>
          <w:rFonts w:ascii="Arial" w:hAnsi="Arial" w:cs="Arial"/>
          <w:b/>
          <w:sz w:val="24"/>
          <w:szCs w:val="24"/>
          <w:u w:val="single"/>
        </w:rPr>
        <w:t>Background to the Order</w:t>
      </w:r>
      <w:bookmarkEnd w:id="4"/>
    </w:p>
    <w:p w14:paraId="6B72675C" w14:textId="77777777" w:rsidR="008760A3" w:rsidRDefault="008760A3" w:rsidP="008760A3">
      <w:pPr>
        <w:pStyle w:val="NoSpacing"/>
        <w:ind w:left="360"/>
        <w:jc w:val="both"/>
        <w:rPr>
          <w:rFonts w:ascii="Arial" w:hAnsi="Arial" w:cs="Arial"/>
          <w:sz w:val="24"/>
          <w:szCs w:val="24"/>
          <w:lang w:eastAsia="en-GB"/>
        </w:rPr>
      </w:pPr>
    </w:p>
    <w:p w14:paraId="3968AA99" w14:textId="39E4260A" w:rsidR="00896567" w:rsidRDefault="002D4D0B" w:rsidP="00896567">
      <w:pPr>
        <w:pStyle w:val="NoSpacing"/>
        <w:numPr>
          <w:ilvl w:val="1"/>
          <w:numId w:val="3"/>
        </w:numPr>
        <w:jc w:val="both"/>
        <w:rPr>
          <w:rFonts w:ascii="Arial" w:hAnsi="Arial" w:cs="Arial"/>
          <w:sz w:val="24"/>
          <w:szCs w:val="24"/>
          <w:lang w:eastAsia="en-GB"/>
        </w:rPr>
      </w:pPr>
      <w:r w:rsidRPr="008760A3">
        <w:rPr>
          <w:rFonts w:ascii="Arial" w:hAnsi="Arial" w:cs="Arial"/>
          <w:sz w:val="24"/>
          <w:szCs w:val="24"/>
          <w:lang w:eastAsia="en-GB"/>
        </w:rPr>
        <w:t xml:space="preserve">As referred to above, the redevelopment of the Pool Farm Estate forms the final element of the regeneration of the wider area collectively known as the Three Estates. Work across the area commenced in 2000 under the then Government’s New Deal for Communities Programme, which focussed on significant local consultation on the future of the estates and opportunities for improvement. A Planning for Real exercise with the local community and a subsequent Development Study </w:t>
      </w:r>
      <w:r w:rsidR="004B60F2">
        <w:rPr>
          <w:rFonts w:ascii="Arial" w:hAnsi="Arial" w:cs="Arial"/>
          <w:sz w:val="24"/>
          <w:szCs w:val="24"/>
          <w:lang w:eastAsia="en-GB"/>
        </w:rPr>
        <w:t xml:space="preserve">(BCC20) </w:t>
      </w:r>
      <w:r w:rsidRPr="008760A3">
        <w:rPr>
          <w:rFonts w:ascii="Arial" w:hAnsi="Arial" w:cs="Arial"/>
          <w:sz w:val="24"/>
          <w:szCs w:val="24"/>
          <w:lang w:eastAsia="en-GB"/>
        </w:rPr>
        <w:t xml:space="preserve">helped identify the areas for intervention, which set out a preferred approach of large-scale redevelopment and change. The Kings Norton Planning Framework </w:t>
      </w:r>
      <w:r w:rsidR="004B60F2">
        <w:rPr>
          <w:rFonts w:ascii="Arial" w:hAnsi="Arial" w:cs="Arial"/>
          <w:sz w:val="24"/>
          <w:szCs w:val="24"/>
          <w:lang w:eastAsia="en-GB"/>
        </w:rPr>
        <w:t xml:space="preserve">(BCC16 and 17) </w:t>
      </w:r>
      <w:r w:rsidRPr="008760A3">
        <w:rPr>
          <w:rFonts w:ascii="Arial" w:hAnsi="Arial" w:cs="Arial"/>
          <w:sz w:val="24"/>
          <w:szCs w:val="24"/>
          <w:lang w:eastAsia="en-GB"/>
        </w:rPr>
        <w:t>was prepared and adopted by the Council in 2010 and this set out the detailed proposals for clearance and redevelopment and the wider consideration of community needs and environmental improvement.</w:t>
      </w:r>
    </w:p>
    <w:p w14:paraId="6BBEAFF8" w14:textId="77777777" w:rsidR="006537F3" w:rsidRDefault="006537F3" w:rsidP="006537F3">
      <w:pPr>
        <w:pStyle w:val="NoSpacing"/>
        <w:ind w:left="540"/>
        <w:jc w:val="both"/>
        <w:rPr>
          <w:rFonts w:ascii="Arial" w:hAnsi="Arial" w:cs="Arial"/>
          <w:sz w:val="24"/>
          <w:szCs w:val="24"/>
          <w:lang w:eastAsia="en-GB"/>
        </w:rPr>
      </w:pPr>
    </w:p>
    <w:p w14:paraId="682445A0" w14:textId="7894990B" w:rsidR="00C24F57" w:rsidRPr="00896567" w:rsidRDefault="00C24F57" w:rsidP="00896567">
      <w:pPr>
        <w:pStyle w:val="NoSpacing"/>
        <w:numPr>
          <w:ilvl w:val="1"/>
          <w:numId w:val="3"/>
        </w:numPr>
        <w:jc w:val="both"/>
        <w:rPr>
          <w:rFonts w:ascii="Arial" w:hAnsi="Arial" w:cs="Arial"/>
          <w:sz w:val="24"/>
          <w:szCs w:val="24"/>
          <w:lang w:eastAsia="en-GB"/>
        </w:rPr>
      </w:pPr>
      <w:r w:rsidRPr="00896567">
        <w:rPr>
          <w:rFonts w:ascii="Arial" w:hAnsi="Arial" w:cs="Arial"/>
          <w:sz w:val="24"/>
          <w:szCs w:val="24"/>
          <w:lang w:eastAsia="en-GB"/>
        </w:rPr>
        <w:t xml:space="preserve">Clearance and development </w:t>
      </w:r>
      <w:r w:rsidR="00C82C1D" w:rsidRPr="00896567">
        <w:rPr>
          <w:rFonts w:ascii="Arial" w:hAnsi="Arial" w:cs="Arial"/>
          <w:sz w:val="24"/>
          <w:szCs w:val="24"/>
          <w:lang w:eastAsia="en-GB"/>
        </w:rPr>
        <w:t>have</w:t>
      </w:r>
      <w:r w:rsidRPr="00896567">
        <w:rPr>
          <w:rFonts w:ascii="Arial" w:hAnsi="Arial" w:cs="Arial"/>
          <w:sz w:val="24"/>
          <w:szCs w:val="24"/>
          <w:lang w:eastAsia="en-GB"/>
        </w:rPr>
        <w:t xml:space="preserve"> since been undertaken on a number of sites across the Three Estates area:</w:t>
      </w:r>
    </w:p>
    <w:p w14:paraId="77FEAA7E" w14:textId="77777777" w:rsidR="00C24F57" w:rsidRDefault="00C24F57" w:rsidP="002D4D0B">
      <w:pPr>
        <w:pStyle w:val="NoSpacing"/>
        <w:tabs>
          <w:tab w:val="left" w:pos="426"/>
        </w:tabs>
        <w:ind w:left="420" w:hanging="420"/>
        <w:jc w:val="both"/>
        <w:rPr>
          <w:rFonts w:ascii="Arial" w:hAnsi="Arial" w:cs="Arial"/>
          <w:sz w:val="24"/>
          <w:szCs w:val="24"/>
          <w:lang w:eastAsia="en-GB"/>
        </w:rPr>
      </w:pPr>
    </w:p>
    <w:p w14:paraId="0091482B" w14:textId="0291B0E8" w:rsidR="00091A0C" w:rsidRPr="00895F5E" w:rsidRDefault="00091A0C" w:rsidP="00A573CC">
      <w:pPr>
        <w:pStyle w:val="NoSpacing"/>
        <w:numPr>
          <w:ilvl w:val="0"/>
          <w:numId w:val="37"/>
        </w:numPr>
        <w:tabs>
          <w:tab w:val="left" w:pos="426"/>
        </w:tabs>
        <w:ind w:left="900"/>
        <w:jc w:val="both"/>
        <w:rPr>
          <w:rFonts w:ascii="Arial" w:hAnsi="Arial" w:cs="Arial"/>
          <w:i/>
          <w:iCs/>
          <w:sz w:val="24"/>
          <w:szCs w:val="24"/>
          <w:lang w:eastAsia="en-GB"/>
        </w:rPr>
      </w:pPr>
      <w:r>
        <w:rPr>
          <w:rFonts w:ascii="Arial" w:hAnsi="Arial" w:cs="Arial"/>
          <w:sz w:val="24"/>
          <w:szCs w:val="24"/>
          <w:lang w:eastAsia="en-GB"/>
        </w:rPr>
        <w:t xml:space="preserve">Brooklea Grove, Pool Farm – BMHT development of </w:t>
      </w:r>
      <w:r w:rsidR="001353CC">
        <w:rPr>
          <w:rFonts w:ascii="Arial" w:hAnsi="Arial" w:cs="Arial"/>
          <w:sz w:val="24"/>
          <w:szCs w:val="24"/>
          <w:lang w:eastAsia="en-GB"/>
        </w:rPr>
        <w:t>43</w:t>
      </w:r>
      <w:r>
        <w:rPr>
          <w:rFonts w:ascii="Arial" w:hAnsi="Arial" w:cs="Arial"/>
          <w:sz w:val="24"/>
          <w:szCs w:val="24"/>
          <w:lang w:eastAsia="en-GB"/>
        </w:rPr>
        <w:t xml:space="preserve"> houses</w:t>
      </w:r>
      <w:r w:rsidR="001353CC">
        <w:rPr>
          <w:rFonts w:ascii="Arial" w:hAnsi="Arial" w:cs="Arial"/>
          <w:sz w:val="24"/>
          <w:szCs w:val="24"/>
          <w:lang w:eastAsia="en-GB"/>
        </w:rPr>
        <w:t xml:space="preserve"> for social rent.</w:t>
      </w:r>
    </w:p>
    <w:p w14:paraId="24D9316D" w14:textId="655306A6" w:rsidR="00091A0C" w:rsidRPr="00895F5E" w:rsidRDefault="00091A0C" w:rsidP="00A573CC">
      <w:pPr>
        <w:pStyle w:val="NoSpacing"/>
        <w:numPr>
          <w:ilvl w:val="0"/>
          <w:numId w:val="37"/>
        </w:numPr>
        <w:tabs>
          <w:tab w:val="left" w:pos="426"/>
        </w:tabs>
        <w:ind w:left="900"/>
        <w:jc w:val="both"/>
        <w:rPr>
          <w:rFonts w:ascii="Arial" w:hAnsi="Arial" w:cs="Arial"/>
          <w:i/>
          <w:iCs/>
          <w:sz w:val="24"/>
          <w:szCs w:val="24"/>
          <w:lang w:eastAsia="en-GB"/>
        </w:rPr>
      </w:pPr>
      <w:r>
        <w:rPr>
          <w:rFonts w:ascii="Arial" w:hAnsi="Arial" w:cs="Arial"/>
          <w:sz w:val="24"/>
          <w:szCs w:val="24"/>
          <w:lang w:eastAsia="en-GB"/>
        </w:rPr>
        <w:t xml:space="preserve">Owens Croft, Pool Farm – BMHT Development of </w:t>
      </w:r>
      <w:r w:rsidR="001353CC">
        <w:rPr>
          <w:rFonts w:ascii="Arial" w:hAnsi="Arial" w:cs="Arial"/>
          <w:sz w:val="24"/>
          <w:szCs w:val="24"/>
          <w:lang w:eastAsia="en-GB"/>
        </w:rPr>
        <w:t>49 homes, 23 for social rent and 26 sale properties.</w:t>
      </w:r>
    </w:p>
    <w:p w14:paraId="0D57C8BE" w14:textId="5360CFCB" w:rsidR="00091A0C" w:rsidRPr="00895F5E" w:rsidRDefault="00091A0C" w:rsidP="00A573CC">
      <w:pPr>
        <w:pStyle w:val="NoSpacing"/>
        <w:numPr>
          <w:ilvl w:val="0"/>
          <w:numId w:val="37"/>
        </w:numPr>
        <w:tabs>
          <w:tab w:val="left" w:pos="426"/>
        </w:tabs>
        <w:ind w:left="900"/>
        <w:jc w:val="both"/>
        <w:rPr>
          <w:rFonts w:ascii="Arial" w:hAnsi="Arial" w:cs="Arial"/>
          <w:i/>
          <w:iCs/>
          <w:sz w:val="24"/>
          <w:szCs w:val="24"/>
          <w:lang w:eastAsia="en-GB"/>
        </w:rPr>
      </w:pPr>
      <w:r>
        <w:rPr>
          <w:rFonts w:ascii="Arial" w:hAnsi="Arial" w:cs="Arial"/>
          <w:sz w:val="24"/>
          <w:szCs w:val="24"/>
          <w:lang w:eastAsia="en-GB"/>
        </w:rPr>
        <w:t xml:space="preserve">Stockmans Close, Hawkesley – BMHT development of </w:t>
      </w:r>
      <w:r w:rsidR="001353CC">
        <w:rPr>
          <w:rFonts w:ascii="Arial" w:hAnsi="Arial" w:cs="Arial"/>
          <w:sz w:val="24"/>
          <w:szCs w:val="24"/>
          <w:lang w:eastAsia="en-GB"/>
        </w:rPr>
        <w:t xml:space="preserve">44 homes, </w:t>
      </w:r>
      <w:r w:rsidR="00895F5E">
        <w:rPr>
          <w:rFonts w:ascii="Arial" w:hAnsi="Arial" w:cs="Arial"/>
          <w:sz w:val="24"/>
          <w:szCs w:val="24"/>
          <w:lang w:eastAsia="en-GB"/>
        </w:rPr>
        <w:t>20 for social rent and 24 sale properties</w:t>
      </w:r>
    </w:p>
    <w:p w14:paraId="2703EBA2" w14:textId="50DD099F" w:rsidR="00895F5E" w:rsidRPr="00020D99" w:rsidRDefault="00091A0C" w:rsidP="00A573CC">
      <w:pPr>
        <w:pStyle w:val="NoSpacing"/>
        <w:numPr>
          <w:ilvl w:val="0"/>
          <w:numId w:val="37"/>
        </w:numPr>
        <w:tabs>
          <w:tab w:val="left" w:pos="426"/>
        </w:tabs>
        <w:ind w:left="900"/>
        <w:jc w:val="both"/>
        <w:rPr>
          <w:rFonts w:ascii="Arial" w:hAnsi="Arial" w:cs="Arial"/>
          <w:sz w:val="24"/>
          <w:szCs w:val="24"/>
          <w:lang w:eastAsia="en-GB"/>
        </w:rPr>
      </w:pPr>
      <w:r w:rsidRPr="00895F5E">
        <w:rPr>
          <w:rFonts w:ascii="Arial" w:hAnsi="Arial" w:cs="Arial"/>
          <w:sz w:val="24"/>
          <w:szCs w:val="24"/>
          <w:lang w:eastAsia="en-GB"/>
        </w:rPr>
        <w:t xml:space="preserve">Primrose estate – BMHT development of </w:t>
      </w:r>
      <w:r w:rsidRPr="008760A3">
        <w:rPr>
          <w:rFonts w:ascii="Arial" w:eastAsia="Times New Roman" w:hAnsi="Arial" w:cs="Arial"/>
          <w:sz w:val="24"/>
          <w:szCs w:val="24"/>
        </w:rPr>
        <w:t>292 homes</w:t>
      </w:r>
      <w:r w:rsidR="001353CC" w:rsidRPr="008760A3">
        <w:rPr>
          <w:rFonts w:ascii="Arial" w:eastAsia="Times New Roman" w:hAnsi="Arial" w:cs="Arial"/>
          <w:sz w:val="24"/>
          <w:szCs w:val="24"/>
        </w:rPr>
        <w:t>, 1</w:t>
      </w:r>
      <w:r w:rsidRPr="008760A3">
        <w:rPr>
          <w:rFonts w:ascii="Arial" w:eastAsia="Times New Roman" w:hAnsi="Arial" w:cs="Arial"/>
          <w:sz w:val="24"/>
          <w:szCs w:val="24"/>
        </w:rPr>
        <w:t xml:space="preserve">47 </w:t>
      </w:r>
      <w:r w:rsidR="001353CC" w:rsidRPr="008760A3">
        <w:rPr>
          <w:rFonts w:ascii="Arial" w:eastAsia="Times New Roman" w:hAnsi="Arial" w:cs="Arial"/>
          <w:sz w:val="24"/>
          <w:szCs w:val="24"/>
        </w:rPr>
        <w:t>for social rent and 145 sale properties.</w:t>
      </w:r>
    </w:p>
    <w:p w14:paraId="4AC6FAD8" w14:textId="318A9865" w:rsidR="00AC6C26" w:rsidRPr="002A0BD5" w:rsidRDefault="00AC6C26" w:rsidP="00A573CC">
      <w:pPr>
        <w:pStyle w:val="NoSpacing"/>
        <w:numPr>
          <w:ilvl w:val="0"/>
          <w:numId w:val="37"/>
        </w:numPr>
        <w:tabs>
          <w:tab w:val="left" w:pos="426"/>
        </w:tabs>
        <w:ind w:left="900"/>
        <w:jc w:val="both"/>
        <w:rPr>
          <w:rFonts w:ascii="Arial" w:hAnsi="Arial" w:cs="Arial"/>
          <w:sz w:val="24"/>
          <w:szCs w:val="24"/>
          <w:lang w:eastAsia="en-GB"/>
        </w:rPr>
      </w:pPr>
      <w:r>
        <w:rPr>
          <w:rFonts w:ascii="Arial" w:eastAsia="Times New Roman" w:hAnsi="Arial" w:cs="Arial"/>
          <w:sz w:val="24"/>
          <w:szCs w:val="24"/>
        </w:rPr>
        <w:t xml:space="preserve">As per the current clearance programme the rehousing and clearance of </w:t>
      </w:r>
      <w:r w:rsidR="00251FC1">
        <w:rPr>
          <w:rFonts w:ascii="Arial" w:eastAsia="Times New Roman" w:hAnsi="Arial" w:cs="Arial"/>
          <w:sz w:val="24"/>
          <w:szCs w:val="24"/>
        </w:rPr>
        <w:t>62</w:t>
      </w:r>
      <w:r>
        <w:rPr>
          <w:rFonts w:ascii="Arial" w:eastAsia="Times New Roman" w:hAnsi="Arial" w:cs="Arial"/>
          <w:sz w:val="24"/>
          <w:szCs w:val="24"/>
        </w:rPr>
        <w:t xml:space="preserve"> properties has been completed</w:t>
      </w:r>
    </w:p>
    <w:p w14:paraId="2AF84290" w14:textId="251A0192" w:rsidR="002D4D0B" w:rsidRDefault="002D4D0B" w:rsidP="00A573CC">
      <w:pPr>
        <w:pStyle w:val="NoSpacing"/>
        <w:tabs>
          <w:tab w:val="left" w:pos="426"/>
        </w:tabs>
        <w:ind w:left="900"/>
        <w:jc w:val="both"/>
        <w:rPr>
          <w:rFonts w:ascii="Arial" w:hAnsi="Arial" w:cs="Arial"/>
          <w:sz w:val="24"/>
          <w:szCs w:val="24"/>
          <w:lang w:eastAsia="en-GB"/>
        </w:rPr>
      </w:pPr>
    </w:p>
    <w:p w14:paraId="01BF6EFD" w14:textId="3E4AD3F4" w:rsidR="002D4D0B" w:rsidRDefault="002D4D0B" w:rsidP="001925D8">
      <w:pPr>
        <w:pStyle w:val="NoSpacing"/>
        <w:numPr>
          <w:ilvl w:val="1"/>
          <w:numId w:val="3"/>
        </w:numPr>
        <w:jc w:val="both"/>
        <w:rPr>
          <w:rFonts w:ascii="GTPressura-Light" w:hAnsi="GTPressura-Light" w:cs="GTPressura-Light"/>
          <w:sz w:val="20"/>
          <w:szCs w:val="20"/>
          <w:lang w:eastAsia="en-GB"/>
        </w:rPr>
      </w:pPr>
      <w:r>
        <w:rPr>
          <w:rFonts w:ascii="Arial" w:hAnsi="Arial" w:cs="Arial"/>
          <w:sz w:val="24"/>
          <w:szCs w:val="24"/>
          <w:lang w:eastAsia="en-GB"/>
        </w:rPr>
        <w:t xml:space="preserve">Further details of the consultation undertaken with respect to the regeneration programme are set out under section </w:t>
      </w:r>
      <w:r w:rsidR="00370D3C">
        <w:rPr>
          <w:rFonts w:ascii="Arial" w:hAnsi="Arial" w:cs="Arial"/>
          <w:sz w:val="24"/>
          <w:szCs w:val="24"/>
          <w:lang w:eastAsia="en-GB"/>
        </w:rPr>
        <w:t xml:space="preserve">8 </w:t>
      </w:r>
      <w:r>
        <w:rPr>
          <w:rFonts w:ascii="Arial" w:hAnsi="Arial" w:cs="Arial"/>
          <w:sz w:val="24"/>
          <w:szCs w:val="24"/>
          <w:lang w:eastAsia="en-GB"/>
        </w:rPr>
        <w:t>of this Statement.</w:t>
      </w:r>
    </w:p>
    <w:p w14:paraId="2E6B089F" w14:textId="77777777" w:rsidR="008760A3" w:rsidRPr="000A259B" w:rsidRDefault="008760A3" w:rsidP="007F1A06">
      <w:pPr>
        <w:pStyle w:val="NoSpacing"/>
        <w:jc w:val="both"/>
        <w:rPr>
          <w:rFonts w:ascii="Arial" w:hAnsi="Arial" w:cs="Arial"/>
          <w:sz w:val="24"/>
          <w:szCs w:val="24"/>
          <w:lang w:eastAsia="en-GB"/>
        </w:rPr>
      </w:pPr>
    </w:p>
    <w:p w14:paraId="228F462C" w14:textId="075EBE5D" w:rsidR="007F1A06" w:rsidRPr="007F1A06" w:rsidRDefault="007F1A06" w:rsidP="00D34E62">
      <w:pPr>
        <w:pStyle w:val="NoSpacing"/>
        <w:numPr>
          <w:ilvl w:val="0"/>
          <w:numId w:val="3"/>
        </w:numPr>
        <w:ind w:left="567" w:hanging="567"/>
        <w:jc w:val="both"/>
        <w:outlineLvl w:val="0"/>
        <w:rPr>
          <w:rFonts w:ascii="Arial" w:hAnsi="Arial" w:cs="Arial"/>
          <w:sz w:val="24"/>
          <w:szCs w:val="24"/>
          <w:u w:val="single"/>
          <w:lang w:eastAsia="en-GB"/>
        </w:rPr>
      </w:pPr>
      <w:bookmarkStart w:id="5" w:name="_Toc68772045"/>
      <w:r w:rsidRPr="007F1A06">
        <w:rPr>
          <w:rFonts w:ascii="Arial" w:hAnsi="Arial" w:cs="Arial"/>
          <w:b/>
          <w:sz w:val="24"/>
          <w:szCs w:val="24"/>
          <w:u w:val="single"/>
          <w:lang w:eastAsia="en-GB"/>
        </w:rPr>
        <w:t>The development proposals</w:t>
      </w:r>
      <w:bookmarkEnd w:id="5"/>
    </w:p>
    <w:p w14:paraId="6D83D28F" w14:textId="77777777" w:rsidR="007F1A06" w:rsidRDefault="007F1A06" w:rsidP="007F1A06">
      <w:pPr>
        <w:autoSpaceDE w:val="0"/>
        <w:autoSpaceDN w:val="0"/>
        <w:adjustRightInd w:val="0"/>
        <w:spacing w:after="0" w:line="240" w:lineRule="auto"/>
        <w:jc w:val="both"/>
        <w:rPr>
          <w:rFonts w:ascii="Arial" w:hAnsi="Arial" w:cs="Arial"/>
          <w:sz w:val="24"/>
          <w:szCs w:val="24"/>
          <w:lang w:eastAsia="en-GB"/>
        </w:rPr>
      </w:pPr>
    </w:p>
    <w:p w14:paraId="09F5F846" w14:textId="204BA783" w:rsidR="003C387E" w:rsidRDefault="007F1A06" w:rsidP="005655C0">
      <w:pPr>
        <w:pStyle w:val="NoSpacing"/>
        <w:numPr>
          <w:ilvl w:val="1"/>
          <w:numId w:val="39"/>
        </w:numPr>
        <w:ind w:left="567" w:hanging="567"/>
        <w:jc w:val="both"/>
        <w:rPr>
          <w:rFonts w:ascii="Arial" w:hAnsi="Arial" w:cs="Arial"/>
          <w:sz w:val="24"/>
          <w:szCs w:val="24"/>
          <w:lang w:eastAsia="en-GB"/>
        </w:rPr>
      </w:pPr>
      <w:r w:rsidRPr="009E3A6A">
        <w:rPr>
          <w:rFonts w:ascii="Arial" w:hAnsi="Arial" w:cs="Arial"/>
          <w:sz w:val="24"/>
          <w:szCs w:val="24"/>
          <w:lang w:eastAsia="en-GB"/>
        </w:rPr>
        <w:t xml:space="preserve">The </w:t>
      </w:r>
      <w:r w:rsidR="00D3668C">
        <w:rPr>
          <w:rFonts w:ascii="Arial" w:hAnsi="Arial" w:cs="Arial"/>
          <w:sz w:val="24"/>
          <w:szCs w:val="24"/>
          <w:lang w:eastAsia="en-GB"/>
        </w:rPr>
        <w:t xml:space="preserve">estate </w:t>
      </w:r>
      <w:r w:rsidRPr="009E3A6A">
        <w:rPr>
          <w:rFonts w:ascii="Arial" w:hAnsi="Arial" w:cs="Arial"/>
          <w:sz w:val="24"/>
          <w:szCs w:val="24"/>
          <w:lang w:eastAsia="en-GB"/>
        </w:rPr>
        <w:t xml:space="preserve">is located within the established residential area of </w:t>
      </w:r>
      <w:r w:rsidR="008462E8">
        <w:rPr>
          <w:rFonts w:ascii="Arial" w:hAnsi="Arial" w:cs="Arial"/>
          <w:sz w:val="24"/>
          <w:szCs w:val="24"/>
          <w:lang w:eastAsia="en-GB"/>
        </w:rPr>
        <w:t>Kings Norton.</w:t>
      </w:r>
      <w:r>
        <w:rPr>
          <w:rFonts w:ascii="Arial" w:hAnsi="Arial" w:cs="Arial"/>
          <w:sz w:val="24"/>
          <w:szCs w:val="24"/>
          <w:lang w:eastAsia="en-GB"/>
        </w:rPr>
        <w:t xml:space="preserve"> Birmingham Municipal Housing Trust (</w:t>
      </w:r>
      <w:r w:rsidRPr="009E3A6A">
        <w:rPr>
          <w:rFonts w:ascii="Arial" w:hAnsi="Arial" w:cs="Arial"/>
          <w:sz w:val="24"/>
          <w:szCs w:val="24"/>
          <w:lang w:eastAsia="en-GB"/>
        </w:rPr>
        <w:t>BMHT</w:t>
      </w:r>
      <w:r>
        <w:rPr>
          <w:rFonts w:ascii="Arial" w:hAnsi="Arial" w:cs="Arial"/>
          <w:sz w:val="24"/>
          <w:szCs w:val="24"/>
          <w:lang w:eastAsia="en-GB"/>
        </w:rPr>
        <w:t>)</w:t>
      </w:r>
      <w:r w:rsidR="002A2DA0">
        <w:rPr>
          <w:rFonts w:ascii="Arial" w:hAnsi="Arial" w:cs="Arial"/>
          <w:sz w:val="24"/>
          <w:szCs w:val="24"/>
          <w:lang w:eastAsia="en-GB"/>
        </w:rPr>
        <w:t xml:space="preserve">, the housebuilding arm of </w:t>
      </w:r>
      <w:r w:rsidR="00D30DAB">
        <w:rPr>
          <w:rFonts w:ascii="Arial" w:hAnsi="Arial" w:cs="Arial"/>
          <w:sz w:val="24"/>
          <w:szCs w:val="24"/>
          <w:lang w:eastAsia="en-GB"/>
        </w:rPr>
        <w:t>the</w:t>
      </w:r>
      <w:r w:rsidR="002A2DA0">
        <w:rPr>
          <w:rFonts w:ascii="Arial" w:hAnsi="Arial" w:cs="Arial"/>
          <w:sz w:val="24"/>
          <w:szCs w:val="24"/>
          <w:lang w:eastAsia="en-GB"/>
        </w:rPr>
        <w:t xml:space="preserve"> Council,</w:t>
      </w:r>
      <w:r w:rsidRPr="009E3A6A">
        <w:rPr>
          <w:rFonts w:ascii="Arial" w:hAnsi="Arial" w:cs="Arial"/>
          <w:sz w:val="24"/>
          <w:szCs w:val="24"/>
          <w:lang w:eastAsia="en-GB"/>
        </w:rPr>
        <w:t xml:space="preserve"> </w:t>
      </w:r>
      <w:r>
        <w:rPr>
          <w:rFonts w:ascii="Arial" w:hAnsi="Arial" w:cs="Arial"/>
          <w:sz w:val="24"/>
          <w:szCs w:val="24"/>
          <w:lang w:eastAsia="en-GB"/>
        </w:rPr>
        <w:t xml:space="preserve">propose </w:t>
      </w:r>
      <w:r w:rsidRPr="009E3A6A">
        <w:rPr>
          <w:rFonts w:ascii="Arial" w:hAnsi="Arial" w:cs="Arial"/>
          <w:sz w:val="24"/>
          <w:szCs w:val="24"/>
          <w:lang w:eastAsia="en-GB"/>
        </w:rPr>
        <w:t>to</w:t>
      </w:r>
      <w:r>
        <w:rPr>
          <w:rFonts w:ascii="Arial" w:hAnsi="Arial" w:cs="Arial"/>
          <w:sz w:val="24"/>
          <w:szCs w:val="24"/>
          <w:lang w:eastAsia="en-GB"/>
        </w:rPr>
        <w:t xml:space="preserve"> </w:t>
      </w:r>
      <w:r w:rsidRPr="0098018C">
        <w:rPr>
          <w:rFonts w:ascii="Arial" w:hAnsi="Arial" w:cs="Arial"/>
          <w:sz w:val="24"/>
          <w:szCs w:val="24"/>
          <w:lang w:eastAsia="en-GB"/>
        </w:rPr>
        <w:t xml:space="preserve">develop the </w:t>
      </w:r>
      <w:r w:rsidR="008462E8">
        <w:rPr>
          <w:rFonts w:ascii="Arial" w:hAnsi="Arial" w:cs="Arial"/>
          <w:sz w:val="24"/>
          <w:szCs w:val="24"/>
          <w:lang w:eastAsia="en-GB"/>
        </w:rPr>
        <w:t xml:space="preserve">cleared sites across the Pool Farm estate and Shannon Road </w:t>
      </w:r>
      <w:r w:rsidRPr="0098018C">
        <w:rPr>
          <w:rFonts w:ascii="Arial" w:hAnsi="Arial" w:cs="Arial"/>
          <w:sz w:val="24"/>
          <w:szCs w:val="24"/>
          <w:lang w:eastAsia="en-GB"/>
        </w:rPr>
        <w:t xml:space="preserve">to provide </w:t>
      </w:r>
      <w:r w:rsidR="008462E8">
        <w:rPr>
          <w:rFonts w:ascii="Arial" w:hAnsi="Arial" w:cs="Arial"/>
          <w:sz w:val="24"/>
          <w:szCs w:val="24"/>
          <w:lang w:eastAsia="en-GB"/>
        </w:rPr>
        <w:t xml:space="preserve">267 </w:t>
      </w:r>
      <w:r w:rsidRPr="0098018C">
        <w:rPr>
          <w:rFonts w:ascii="Arial" w:hAnsi="Arial" w:cs="Arial"/>
          <w:sz w:val="24"/>
          <w:szCs w:val="24"/>
          <w:lang w:eastAsia="en-GB"/>
        </w:rPr>
        <w:t xml:space="preserve">new </w:t>
      </w:r>
      <w:r w:rsidR="008462E8">
        <w:rPr>
          <w:rFonts w:ascii="Arial" w:hAnsi="Arial" w:cs="Arial"/>
          <w:sz w:val="24"/>
          <w:szCs w:val="24"/>
          <w:lang w:eastAsia="en-GB"/>
        </w:rPr>
        <w:t>homes. This will consist of 163 homes for social rent</w:t>
      </w:r>
      <w:r w:rsidRPr="0098018C">
        <w:rPr>
          <w:rFonts w:ascii="Arial" w:hAnsi="Arial" w:cs="Arial"/>
          <w:sz w:val="24"/>
          <w:szCs w:val="24"/>
          <w:lang w:eastAsia="en-GB"/>
        </w:rPr>
        <w:t xml:space="preserve"> including </w:t>
      </w:r>
      <w:r w:rsidR="008462E8">
        <w:rPr>
          <w:rFonts w:ascii="Arial" w:hAnsi="Arial" w:cs="Arial"/>
          <w:sz w:val="24"/>
          <w:szCs w:val="24"/>
          <w:lang w:eastAsia="en-GB"/>
        </w:rPr>
        <w:t xml:space="preserve">66 </w:t>
      </w:r>
      <w:r w:rsidRPr="0098018C">
        <w:rPr>
          <w:rFonts w:ascii="Arial" w:hAnsi="Arial" w:cs="Arial"/>
          <w:sz w:val="24"/>
          <w:szCs w:val="24"/>
          <w:lang w:eastAsia="en-GB"/>
        </w:rPr>
        <w:t xml:space="preserve">two-bedroom </w:t>
      </w:r>
      <w:r w:rsidR="008462E8">
        <w:rPr>
          <w:rFonts w:ascii="Arial" w:hAnsi="Arial" w:cs="Arial"/>
          <w:sz w:val="24"/>
          <w:szCs w:val="24"/>
          <w:lang w:eastAsia="en-GB"/>
        </w:rPr>
        <w:t xml:space="preserve">houses, 25 </w:t>
      </w:r>
      <w:r w:rsidRPr="0098018C">
        <w:rPr>
          <w:rFonts w:ascii="Arial" w:hAnsi="Arial" w:cs="Arial"/>
          <w:sz w:val="24"/>
          <w:szCs w:val="24"/>
          <w:lang w:eastAsia="en-GB"/>
        </w:rPr>
        <w:t>three</w:t>
      </w:r>
      <w:r>
        <w:rPr>
          <w:rFonts w:ascii="Arial" w:hAnsi="Arial" w:cs="Arial"/>
          <w:sz w:val="24"/>
          <w:szCs w:val="24"/>
          <w:lang w:eastAsia="en-GB"/>
        </w:rPr>
        <w:t>-</w:t>
      </w:r>
      <w:r w:rsidRPr="0098018C">
        <w:rPr>
          <w:rFonts w:ascii="Arial" w:hAnsi="Arial" w:cs="Arial"/>
          <w:sz w:val="24"/>
          <w:szCs w:val="24"/>
          <w:lang w:eastAsia="en-GB"/>
        </w:rPr>
        <w:t xml:space="preserve">bedroom </w:t>
      </w:r>
      <w:r w:rsidR="008462E8">
        <w:rPr>
          <w:rFonts w:ascii="Arial" w:hAnsi="Arial" w:cs="Arial"/>
          <w:sz w:val="24"/>
          <w:szCs w:val="24"/>
          <w:lang w:eastAsia="en-GB"/>
        </w:rPr>
        <w:t>houses, 24</w:t>
      </w:r>
      <w:r w:rsidRPr="0098018C">
        <w:rPr>
          <w:rFonts w:ascii="Arial" w:hAnsi="Arial" w:cs="Arial"/>
          <w:sz w:val="24"/>
          <w:szCs w:val="24"/>
          <w:lang w:eastAsia="en-GB"/>
        </w:rPr>
        <w:t xml:space="preserve"> four</w:t>
      </w:r>
      <w:r>
        <w:rPr>
          <w:rFonts w:ascii="Arial" w:hAnsi="Arial" w:cs="Arial"/>
          <w:sz w:val="24"/>
          <w:szCs w:val="24"/>
          <w:lang w:eastAsia="en-GB"/>
        </w:rPr>
        <w:t>-</w:t>
      </w:r>
      <w:r w:rsidRPr="0098018C">
        <w:rPr>
          <w:rFonts w:ascii="Arial" w:hAnsi="Arial" w:cs="Arial"/>
          <w:sz w:val="24"/>
          <w:szCs w:val="24"/>
          <w:lang w:eastAsia="en-GB"/>
        </w:rPr>
        <w:t xml:space="preserve">bedroom </w:t>
      </w:r>
      <w:r w:rsidR="008462E8">
        <w:rPr>
          <w:rFonts w:ascii="Arial" w:hAnsi="Arial" w:cs="Arial"/>
          <w:sz w:val="24"/>
          <w:szCs w:val="24"/>
          <w:lang w:eastAsia="en-GB"/>
        </w:rPr>
        <w:t xml:space="preserve">houses, 8 </w:t>
      </w:r>
      <w:r w:rsidRPr="0098018C">
        <w:rPr>
          <w:rFonts w:ascii="Arial" w:hAnsi="Arial" w:cs="Arial"/>
          <w:sz w:val="24"/>
          <w:szCs w:val="24"/>
          <w:lang w:eastAsia="en-GB"/>
        </w:rPr>
        <w:t>five</w:t>
      </w:r>
      <w:r>
        <w:rPr>
          <w:rFonts w:ascii="Arial" w:hAnsi="Arial" w:cs="Arial"/>
          <w:sz w:val="24"/>
          <w:szCs w:val="24"/>
          <w:lang w:eastAsia="en-GB"/>
        </w:rPr>
        <w:t>-</w:t>
      </w:r>
      <w:r w:rsidRPr="0098018C">
        <w:rPr>
          <w:rFonts w:ascii="Arial" w:hAnsi="Arial" w:cs="Arial"/>
          <w:sz w:val="24"/>
          <w:szCs w:val="24"/>
          <w:lang w:eastAsia="en-GB"/>
        </w:rPr>
        <w:t xml:space="preserve">bedroom </w:t>
      </w:r>
      <w:r w:rsidR="008462E8">
        <w:rPr>
          <w:rFonts w:ascii="Arial" w:hAnsi="Arial" w:cs="Arial"/>
          <w:sz w:val="24"/>
          <w:szCs w:val="24"/>
          <w:lang w:eastAsia="en-GB"/>
        </w:rPr>
        <w:t xml:space="preserve">houses and 16 one-bedroom apartments and 24 two-bedroom apartments. </w:t>
      </w:r>
      <w:r w:rsidR="002E0C5E">
        <w:rPr>
          <w:rFonts w:ascii="Arial" w:hAnsi="Arial" w:cs="Arial"/>
          <w:sz w:val="24"/>
          <w:szCs w:val="24"/>
          <w:lang w:eastAsia="en-GB"/>
        </w:rPr>
        <w:t>In addition to this it is proposed to provide 104 homes for open market sale consisting of 46 two-bedroom houses, 54 three-bedroom houses and 4 four-bedroom houses.</w:t>
      </w:r>
      <w:r w:rsidR="000F7C31">
        <w:rPr>
          <w:rFonts w:ascii="Arial" w:hAnsi="Arial" w:cs="Arial"/>
          <w:sz w:val="24"/>
          <w:szCs w:val="24"/>
          <w:lang w:eastAsia="en-GB"/>
        </w:rPr>
        <w:t xml:space="preserve"> This</w:t>
      </w:r>
      <w:r w:rsidR="002E0C5E">
        <w:rPr>
          <w:rFonts w:ascii="Arial" w:hAnsi="Arial" w:cs="Arial"/>
          <w:sz w:val="24"/>
          <w:szCs w:val="24"/>
          <w:lang w:eastAsia="en-GB"/>
        </w:rPr>
        <w:t xml:space="preserve"> </w:t>
      </w:r>
      <w:r w:rsidR="000F7C31">
        <w:rPr>
          <w:rFonts w:ascii="Arial" w:hAnsi="Arial" w:cs="Arial"/>
          <w:sz w:val="24"/>
          <w:szCs w:val="24"/>
          <w:lang w:eastAsia="en-GB"/>
        </w:rPr>
        <w:t>is i</w:t>
      </w:r>
      <w:r w:rsidR="002E0C5E">
        <w:rPr>
          <w:rFonts w:ascii="Arial" w:hAnsi="Arial" w:cs="Arial"/>
          <w:sz w:val="24"/>
          <w:szCs w:val="24"/>
          <w:lang w:eastAsia="en-GB"/>
        </w:rPr>
        <w:t>n</w:t>
      </w:r>
      <w:r w:rsidR="00760099">
        <w:rPr>
          <w:rFonts w:ascii="Arial" w:hAnsi="Arial" w:cs="Arial"/>
          <w:sz w:val="24"/>
          <w:szCs w:val="24"/>
          <w:lang w:eastAsia="en-GB"/>
        </w:rPr>
        <w:t xml:space="preserve"> accordance with the planning permission</w:t>
      </w:r>
      <w:r w:rsidR="00F35109">
        <w:rPr>
          <w:rFonts w:ascii="Arial" w:hAnsi="Arial" w:cs="Arial"/>
          <w:sz w:val="24"/>
          <w:szCs w:val="24"/>
          <w:lang w:eastAsia="en-GB"/>
        </w:rPr>
        <w:t>s</w:t>
      </w:r>
      <w:r w:rsidR="003B123C">
        <w:rPr>
          <w:rFonts w:ascii="Arial" w:hAnsi="Arial" w:cs="Arial"/>
          <w:sz w:val="24"/>
          <w:szCs w:val="24"/>
          <w:lang w:eastAsia="en-GB"/>
        </w:rPr>
        <w:t xml:space="preserve"> (</w:t>
      </w:r>
      <w:bookmarkStart w:id="6" w:name="_Hlk61514317"/>
      <w:r w:rsidR="003B123C">
        <w:rPr>
          <w:rFonts w:ascii="Arial" w:hAnsi="Arial" w:cs="Arial"/>
          <w:sz w:val="24"/>
          <w:szCs w:val="24"/>
        </w:rPr>
        <w:t>2020/08312/PA and 2020/08270/PA</w:t>
      </w:r>
      <w:bookmarkEnd w:id="6"/>
      <w:r w:rsidR="00D1063A">
        <w:rPr>
          <w:rFonts w:ascii="Arial" w:hAnsi="Arial" w:cs="Arial"/>
          <w:sz w:val="24"/>
          <w:szCs w:val="24"/>
        </w:rPr>
        <w:t xml:space="preserve"> (</w:t>
      </w:r>
      <w:r w:rsidR="00D1063A" w:rsidRPr="00020D99">
        <w:rPr>
          <w:rFonts w:ascii="Arial" w:hAnsi="Arial" w:cs="Arial"/>
          <w:sz w:val="24"/>
          <w:szCs w:val="24"/>
        </w:rPr>
        <w:t>BCC</w:t>
      </w:r>
      <w:r w:rsidR="004B60F2">
        <w:rPr>
          <w:rFonts w:ascii="Arial" w:hAnsi="Arial" w:cs="Arial"/>
          <w:sz w:val="24"/>
          <w:szCs w:val="24"/>
        </w:rPr>
        <w:t>5 to</w:t>
      </w:r>
      <w:r w:rsidR="00D1063A" w:rsidRPr="00020D99">
        <w:rPr>
          <w:rFonts w:ascii="Arial" w:hAnsi="Arial" w:cs="Arial"/>
          <w:sz w:val="24"/>
          <w:szCs w:val="24"/>
        </w:rPr>
        <w:t xml:space="preserve"> BCC</w:t>
      </w:r>
      <w:r w:rsidR="00251FC1" w:rsidRPr="00020D99">
        <w:rPr>
          <w:rFonts w:ascii="Arial" w:hAnsi="Arial" w:cs="Arial"/>
          <w:sz w:val="24"/>
          <w:szCs w:val="24"/>
        </w:rPr>
        <w:t>1</w:t>
      </w:r>
      <w:r w:rsidR="00F87E1D" w:rsidRPr="00020D99">
        <w:rPr>
          <w:rFonts w:ascii="Arial" w:hAnsi="Arial" w:cs="Arial"/>
          <w:sz w:val="24"/>
          <w:szCs w:val="24"/>
        </w:rPr>
        <w:t>0</w:t>
      </w:r>
      <w:r w:rsidR="003B123C">
        <w:rPr>
          <w:rFonts w:ascii="Arial" w:hAnsi="Arial" w:cs="Arial"/>
          <w:sz w:val="24"/>
          <w:szCs w:val="24"/>
        </w:rPr>
        <w:t>)</w:t>
      </w:r>
      <w:r w:rsidR="00D513CE">
        <w:rPr>
          <w:rFonts w:ascii="Arial" w:hAnsi="Arial" w:cs="Arial"/>
          <w:sz w:val="24"/>
          <w:szCs w:val="24"/>
          <w:lang w:eastAsia="en-GB"/>
        </w:rPr>
        <w:t>.</w:t>
      </w:r>
      <w:r w:rsidRPr="0098018C">
        <w:rPr>
          <w:rFonts w:ascii="Arial" w:hAnsi="Arial" w:cs="Arial"/>
          <w:sz w:val="24"/>
          <w:szCs w:val="24"/>
          <w:lang w:eastAsia="en-GB"/>
        </w:rPr>
        <w:t xml:space="preserve"> The scheme</w:t>
      </w:r>
      <w:r w:rsidR="00760099">
        <w:rPr>
          <w:rFonts w:ascii="Arial" w:hAnsi="Arial" w:cs="Arial"/>
          <w:sz w:val="24"/>
          <w:szCs w:val="24"/>
          <w:lang w:eastAsia="en-GB"/>
        </w:rPr>
        <w:t xml:space="preserve"> also</w:t>
      </w:r>
      <w:r w:rsidRPr="0098018C">
        <w:rPr>
          <w:rFonts w:ascii="Arial" w:hAnsi="Arial" w:cs="Arial"/>
          <w:sz w:val="24"/>
          <w:szCs w:val="24"/>
          <w:lang w:eastAsia="en-GB"/>
        </w:rPr>
        <w:t xml:space="preserve"> includes associated parking and landscaping</w:t>
      </w:r>
      <w:r>
        <w:rPr>
          <w:rFonts w:ascii="Arial" w:hAnsi="Arial" w:cs="Arial"/>
          <w:sz w:val="24"/>
          <w:szCs w:val="24"/>
          <w:lang w:eastAsia="en-GB"/>
        </w:rPr>
        <w:t>.</w:t>
      </w:r>
    </w:p>
    <w:p w14:paraId="7B703E61" w14:textId="77777777" w:rsidR="003C387E" w:rsidRDefault="003C387E" w:rsidP="003C387E">
      <w:pPr>
        <w:pStyle w:val="NoSpacing"/>
        <w:ind w:left="360"/>
        <w:jc w:val="both"/>
        <w:rPr>
          <w:rFonts w:ascii="Arial" w:hAnsi="Arial" w:cs="Arial"/>
          <w:sz w:val="24"/>
          <w:szCs w:val="24"/>
          <w:lang w:eastAsia="en-GB"/>
        </w:rPr>
      </w:pPr>
    </w:p>
    <w:p w14:paraId="65436422" w14:textId="2C5819BD" w:rsidR="003C387E" w:rsidRDefault="00487959" w:rsidP="005655C0">
      <w:pPr>
        <w:pStyle w:val="NoSpacing"/>
        <w:numPr>
          <w:ilvl w:val="1"/>
          <w:numId w:val="39"/>
        </w:numPr>
        <w:ind w:left="567" w:hanging="567"/>
        <w:jc w:val="both"/>
        <w:rPr>
          <w:rFonts w:ascii="Arial" w:hAnsi="Arial" w:cs="Arial"/>
          <w:sz w:val="24"/>
          <w:szCs w:val="24"/>
          <w:lang w:eastAsia="en-GB"/>
        </w:rPr>
      </w:pPr>
      <w:r w:rsidRPr="003C387E">
        <w:rPr>
          <w:rFonts w:ascii="Arial" w:hAnsi="Arial" w:cs="Arial"/>
          <w:sz w:val="24"/>
          <w:szCs w:val="24"/>
          <w:lang w:eastAsia="en-GB"/>
        </w:rPr>
        <w:t xml:space="preserve">The </w:t>
      </w:r>
      <w:r w:rsidR="000F7C31" w:rsidRPr="003C387E">
        <w:rPr>
          <w:rFonts w:ascii="Arial" w:hAnsi="Arial" w:cs="Arial"/>
          <w:sz w:val="24"/>
          <w:szCs w:val="24"/>
          <w:lang w:eastAsia="en-GB"/>
        </w:rPr>
        <w:t xml:space="preserve">construction of new homes will be </w:t>
      </w:r>
      <w:r w:rsidRPr="003C387E">
        <w:rPr>
          <w:rFonts w:ascii="Arial" w:hAnsi="Arial" w:cs="Arial"/>
          <w:sz w:val="24"/>
          <w:szCs w:val="24"/>
          <w:lang w:eastAsia="en-GB"/>
        </w:rPr>
        <w:t xml:space="preserve">phased </w:t>
      </w:r>
      <w:r w:rsidR="002340D7" w:rsidRPr="003C387E">
        <w:rPr>
          <w:rFonts w:ascii="Arial" w:hAnsi="Arial" w:cs="Arial"/>
          <w:sz w:val="24"/>
          <w:szCs w:val="24"/>
          <w:lang w:eastAsia="en-GB"/>
        </w:rPr>
        <w:t>with the first phase being the sections of Gildas Avenue and Bentmead Grove where rehousing and demolitions ha</w:t>
      </w:r>
      <w:r w:rsidR="00D819D7">
        <w:rPr>
          <w:rFonts w:ascii="Arial" w:hAnsi="Arial" w:cs="Arial"/>
          <w:sz w:val="24"/>
          <w:szCs w:val="24"/>
          <w:lang w:eastAsia="en-GB"/>
        </w:rPr>
        <w:t>ve</w:t>
      </w:r>
      <w:r w:rsidR="002340D7" w:rsidRPr="003C387E">
        <w:rPr>
          <w:rFonts w:ascii="Arial" w:hAnsi="Arial" w:cs="Arial"/>
          <w:sz w:val="24"/>
          <w:szCs w:val="24"/>
          <w:lang w:eastAsia="en-GB"/>
        </w:rPr>
        <w:t xml:space="preserve"> been completed. As further sites are made available through clearance and </w:t>
      </w:r>
      <w:r w:rsidR="00F05A21" w:rsidRPr="003C387E">
        <w:rPr>
          <w:rFonts w:ascii="Arial" w:hAnsi="Arial" w:cs="Arial"/>
          <w:sz w:val="24"/>
          <w:szCs w:val="24"/>
          <w:lang w:eastAsia="en-GB"/>
        </w:rPr>
        <w:t>demolition,</w:t>
      </w:r>
      <w:r w:rsidR="002340D7" w:rsidRPr="003C387E">
        <w:rPr>
          <w:rFonts w:ascii="Arial" w:hAnsi="Arial" w:cs="Arial"/>
          <w:sz w:val="24"/>
          <w:szCs w:val="24"/>
          <w:lang w:eastAsia="en-GB"/>
        </w:rPr>
        <w:t xml:space="preserve"> they will form part of </w:t>
      </w:r>
      <w:r w:rsidR="00B4211C">
        <w:rPr>
          <w:rFonts w:ascii="Arial" w:hAnsi="Arial" w:cs="Arial"/>
          <w:sz w:val="24"/>
          <w:szCs w:val="24"/>
          <w:lang w:eastAsia="en-GB"/>
        </w:rPr>
        <w:t xml:space="preserve"> later</w:t>
      </w:r>
      <w:r w:rsidR="002340D7" w:rsidRPr="003C387E">
        <w:rPr>
          <w:rFonts w:ascii="Arial" w:hAnsi="Arial" w:cs="Arial"/>
          <w:sz w:val="24"/>
          <w:szCs w:val="24"/>
          <w:lang w:eastAsia="en-GB"/>
        </w:rPr>
        <w:t xml:space="preserve"> phases of development.</w:t>
      </w:r>
    </w:p>
    <w:p w14:paraId="1635A9F9" w14:textId="77777777" w:rsidR="003C387E" w:rsidRDefault="003C387E" w:rsidP="003C387E">
      <w:pPr>
        <w:pStyle w:val="NoSpacing"/>
        <w:jc w:val="both"/>
        <w:rPr>
          <w:rFonts w:ascii="Arial" w:hAnsi="Arial" w:cs="Arial"/>
          <w:sz w:val="24"/>
          <w:szCs w:val="24"/>
          <w:lang w:eastAsia="en-GB"/>
        </w:rPr>
      </w:pPr>
    </w:p>
    <w:p w14:paraId="0B8A1C21" w14:textId="4AE02E05" w:rsidR="003C387E" w:rsidRDefault="002340D7" w:rsidP="005655C0">
      <w:pPr>
        <w:pStyle w:val="NoSpacing"/>
        <w:numPr>
          <w:ilvl w:val="1"/>
          <w:numId w:val="39"/>
        </w:numPr>
        <w:ind w:left="567" w:hanging="567"/>
        <w:jc w:val="both"/>
        <w:rPr>
          <w:rFonts w:ascii="Arial" w:hAnsi="Arial" w:cs="Arial"/>
          <w:sz w:val="24"/>
          <w:szCs w:val="24"/>
          <w:lang w:eastAsia="en-GB"/>
        </w:rPr>
      </w:pPr>
      <w:r w:rsidRPr="003C387E">
        <w:rPr>
          <w:rFonts w:ascii="Arial" w:hAnsi="Arial" w:cs="Arial"/>
          <w:sz w:val="24"/>
          <w:szCs w:val="24"/>
          <w:lang w:eastAsia="en-GB"/>
        </w:rPr>
        <w:t xml:space="preserve">The existing road layout will be </w:t>
      </w:r>
      <w:r w:rsidR="00D44D39" w:rsidRPr="003C387E">
        <w:rPr>
          <w:rFonts w:ascii="Arial" w:hAnsi="Arial" w:cs="Arial"/>
          <w:sz w:val="24"/>
          <w:szCs w:val="24"/>
          <w:lang w:eastAsia="en-GB"/>
        </w:rPr>
        <w:t xml:space="preserve">largely </w:t>
      </w:r>
      <w:r w:rsidRPr="003C387E">
        <w:rPr>
          <w:rFonts w:ascii="Arial" w:hAnsi="Arial" w:cs="Arial"/>
          <w:sz w:val="24"/>
          <w:szCs w:val="24"/>
          <w:lang w:eastAsia="en-GB"/>
        </w:rPr>
        <w:t xml:space="preserve">unchanged as it serves retained houses and the </w:t>
      </w:r>
      <w:r w:rsidRPr="003C387E">
        <w:rPr>
          <w:rFonts w:ascii="Arial" w:hAnsi="Arial" w:cs="Arial"/>
          <w:sz w:val="24"/>
          <w:szCs w:val="24"/>
        </w:rPr>
        <w:t>new properties will largely follow the existing building line</w:t>
      </w:r>
      <w:r w:rsidR="00D44D39" w:rsidRPr="003C387E">
        <w:rPr>
          <w:rFonts w:ascii="Arial" w:hAnsi="Arial" w:cs="Arial"/>
          <w:sz w:val="24"/>
          <w:szCs w:val="24"/>
        </w:rPr>
        <w:t xml:space="preserve">, however on the Pool Farm estate some existing roads </w:t>
      </w:r>
      <w:r w:rsidR="00B4211C">
        <w:rPr>
          <w:rFonts w:ascii="Arial" w:hAnsi="Arial" w:cs="Arial"/>
          <w:sz w:val="24"/>
          <w:szCs w:val="24"/>
        </w:rPr>
        <w:t xml:space="preserve"> will be </w:t>
      </w:r>
      <w:r w:rsidR="00D44D39" w:rsidRPr="003C387E">
        <w:rPr>
          <w:rFonts w:ascii="Arial" w:hAnsi="Arial" w:cs="Arial"/>
          <w:sz w:val="24"/>
          <w:szCs w:val="24"/>
        </w:rPr>
        <w:t>extended or some small cul-de-sacs will be created.  There will be new roads serving the new homes proposed to be built on the Shannon Road site.</w:t>
      </w:r>
      <w:r w:rsidR="007431BF" w:rsidRPr="003C387E">
        <w:rPr>
          <w:rFonts w:ascii="Arial" w:hAnsi="Arial" w:cs="Arial"/>
          <w:sz w:val="24"/>
          <w:szCs w:val="24"/>
        </w:rPr>
        <w:t xml:space="preserve"> The </w:t>
      </w:r>
      <w:r w:rsidR="00EE54A2" w:rsidRPr="003C387E">
        <w:rPr>
          <w:rFonts w:ascii="Arial" w:hAnsi="Arial" w:cs="Arial"/>
          <w:sz w:val="24"/>
          <w:szCs w:val="24"/>
        </w:rPr>
        <w:t xml:space="preserve">proposed </w:t>
      </w:r>
      <w:r w:rsidR="007431BF" w:rsidRPr="003C387E">
        <w:rPr>
          <w:rFonts w:ascii="Arial" w:hAnsi="Arial" w:cs="Arial"/>
          <w:sz w:val="24"/>
          <w:szCs w:val="24"/>
        </w:rPr>
        <w:t xml:space="preserve">redevelopment follows established principles of good urban design with the creation of secure perimeter blocks with building frontages facing public streets along with secure private gardens. The creation of stronger more coherent building lines </w:t>
      </w:r>
      <w:r w:rsidR="00EE54A2" w:rsidRPr="003C387E">
        <w:rPr>
          <w:rFonts w:ascii="Arial" w:hAnsi="Arial" w:cs="Arial"/>
          <w:sz w:val="24"/>
          <w:szCs w:val="24"/>
        </w:rPr>
        <w:t xml:space="preserve">will </w:t>
      </w:r>
      <w:r w:rsidR="007431BF" w:rsidRPr="003C387E">
        <w:rPr>
          <w:rFonts w:ascii="Arial" w:hAnsi="Arial" w:cs="Arial"/>
          <w:sz w:val="24"/>
          <w:szCs w:val="24"/>
        </w:rPr>
        <w:t>be achieved along with improved street enclosure, natural surveillance and better definition of private and public space. A more positive sense of place will be created through the grouping of houses, treatment of corner plots and full consideration of trees and landscaping</w:t>
      </w:r>
      <w:r w:rsidR="00EE54A2" w:rsidRPr="003C387E">
        <w:rPr>
          <w:rFonts w:ascii="Arial" w:hAnsi="Arial" w:cs="Arial"/>
          <w:sz w:val="24"/>
          <w:szCs w:val="24"/>
        </w:rPr>
        <w:t xml:space="preserve"> within the development</w:t>
      </w:r>
      <w:r w:rsidR="007431BF" w:rsidRPr="003C387E">
        <w:rPr>
          <w:rFonts w:ascii="Arial" w:hAnsi="Arial" w:cs="Arial"/>
          <w:sz w:val="24"/>
          <w:szCs w:val="24"/>
        </w:rPr>
        <w:t xml:space="preserve">. </w:t>
      </w:r>
    </w:p>
    <w:p w14:paraId="4C65DECD" w14:textId="77777777" w:rsidR="003C387E" w:rsidRDefault="003C387E" w:rsidP="00B03195">
      <w:pPr>
        <w:pStyle w:val="ListParagraph"/>
        <w:spacing w:after="0" w:line="240" w:lineRule="auto"/>
        <w:rPr>
          <w:rFonts w:ascii="Arial" w:hAnsi="Arial" w:cs="Arial"/>
          <w:sz w:val="24"/>
          <w:szCs w:val="24"/>
          <w:lang w:eastAsia="en-GB"/>
        </w:rPr>
      </w:pPr>
    </w:p>
    <w:p w14:paraId="572CF32F" w14:textId="15524A4D" w:rsidR="003C387E" w:rsidRDefault="00D44D39" w:rsidP="005655C0">
      <w:pPr>
        <w:pStyle w:val="NoSpacing"/>
        <w:numPr>
          <w:ilvl w:val="1"/>
          <w:numId w:val="39"/>
        </w:numPr>
        <w:ind w:left="567" w:hanging="567"/>
        <w:jc w:val="both"/>
        <w:rPr>
          <w:rFonts w:ascii="Arial" w:hAnsi="Arial" w:cs="Arial"/>
          <w:sz w:val="24"/>
          <w:szCs w:val="24"/>
          <w:lang w:eastAsia="en-GB"/>
        </w:rPr>
      </w:pPr>
      <w:r w:rsidRPr="003C387E">
        <w:rPr>
          <w:rFonts w:ascii="Arial" w:hAnsi="Arial" w:cs="Arial"/>
          <w:sz w:val="24"/>
          <w:szCs w:val="24"/>
          <w:lang w:eastAsia="en-GB"/>
        </w:rPr>
        <w:t xml:space="preserve">The proposed </w:t>
      </w:r>
      <w:r w:rsidR="00B4211C">
        <w:rPr>
          <w:rFonts w:ascii="Arial" w:hAnsi="Arial" w:cs="Arial"/>
          <w:sz w:val="24"/>
          <w:szCs w:val="24"/>
          <w:lang w:eastAsia="en-GB"/>
        </w:rPr>
        <w:t xml:space="preserve"> new housing</w:t>
      </w:r>
      <w:r w:rsidRPr="003C387E">
        <w:rPr>
          <w:rFonts w:ascii="Arial" w:hAnsi="Arial" w:cs="Arial"/>
          <w:sz w:val="24"/>
          <w:szCs w:val="24"/>
          <w:lang w:eastAsia="en-GB"/>
        </w:rPr>
        <w:t xml:space="preserve"> will be </w:t>
      </w:r>
      <w:r w:rsidR="00294309" w:rsidRPr="003C387E">
        <w:rPr>
          <w:rFonts w:ascii="Arial" w:hAnsi="Arial" w:cs="Arial"/>
          <w:sz w:val="24"/>
          <w:szCs w:val="24"/>
          <w:lang w:eastAsia="en-GB"/>
        </w:rPr>
        <w:t xml:space="preserve">of traditional construction with </w:t>
      </w:r>
      <w:r w:rsidRPr="003C387E">
        <w:rPr>
          <w:rFonts w:ascii="Arial" w:hAnsi="Arial" w:cs="Arial"/>
          <w:sz w:val="24"/>
          <w:szCs w:val="24"/>
          <w:lang w:eastAsia="en-GB"/>
        </w:rPr>
        <w:t xml:space="preserve">quality brickwork which continue the approach adopted in other recent infill developments in the area. As well as lifting the visual quality, brickwork also provides longevity and will require minimal maintenance. </w:t>
      </w:r>
    </w:p>
    <w:p w14:paraId="727A308E" w14:textId="77777777" w:rsidR="003C387E" w:rsidRDefault="003C387E" w:rsidP="00B03195">
      <w:pPr>
        <w:pStyle w:val="ListParagraph"/>
        <w:spacing w:after="0" w:line="240" w:lineRule="auto"/>
        <w:rPr>
          <w:rFonts w:ascii="Arial" w:hAnsi="Arial" w:cs="Arial"/>
          <w:sz w:val="24"/>
          <w:szCs w:val="24"/>
          <w:lang w:eastAsia="en-GB"/>
        </w:rPr>
      </w:pPr>
    </w:p>
    <w:p w14:paraId="135578FF" w14:textId="77777777" w:rsidR="003C387E" w:rsidRDefault="00294309" w:rsidP="005655C0">
      <w:pPr>
        <w:pStyle w:val="NoSpacing"/>
        <w:numPr>
          <w:ilvl w:val="1"/>
          <w:numId w:val="39"/>
        </w:numPr>
        <w:ind w:left="567" w:hanging="567"/>
        <w:jc w:val="both"/>
        <w:rPr>
          <w:rFonts w:ascii="Arial" w:hAnsi="Arial" w:cs="Arial"/>
          <w:sz w:val="24"/>
          <w:szCs w:val="24"/>
          <w:lang w:eastAsia="en-GB"/>
        </w:rPr>
      </w:pPr>
      <w:r w:rsidRPr="003C387E">
        <w:rPr>
          <w:rFonts w:ascii="Arial" w:hAnsi="Arial" w:cs="Arial"/>
          <w:sz w:val="24"/>
          <w:szCs w:val="24"/>
          <w:lang w:eastAsia="en-GB"/>
        </w:rPr>
        <w:t xml:space="preserve">Where feasible the trees have been retained in the plans for Pool Farm and Shannon Road. Due to the site constraints (i.e. topography, development platforms) some tree removal has been unavoidable however those trees identified for removal </w:t>
      </w:r>
      <w:r w:rsidR="007F1A06" w:rsidRPr="003C387E">
        <w:rPr>
          <w:rFonts w:ascii="Arial" w:hAnsi="Arial" w:cs="Arial"/>
          <w:sz w:val="24"/>
          <w:szCs w:val="24"/>
        </w:rPr>
        <w:t xml:space="preserve">are not protected by </w:t>
      </w:r>
      <w:r w:rsidR="000F7C31" w:rsidRPr="003C387E">
        <w:rPr>
          <w:rFonts w:ascii="Arial" w:hAnsi="Arial" w:cs="Arial"/>
          <w:sz w:val="24"/>
          <w:szCs w:val="24"/>
        </w:rPr>
        <w:t>T</w:t>
      </w:r>
      <w:r w:rsidR="007F1A06" w:rsidRPr="003C387E">
        <w:rPr>
          <w:rFonts w:ascii="Arial" w:hAnsi="Arial" w:cs="Arial"/>
          <w:sz w:val="24"/>
          <w:szCs w:val="24"/>
        </w:rPr>
        <w:t>ree Preservation Order</w:t>
      </w:r>
      <w:r w:rsidRPr="003C387E">
        <w:rPr>
          <w:rFonts w:ascii="Arial" w:hAnsi="Arial" w:cs="Arial"/>
          <w:sz w:val="24"/>
          <w:szCs w:val="24"/>
        </w:rPr>
        <w:t>s</w:t>
      </w:r>
      <w:r w:rsidR="007F1A06" w:rsidRPr="003C387E">
        <w:rPr>
          <w:rFonts w:ascii="Arial" w:hAnsi="Arial" w:cs="Arial"/>
          <w:sz w:val="24"/>
          <w:szCs w:val="24"/>
        </w:rPr>
        <w:t xml:space="preserve">. Public realm landscaping is proposed together with replacement trees being provided. New boundary treatments would be a combination of railings, brick walls and fencing along street frontages and </w:t>
      </w:r>
      <w:r w:rsidR="000B369E" w:rsidRPr="003C387E">
        <w:rPr>
          <w:rFonts w:ascii="Arial" w:hAnsi="Arial" w:cs="Arial"/>
          <w:sz w:val="24"/>
          <w:szCs w:val="24"/>
        </w:rPr>
        <w:t>1.8-metre-high</w:t>
      </w:r>
      <w:r w:rsidR="007F1A06" w:rsidRPr="003C387E">
        <w:rPr>
          <w:rFonts w:ascii="Arial" w:hAnsi="Arial" w:cs="Arial"/>
          <w:sz w:val="24"/>
          <w:szCs w:val="24"/>
        </w:rPr>
        <w:t xml:space="preserve"> close boarded fencing to the rear boundaries of the properties.</w:t>
      </w:r>
    </w:p>
    <w:p w14:paraId="510F9898" w14:textId="77777777" w:rsidR="003C387E" w:rsidRDefault="003C387E" w:rsidP="00B03195">
      <w:pPr>
        <w:pStyle w:val="ListParagraph"/>
        <w:spacing w:after="0" w:line="240" w:lineRule="auto"/>
        <w:rPr>
          <w:rFonts w:ascii="Arial" w:hAnsi="Arial" w:cs="Arial"/>
          <w:sz w:val="24"/>
          <w:szCs w:val="24"/>
        </w:rPr>
      </w:pPr>
    </w:p>
    <w:p w14:paraId="4E52BB7A" w14:textId="41F01CAA" w:rsidR="003C387E" w:rsidRDefault="000F7C31" w:rsidP="005655C0">
      <w:pPr>
        <w:pStyle w:val="NoSpacing"/>
        <w:numPr>
          <w:ilvl w:val="1"/>
          <w:numId w:val="39"/>
        </w:numPr>
        <w:ind w:left="567" w:hanging="567"/>
        <w:jc w:val="both"/>
        <w:rPr>
          <w:rFonts w:ascii="Arial" w:hAnsi="Arial" w:cs="Arial"/>
          <w:sz w:val="24"/>
          <w:szCs w:val="24"/>
          <w:lang w:eastAsia="en-GB"/>
        </w:rPr>
      </w:pPr>
      <w:r w:rsidRPr="003C387E">
        <w:rPr>
          <w:rFonts w:ascii="Arial" w:hAnsi="Arial" w:cs="Arial"/>
          <w:sz w:val="24"/>
          <w:szCs w:val="24"/>
        </w:rPr>
        <w:t xml:space="preserve">Subject to a successful procurement process the Council intends to appoint and enter into contract with a </w:t>
      </w:r>
      <w:r w:rsidR="007545EC">
        <w:rPr>
          <w:rFonts w:ascii="Arial" w:hAnsi="Arial" w:cs="Arial"/>
          <w:sz w:val="24"/>
          <w:szCs w:val="24"/>
        </w:rPr>
        <w:t>development contractor</w:t>
      </w:r>
      <w:r w:rsidRPr="003C387E">
        <w:rPr>
          <w:rFonts w:ascii="Arial" w:hAnsi="Arial" w:cs="Arial"/>
          <w:sz w:val="24"/>
          <w:szCs w:val="24"/>
        </w:rPr>
        <w:t xml:space="preserve"> in 2021 with a projected start on site date in early 2022. It is anticipated that the contract will run until October 202</w:t>
      </w:r>
      <w:r w:rsidR="000B4738" w:rsidRPr="003C387E">
        <w:rPr>
          <w:rFonts w:ascii="Arial" w:hAnsi="Arial" w:cs="Arial"/>
          <w:sz w:val="24"/>
          <w:szCs w:val="24"/>
        </w:rPr>
        <w:t>6</w:t>
      </w:r>
    </w:p>
    <w:p w14:paraId="56EF2743" w14:textId="77777777" w:rsidR="003C387E" w:rsidRDefault="003C387E" w:rsidP="00B03195">
      <w:pPr>
        <w:pStyle w:val="ListParagraph"/>
        <w:spacing w:after="0" w:line="240" w:lineRule="auto"/>
        <w:rPr>
          <w:rFonts w:ascii="Arial" w:hAnsi="Arial" w:cs="Arial"/>
          <w:sz w:val="24"/>
          <w:szCs w:val="24"/>
        </w:rPr>
      </w:pPr>
    </w:p>
    <w:p w14:paraId="7AB24ECB" w14:textId="0ACB4AE8" w:rsidR="00896567" w:rsidRDefault="001359B2" w:rsidP="005655C0">
      <w:pPr>
        <w:pStyle w:val="NoSpacing"/>
        <w:numPr>
          <w:ilvl w:val="1"/>
          <w:numId w:val="39"/>
        </w:numPr>
        <w:ind w:left="567" w:hanging="567"/>
        <w:jc w:val="both"/>
        <w:rPr>
          <w:rFonts w:ascii="Arial" w:hAnsi="Arial" w:cs="Arial"/>
          <w:sz w:val="24"/>
          <w:szCs w:val="24"/>
          <w:lang w:eastAsia="en-GB"/>
        </w:rPr>
      </w:pPr>
      <w:r w:rsidRPr="003C387E">
        <w:rPr>
          <w:rFonts w:ascii="Arial" w:hAnsi="Arial" w:cs="Arial"/>
          <w:sz w:val="24"/>
          <w:szCs w:val="24"/>
        </w:rPr>
        <w:t xml:space="preserve">The project has been fully costed and a Financial Business Case has been agreed in the Birmingham City Council Cabinet Report – </w:t>
      </w:r>
      <w:r w:rsidR="00855233" w:rsidRPr="003C387E">
        <w:rPr>
          <w:rFonts w:ascii="Arial" w:hAnsi="Arial" w:cs="Arial"/>
          <w:sz w:val="24"/>
          <w:szCs w:val="24"/>
        </w:rPr>
        <w:t>‘Building Homes on the Pool Farm Estate and Shannon Road site 9</w:t>
      </w:r>
      <w:r w:rsidR="00855233" w:rsidRPr="003C387E">
        <w:rPr>
          <w:rFonts w:ascii="Arial" w:hAnsi="Arial" w:cs="Arial"/>
          <w:sz w:val="24"/>
          <w:szCs w:val="24"/>
          <w:vertAlign w:val="superscript"/>
        </w:rPr>
        <w:t>th</w:t>
      </w:r>
      <w:r w:rsidR="00855233" w:rsidRPr="003C387E">
        <w:rPr>
          <w:rFonts w:ascii="Arial" w:hAnsi="Arial" w:cs="Arial"/>
          <w:sz w:val="24"/>
          <w:szCs w:val="24"/>
        </w:rPr>
        <w:t xml:space="preserve"> February 2021</w:t>
      </w:r>
      <w:r w:rsidR="00D1063A">
        <w:rPr>
          <w:rFonts w:ascii="Arial" w:hAnsi="Arial" w:cs="Arial"/>
          <w:sz w:val="24"/>
          <w:szCs w:val="24"/>
        </w:rPr>
        <w:t xml:space="preserve"> (BCC</w:t>
      </w:r>
      <w:r w:rsidR="00251FC1">
        <w:rPr>
          <w:rFonts w:ascii="Arial" w:hAnsi="Arial" w:cs="Arial"/>
          <w:sz w:val="24"/>
          <w:szCs w:val="24"/>
        </w:rPr>
        <w:t>1</w:t>
      </w:r>
      <w:r w:rsidR="00544DC5">
        <w:rPr>
          <w:rFonts w:ascii="Arial" w:hAnsi="Arial" w:cs="Arial"/>
          <w:sz w:val="24"/>
          <w:szCs w:val="24"/>
        </w:rPr>
        <w:t>2</w:t>
      </w:r>
      <w:r w:rsidR="00D1063A">
        <w:rPr>
          <w:rFonts w:ascii="Arial" w:hAnsi="Arial" w:cs="Arial"/>
          <w:sz w:val="24"/>
          <w:szCs w:val="24"/>
        </w:rPr>
        <w:t>)</w:t>
      </w:r>
      <w:r w:rsidR="00515454" w:rsidRPr="003C387E">
        <w:rPr>
          <w:rFonts w:ascii="Arial" w:hAnsi="Arial" w:cs="Arial"/>
          <w:sz w:val="24"/>
          <w:szCs w:val="24"/>
        </w:rPr>
        <w:t>.</w:t>
      </w:r>
    </w:p>
    <w:p w14:paraId="2585CBC4" w14:textId="77777777" w:rsidR="00896567" w:rsidRDefault="00896567" w:rsidP="00B03195">
      <w:pPr>
        <w:pStyle w:val="ListParagraph"/>
        <w:spacing w:after="0" w:line="240" w:lineRule="auto"/>
        <w:rPr>
          <w:rFonts w:ascii="Arial" w:hAnsi="Arial" w:cs="Arial"/>
          <w:sz w:val="24"/>
          <w:szCs w:val="24"/>
        </w:rPr>
      </w:pPr>
    </w:p>
    <w:p w14:paraId="241B9333" w14:textId="3766664E" w:rsidR="00855233" w:rsidRPr="007E5A9D" w:rsidRDefault="00515454" w:rsidP="0064020A">
      <w:pPr>
        <w:pStyle w:val="NoSpacing"/>
        <w:ind w:left="567"/>
        <w:jc w:val="both"/>
        <w:rPr>
          <w:rFonts w:ascii="Arial" w:hAnsi="Arial" w:cs="Arial"/>
          <w:sz w:val="24"/>
          <w:szCs w:val="24"/>
        </w:rPr>
      </w:pPr>
      <w:r w:rsidRPr="00896567">
        <w:rPr>
          <w:rFonts w:ascii="Arial" w:hAnsi="Arial" w:cs="Arial"/>
          <w:sz w:val="24"/>
          <w:szCs w:val="24"/>
        </w:rPr>
        <w:t xml:space="preserve">Details regarding the </w:t>
      </w:r>
      <w:r w:rsidR="00855233" w:rsidRPr="00896567">
        <w:rPr>
          <w:rFonts w:ascii="Arial" w:hAnsi="Arial" w:cs="Arial"/>
          <w:sz w:val="24"/>
          <w:szCs w:val="24"/>
        </w:rPr>
        <w:t xml:space="preserve">order </w:t>
      </w:r>
      <w:r w:rsidRPr="00896567">
        <w:rPr>
          <w:rFonts w:ascii="Arial" w:hAnsi="Arial" w:cs="Arial"/>
          <w:sz w:val="24"/>
          <w:szCs w:val="24"/>
        </w:rPr>
        <w:t>properties and how they</w:t>
      </w:r>
      <w:r w:rsidR="00855233" w:rsidRPr="00896567">
        <w:rPr>
          <w:rFonts w:ascii="Arial" w:hAnsi="Arial" w:cs="Arial"/>
          <w:sz w:val="24"/>
          <w:szCs w:val="24"/>
        </w:rPr>
        <w:t xml:space="preserve"> relate to the plans for the estate a</w:t>
      </w:r>
      <w:r w:rsidRPr="00896567">
        <w:rPr>
          <w:rFonts w:ascii="Arial" w:hAnsi="Arial" w:cs="Arial"/>
          <w:sz w:val="24"/>
          <w:szCs w:val="24"/>
        </w:rPr>
        <w:t>re as follows:</w:t>
      </w:r>
    </w:p>
    <w:p w14:paraId="6D9A3AAF" w14:textId="77777777" w:rsidR="003B123C" w:rsidRPr="00515454" w:rsidRDefault="003B123C" w:rsidP="007E5A9D">
      <w:pPr>
        <w:pStyle w:val="NoSpacing"/>
        <w:jc w:val="both"/>
        <w:rPr>
          <w:rFonts w:ascii="Arial" w:hAnsi="Arial" w:cs="Arial"/>
          <w:sz w:val="24"/>
          <w:szCs w:val="24"/>
        </w:rPr>
      </w:pPr>
    </w:p>
    <w:p w14:paraId="12BDFEC2" w14:textId="77777777" w:rsidR="00515454" w:rsidRPr="00067405" w:rsidRDefault="00515454" w:rsidP="0064020A">
      <w:pPr>
        <w:pStyle w:val="NoSpacing"/>
        <w:ind w:left="567"/>
        <w:jc w:val="both"/>
        <w:rPr>
          <w:rFonts w:ascii="Arial" w:hAnsi="Arial" w:cs="Arial"/>
          <w:sz w:val="24"/>
          <w:szCs w:val="24"/>
        </w:rPr>
      </w:pPr>
      <w:r w:rsidRPr="00067405">
        <w:rPr>
          <w:rFonts w:ascii="Arial" w:hAnsi="Arial" w:cs="Arial"/>
          <w:b/>
          <w:bCs/>
          <w:sz w:val="24"/>
          <w:szCs w:val="24"/>
        </w:rPr>
        <w:t>59 Gildas Avenue</w:t>
      </w:r>
      <w:r w:rsidRPr="00067405">
        <w:rPr>
          <w:rFonts w:ascii="Arial" w:hAnsi="Arial" w:cs="Arial"/>
          <w:sz w:val="24"/>
          <w:szCs w:val="24"/>
        </w:rPr>
        <w:t xml:space="preserve"> </w:t>
      </w:r>
    </w:p>
    <w:p w14:paraId="268D1313" w14:textId="77777777" w:rsidR="0064020A" w:rsidRDefault="0064020A" w:rsidP="0064020A">
      <w:pPr>
        <w:spacing w:after="0" w:line="240" w:lineRule="auto"/>
        <w:ind w:left="284"/>
        <w:jc w:val="both"/>
        <w:rPr>
          <w:rFonts w:ascii="Arial" w:hAnsi="Arial" w:cs="Arial"/>
          <w:sz w:val="24"/>
          <w:szCs w:val="24"/>
        </w:rPr>
      </w:pPr>
    </w:p>
    <w:p w14:paraId="1DE30BA8" w14:textId="73AF48E9" w:rsidR="00515454" w:rsidRPr="00067405" w:rsidRDefault="00515454" w:rsidP="0064020A">
      <w:pPr>
        <w:spacing w:after="0" w:line="240" w:lineRule="auto"/>
        <w:ind w:left="567"/>
        <w:jc w:val="both"/>
        <w:rPr>
          <w:rFonts w:ascii="Arial" w:hAnsi="Arial" w:cs="Arial"/>
          <w:sz w:val="24"/>
          <w:szCs w:val="24"/>
        </w:rPr>
      </w:pPr>
      <w:r w:rsidRPr="00067405">
        <w:rPr>
          <w:rFonts w:ascii="Arial" w:hAnsi="Arial" w:cs="Arial"/>
          <w:sz w:val="24"/>
          <w:szCs w:val="24"/>
        </w:rPr>
        <w:t xml:space="preserve">The property lies on the east side of Gildas </w:t>
      </w:r>
      <w:r w:rsidR="00DC691E">
        <w:rPr>
          <w:rFonts w:ascii="Arial" w:hAnsi="Arial" w:cs="Arial"/>
          <w:sz w:val="24"/>
          <w:szCs w:val="24"/>
        </w:rPr>
        <w:t xml:space="preserve">Avenue. </w:t>
      </w:r>
      <w:r w:rsidRPr="00067405">
        <w:rPr>
          <w:rFonts w:ascii="Arial" w:hAnsi="Arial" w:cs="Arial"/>
          <w:sz w:val="24"/>
          <w:szCs w:val="24"/>
        </w:rPr>
        <w:t xml:space="preserve">The surrounding properties </w:t>
      </w:r>
      <w:r w:rsidR="00F37C69">
        <w:rPr>
          <w:rFonts w:ascii="Arial" w:hAnsi="Arial" w:cs="Arial"/>
          <w:sz w:val="24"/>
          <w:szCs w:val="24"/>
        </w:rPr>
        <w:t>have been demolished and the resultant sites have been fenced.</w:t>
      </w:r>
    </w:p>
    <w:p w14:paraId="723C80E1" w14:textId="77777777" w:rsidR="0064020A" w:rsidRDefault="0064020A" w:rsidP="0064020A">
      <w:pPr>
        <w:spacing w:after="0" w:line="240" w:lineRule="auto"/>
        <w:ind w:left="284"/>
        <w:jc w:val="both"/>
        <w:rPr>
          <w:rFonts w:ascii="Arial" w:hAnsi="Arial" w:cs="Arial"/>
          <w:sz w:val="24"/>
          <w:szCs w:val="24"/>
        </w:rPr>
      </w:pPr>
    </w:p>
    <w:p w14:paraId="2A42E1D5" w14:textId="4CFBC835" w:rsidR="00515454" w:rsidRDefault="00515454" w:rsidP="0064020A">
      <w:pPr>
        <w:spacing w:after="0" w:line="240" w:lineRule="auto"/>
        <w:ind w:left="567"/>
        <w:jc w:val="both"/>
        <w:rPr>
          <w:rFonts w:ascii="Arial" w:hAnsi="Arial" w:cs="Arial"/>
          <w:sz w:val="24"/>
          <w:szCs w:val="24"/>
        </w:rPr>
      </w:pPr>
      <w:r w:rsidRPr="00067405">
        <w:rPr>
          <w:rFonts w:ascii="Arial" w:hAnsi="Arial" w:cs="Arial"/>
          <w:sz w:val="24"/>
          <w:szCs w:val="24"/>
        </w:rPr>
        <w:t xml:space="preserve">The property lies </w:t>
      </w:r>
      <w:r w:rsidR="00855233">
        <w:rPr>
          <w:rFonts w:ascii="Arial" w:hAnsi="Arial" w:cs="Arial"/>
          <w:sz w:val="24"/>
          <w:szCs w:val="24"/>
        </w:rPr>
        <w:t xml:space="preserve">on </w:t>
      </w:r>
      <w:r w:rsidRPr="00067405">
        <w:rPr>
          <w:rFonts w:ascii="Arial" w:hAnsi="Arial" w:cs="Arial"/>
          <w:sz w:val="24"/>
          <w:szCs w:val="24"/>
        </w:rPr>
        <w:t>the outside bend of the road, and forms part of a pair of two storey semi-detached houses</w:t>
      </w:r>
      <w:r w:rsidR="002D131E">
        <w:rPr>
          <w:rFonts w:ascii="Arial" w:hAnsi="Arial" w:cs="Arial"/>
          <w:sz w:val="24"/>
          <w:szCs w:val="24"/>
        </w:rPr>
        <w:t>.</w:t>
      </w:r>
      <w:r w:rsidRPr="00067405">
        <w:rPr>
          <w:rFonts w:ascii="Arial" w:hAnsi="Arial" w:cs="Arial"/>
          <w:sz w:val="24"/>
          <w:szCs w:val="24"/>
        </w:rPr>
        <w:t xml:space="preserve"> To the south of the pair of houses is a public footpath that leads up to Little Hill Grove and to the south of </w:t>
      </w:r>
      <w:r w:rsidR="00855233">
        <w:rPr>
          <w:rFonts w:ascii="Arial" w:hAnsi="Arial" w:cs="Arial"/>
          <w:sz w:val="24"/>
          <w:szCs w:val="24"/>
        </w:rPr>
        <w:t xml:space="preserve">an </w:t>
      </w:r>
      <w:r w:rsidRPr="00067405">
        <w:rPr>
          <w:rFonts w:ascii="Arial" w:hAnsi="Arial" w:cs="Arial"/>
          <w:sz w:val="24"/>
          <w:szCs w:val="24"/>
        </w:rPr>
        <w:t xml:space="preserve">area </w:t>
      </w:r>
      <w:r w:rsidR="00855233">
        <w:rPr>
          <w:rFonts w:ascii="Arial" w:hAnsi="Arial" w:cs="Arial"/>
          <w:sz w:val="24"/>
          <w:szCs w:val="24"/>
        </w:rPr>
        <w:t xml:space="preserve">where </w:t>
      </w:r>
      <w:r w:rsidRPr="00067405">
        <w:rPr>
          <w:rFonts w:ascii="Arial" w:hAnsi="Arial" w:cs="Arial"/>
          <w:sz w:val="24"/>
          <w:szCs w:val="24"/>
        </w:rPr>
        <w:t xml:space="preserve">further two storey flats </w:t>
      </w:r>
      <w:r w:rsidR="00855233">
        <w:rPr>
          <w:rFonts w:ascii="Arial" w:hAnsi="Arial" w:cs="Arial"/>
          <w:sz w:val="24"/>
          <w:szCs w:val="24"/>
        </w:rPr>
        <w:t xml:space="preserve">were located </w:t>
      </w:r>
      <w:r w:rsidRPr="00067405">
        <w:rPr>
          <w:rFonts w:ascii="Arial" w:hAnsi="Arial" w:cs="Arial"/>
          <w:sz w:val="24"/>
          <w:szCs w:val="24"/>
        </w:rPr>
        <w:t xml:space="preserve">slightly elevated from the road and set back behind trees. The front garden to the order property is overgrown and the boundary wall between it and the adjoining flats has collapsed. There is no front boundary wall or fence to the front garden or drive. </w:t>
      </w:r>
    </w:p>
    <w:p w14:paraId="2ACEDEAC" w14:textId="77777777" w:rsidR="0064020A" w:rsidRPr="00067405" w:rsidRDefault="0064020A" w:rsidP="0064020A">
      <w:pPr>
        <w:spacing w:after="0" w:line="240" w:lineRule="auto"/>
        <w:ind w:left="567"/>
        <w:jc w:val="both"/>
        <w:rPr>
          <w:rFonts w:ascii="Arial" w:hAnsi="Arial" w:cs="Arial"/>
          <w:sz w:val="24"/>
          <w:szCs w:val="24"/>
        </w:rPr>
      </w:pPr>
    </w:p>
    <w:p w14:paraId="09DDD68F" w14:textId="18D8C8E1" w:rsidR="00515454" w:rsidRPr="00067405" w:rsidRDefault="00515454" w:rsidP="0064020A">
      <w:pPr>
        <w:spacing w:after="0" w:line="240" w:lineRule="auto"/>
        <w:ind w:left="567"/>
        <w:jc w:val="both"/>
        <w:rPr>
          <w:rFonts w:ascii="Arial" w:hAnsi="Arial" w:cs="Arial"/>
          <w:sz w:val="24"/>
          <w:szCs w:val="24"/>
        </w:rPr>
      </w:pPr>
      <w:r w:rsidRPr="00067405">
        <w:rPr>
          <w:rFonts w:ascii="Arial" w:hAnsi="Arial" w:cs="Arial"/>
          <w:sz w:val="24"/>
          <w:szCs w:val="24"/>
        </w:rPr>
        <w:t xml:space="preserve">The order property lies within a significant area of proposed clearance and redevelopment which includes properties in Gildas Avenue, Little Hall Grove and parts of Barratts Road and Sisefield Road. The redevelopment proposals for this area are included in the planning application 2020/08312/PA which proposes the delivery of 117 houses for social rent including a range of detached, semi-detached and short terraces of houses. The area occupied by the order property, between the adjoining properties being retained in Barratts Road and the foot path to Little Hall Grove will be developed with 5 new properties </w:t>
      </w:r>
      <w:r w:rsidR="007E5A9D" w:rsidRPr="00067405">
        <w:rPr>
          <w:rFonts w:ascii="Arial" w:hAnsi="Arial" w:cs="Arial"/>
          <w:sz w:val="24"/>
          <w:szCs w:val="24"/>
        </w:rPr>
        <w:t>– two</w:t>
      </w:r>
      <w:r w:rsidRPr="00067405">
        <w:rPr>
          <w:rFonts w:ascii="Arial" w:hAnsi="Arial" w:cs="Arial"/>
          <w:sz w:val="24"/>
          <w:szCs w:val="24"/>
        </w:rPr>
        <w:t xml:space="preserve"> pairs </w:t>
      </w:r>
      <w:r w:rsidR="00D84BD7" w:rsidRPr="00067405">
        <w:rPr>
          <w:rFonts w:ascii="Arial" w:hAnsi="Arial" w:cs="Arial"/>
          <w:sz w:val="24"/>
          <w:szCs w:val="24"/>
        </w:rPr>
        <w:t>of 2</w:t>
      </w:r>
      <w:r w:rsidRPr="00067405">
        <w:rPr>
          <w:rFonts w:ascii="Arial" w:hAnsi="Arial" w:cs="Arial"/>
          <w:sz w:val="24"/>
          <w:szCs w:val="24"/>
        </w:rPr>
        <w:t xml:space="preserve"> bed 4 person houses and one detached 4 bed </w:t>
      </w:r>
      <w:r w:rsidR="00D84BD7" w:rsidRPr="00067405">
        <w:rPr>
          <w:rFonts w:ascii="Arial" w:hAnsi="Arial" w:cs="Arial"/>
          <w:sz w:val="24"/>
          <w:szCs w:val="24"/>
        </w:rPr>
        <w:t>7-person</w:t>
      </w:r>
      <w:r w:rsidRPr="00067405">
        <w:rPr>
          <w:rFonts w:ascii="Arial" w:hAnsi="Arial" w:cs="Arial"/>
          <w:sz w:val="24"/>
          <w:szCs w:val="24"/>
        </w:rPr>
        <w:t xml:space="preserve"> house. These will be arranged in a gentle curve, reflecting the existing bend in the road.</w:t>
      </w:r>
    </w:p>
    <w:p w14:paraId="64CC6284" w14:textId="77777777" w:rsidR="00944520" w:rsidRDefault="00944520" w:rsidP="0064020A">
      <w:pPr>
        <w:spacing w:after="0" w:line="240" w:lineRule="auto"/>
        <w:ind w:left="567"/>
        <w:jc w:val="both"/>
        <w:rPr>
          <w:rFonts w:ascii="Arial" w:hAnsi="Arial" w:cs="Arial"/>
          <w:sz w:val="24"/>
          <w:szCs w:val="24"/>
        </w:rPr>
      </w:pPr>
    </w:p>
    <w:p w14:paraId="1E7CDF6D" w14:textId="227104A8" w:rsidR="00515454" w:rsidRDefault="00515454" w:rsidP="0064020A">
      <w:pPr>
        <w:spacing w:after="0" w:line="240" w:lineRule="auto"/>
        <w:ind w:left="567"/>
        <w:jc w:val="both"/>
        <w:rPr>
          <w:rFonts w:ascii="Arial" w:hAnsi="Arial" w:cs="Arial"/>
          <w:sz w:val="24"/>
          <w:szCs w:val="24"/>
        </w:rPr>
      </w:pPr>
      <w:r w:rsidRPr="00067405">
        <w:rPr>
          <w:rFonts w:ascii="Arial" w:hAnsi="Arial" w:cs="Arial"/>
          <w:sz w:val="24"/>
          <w:szCs w:val="24"/>
        </w:rPr>
        <w:t xml:space="preserve">The retention of the order property would prevent these properties from being delivered. Retaining the property in isolation would not be appropriate given its appearance, the need for accommodation works and the impact that it would subsequently have on the street scene. </w:t>
      </w:r>
    </w:p>
    <w:p w14:paraId="3B5E97DB" w14:textId="36F46EF2" w:rsidR="00BA7914" w:rsidRDefault="00BA7914" w:rsidP="009B078E">
      <w:pPr>
        <w:spacing w:line="240" w:lineRule="auto"/>
        <w:jc w:val="both"/>
        <w:rPr>
          <w:rFonts w:ascii="Arial" w:hAnsi="Arial" w:cs="Arial"/>
          <w:sz w:val="24"/>
          <w:szCs w:val="24"/>
        </w:rPr>
      </w:pPr>
    </w:p>
    <w:p w14:paraId="172AC107" w14:textId="77777777" w:rsidR="0069131A" w:rsidRDefault="0069131A">
      <w:pPr>
        <w:rPr>
          <w:rFonts w:ascii="Arial" w:hAnsi="Arial" w:cs="Arial"/>
          <w:b/>
          <w:bCs/>
          <w:sz w:val="24"/>
          <w:szCs w:val="24"/>
        </w:rPr>
      </w:pPr>
      <w:r>
        <w:rPr>
          <w:rFonts w:ascii="Arial" w:hAnsi="Arial" w:cs="Arial"/>
          <w:b/>
          <w:bCs/>
          <w:sz w:val="24"/>
          <w:szCs w:val="24"/>
        </w:rPr>
        <w:br w:type="page"/>
      </w:r>
    </w:p>
    <w:p w14:paraId="37942A45" w14:textId="0BBE1B52" w:rsidR="00515454" w:rsidRPr="00067405" w:rsidRDefault="00515454" w:rsidP="00682FA4">
      <w:pPr>
        <w:ind w:firstLine="284"/>
        <w:jc w:val="both"/>
        <w:rPr>
          <w:rFonts w:ascii="Arial" w:hAnsi="Arial" w:cs="Arial"/>
          <w:sz w:val="24"/>
          <w:szCs w:val="24"/>
        </w:rPr>
      </w:pPr>
      <w:r w:rsidRPr="00067405">
        <w:rPr>
          <w:rFonts w:ascii="Arial" w:hAnsi="Arial" w:cs="Arial"/>
          <w:b/>
          <w:bCs/>
          <w:sz w:val="24"/>
          <w:szCs w:val="24"/>
        </w:rPr>
        <w:lastRenderedPageBreak/>
        <w:t xml:space="preserve">90 and 92 Sisefield Road </w:t>
      </w:r>
    </w:p>
    <w:p w14:paraId="4A267275" w14:textId="2EE93294" w:rsidR="00515454" w:rsidRPr="00067405" w:rsidRDefault="00515454" w:rsidP="0029462F">
      <w:pPr>
        <w:spacing w:line="240" w:lineRule="auto"/>
        <w:ind w:left="284"/>
        <w:jc w:val="both"/>
        <w:rPr>
          <w:rFonts w:ascii="Arial" w:hAnsi="Arial" w:cs="Arial"/>
          <w:sz w:val="24"/>
          <w:szCs w:val="24"/>
        </w:rPr>
      </w:pPr>
      <w:r w:rsidRPr="00067405">
        <w:rPr>
          <w:rFonts w:ascii="Arial" w:hAnsi="Arial" w:cs="Arial"/>
          <w:sz w:val="24"/>
          <w:szCs w:val="24"/>
        </w:rPr>
        <w:t>These properties form a two-storey block at the corner of Sisefi</w:t>
      </w:r>
      <w:r w:rsidR="003636B6">
        <w:rPr>
          <w:rFonts w:ascii="Arial" w:hAnsi="Arial" w:cs="Arial"/>
          <w:sz w:val="24"/>
          <w:szCs w:val="24"/>
        </w:rPr>
        <w:t>el</w:t>
      </w:r>
      <w:r w:rsidRPr="00067405">
        <w:rPr>
          <w:rFonts w:ascii="Arial" w:hAnsi="Arial" w:cs="Arial"/>
          <w:sz w:val="24"/>
          <w:szCs w:val="24"/>
        </w:rPr>
        <w:t>d Road and Barratts Road and back onto a similar block that is also identified for clearance.  The properties adjoin more recent infill housing that is not affected by redevelopment.</w:t>
      </w:r>
    </w:p>
    <w:p w14:paraId="4001C0BB" w14:textId="3071164F" w:rsidR="00515454" w:rsidRPr="00067405" w:rsidRDefault="00515454" w:rsidP="0029462F">
      <w:pPr>
        <w:spacing w:line="240" w:lineRule="auto"/>
        <w:ind w:left="284"/>
        <w:jc w:val="both"/>
        <w:rPr>
          <w:rFonts w:ascii="Arial" w:hAnsi="Arial" w:cs="Arial"/>
          <w:b/>
          <w:bCs/>
          <w:sz w:val="24"/>
          <w:szCs w:val="24"/>
        </w:rPr>
      </w:pPr>
      <w:r w:rsidRPr="00067405">
        <w:rPr>
          <w:rFonts w:ascii="Arial" w:hAnsi="Arial" w:cs="Arial"/>
          <w:sz w:val="24"/>
          <w:szCs w:val="24"/>
        </w:rPr>
        <w:t xml:space="preserve">The site also falls within the area of the planning application 2020/08312/PA that includes the area of Gildas Avenue. The site of the flats and the similar block to the rear will be developed with 5 new properties – two detached 5 bed 7 person houses, two semi-detached 2 bed 4 person houses and one detached 4 bed </w:t>
      </w:r>
      <w:r w:rsidR="007E5A9D" w:rsidRPr="00067405">
        <w:rPr>
          <w:rFonts w:ascii="Arial" w:hAnsi="Arial" w:cs="Arial"/>
          <w:sz w:val="24"/>
          <w:szCs w:val="24"/>
        </w:rPr>
        <w:t>7-person</w:t>
      </w:r>
      <w:r w:rsidRPr="00067405">
        <w:rPr>
          <w:rFonts w:ascii="Arial" w:hAnsi="Arial" w:cs="Arial"/>
          <w:sz w:val="24"/>
          <w:szCs w:val="24"/>
        </w:rPr>
        <w:t xml:space="preserve"> house. The new properties will be developed to provide active frontages to all elevations and include </w:t>
      </w:r>
      <w:r w:rsidR="00D84BD7" w:rsidRPr="00067405">
        <w:rPr>
          <w:rFonts w:ascii="Arial" w:hAnsi="Arial" w:cs="Arial"/>
          <w:sz w:val="24"/>
          <w:szCs w:val="24"/>
        </w:rPr>
        <w:t>both private</w:t>
      </w:r>
      <w:r w:rsidRPr="00067405">
        <w:rPr>
          <w:rFonts w:ascii="Arial" w:hAnsi="Arial" w:cs="Arial"/>
          <w:sz w:val="24"/>
          <w:szCs w:val="24"/>
        </w:rPr>
        <w:t xml:space="preserve"> in-curtilage, and on street visitor parking bays.  </w:t>
      </w:r>
    </w:p>
    <w:p w14:paraId="1E4B91B0" w14:textId="77777777" w:rsidR="00515454" w:rsidRPr="00067405" w:rsidRDefault="00515454" w:rsidP="0029462F">
      <w:pPr>
        <w:spacing w:line="240" w:lineRule="auto"/>
        <w:ind w:left="284"/>
        <w:jc w:val="both"/>
        <w:rPr>
          <w:rFonts w:ascii="Arial" w:hAnsi="Arial" w:cs="Arial"/>
          <w:sz w:val="24"/>
          <w:szCs w:val="24"/>
        </w:rPr>
      </w:pPr>
      <w:r w:rsidRPr="00067405">
        <w:rPr>
          <w:rFonts w:ascii="Arial" w:hAnsi="Arial" w:cs="Arial"/>
          <w:sz w:val="24"/>
          <w:szCs w:val="24"/>
        </w:rPr>
        <w:t xml:space="preserve">The retention of the order properties would prevent these new properties from being delivered. Retaining the block in isolation would not be appropriate given its poor condition and appearance and the visual impact that it would subsequently have on the street scene given recent and proposed new development. </w:t>
      </w:r>
    </w:p>
    <w:p w14:paraId="5420D8EA" w14:textId="77777777" w:rsidR="00515454" w:rsidRPr="00067405" w:rsidRDefault="00515454" w:rsidP="0029462F">
      <w:pPr>
        <w:spacing w:line="240" w:lineRule="auto"/>
        <w:ind w:left="284"/>
        <w:jc w:val="both"/>
        <w:rPr>
          <w:rFonts w:ascii="Arial" w:hAnsi="Arial" w:cs="Arial"/>
          <w:sz w:val="24"/>
          <w:szCs w:val="24"/>
        </w:rPr>
      </w:pPr>
      <w:r w:rsidRPr="00067405">
        <w:rPr>
          <w:rFonts w:ascii="Arial" w:hAnsi="Arial" w:cs="Arial"/>
          <w:sz w:val="24"/>
          <w:szCs w:val="24"/>
        </w:rPr>
        <w:t>Terms have been agreed with the owners of the properties with respect to their acquisition by the Council and these have been passed to solicitors to finalise the completions. The properties have been included within the compulsory purchase order to ensure that acquisition can be achieved should the voluntary acquisitions not be completed.</w:t>
      </w:r>
    </w:p>
    <w:p w14:paraId="0B2E69E5" w14:textId="77777777" w:rsidR="00515454" w:rsidRPr="00067405" w:rsidRDefault="00515454" w:rsidP="00682FA4">
      <w:pPr>
        <w:ind w:firstLine="284"/>
        <w:jc w:val="both"/>
        <w:rPr>
          <w:rFonts w:ascii="Arial" w:hAnsi="Arial" w:cs="Arial"/>
          <w:sz w:val="24"/>
          <w:szCs w:val="24"/>
        </w:rPr>
      </w:pPr>
      <w:r w:rsidRPr="00067405">
        <w:rPr>
          <w:rFonts w:ascii="Arial" w:hAnsi="Arial" w:cs="Arial"/>
          <w:b/>
          <w:bCs/>
          <w:sz w:val="24"/>
          <w:szCs w:val="24"/>
        </w:rPr>
        <w:t xml:space="preserve">7 Arrow Walk </w:t>
      </w:r>
    </w:p>
    <w:p w14:paraId="0EA1245A" w14:textId="4040081F" w:rsidR="00515454" w:rsidRPr="00067405" w:rsidRDefault="00515454" w:rsidP="0029462F">
      <w:pPr>
        <w:spacing w:line="240" w:lineRule="auto"/>
        <w:ind w:left="284"/>
        <w:jc w:val="both"/>
        <w:rPr>
          <w:rFonts w:ascii="Arial" w:hAnsi="Arial" w:cs="Arial"/>
          <w:sz w:val="24"/>
          <w:szCs w:val="24"/>
        </w:rPr>
      </w:pPr>
      <w:r w:rsidRPr="00067405">
        <w:rPr>
          <w:rFonts w:ascii="Arial" w:hAnsi="Arial" w:cs="Arial"/>
          <w:sz w:val="24"/>
          <w:szCs w:val="24"/>
        </w:rPr>
        <w:t xml:space="preserve">7 Arrow </w:t>
      </w:r>
      <w:r w:rsidR="003636B6">
        <w:rPr>
          <w:rFonts w:ascii="Arial" w:hAnsi="Arial" w:cs="Arial"/>
          <w:sz w:val="24"/>
          <w:szCs w:val="24"/>
        </w:rPr>
        <w:t>W</w:t>
      </w:r>
      <w:r w:rsidRPr="00067405">
        <w:rPr>
          <w:rFonts w:ascii="Arial" w:hAnsi="Arial" w:cs="Arial"/>
          <w:sz w:val="24"/>
          <w:szCs w:val="24"/>
        </w:rPr>
        <w:t xml:space="preserve">alk is a ground floor flat located within a two-storey block of four flats fronting a pedestrian path that leads from the north of Arrow walk and which connects with Hillmeads Road. The block is surrounded by other blocks that have been identified for clearance and which are in the Councils ownership and awaiting demolition. </w:t>
      </w:r>
    </w:p>
    <w:p w14:paraId="262F24E6" w14:textId="38C0EAD1" w:rsidR="00515454" w:rsidRPr="00067405" w:rsidRDefault="00515454" w:rsidP="0029462F">
      <w:pPr>
        <w:spacing w:line="240" w:lineRule="auto"/>
        <w:ind w:left="284"/>
        <w:jc w:val="both"/>
        <w:rPr>
          <w:rFonts w:ascii="Arial" w:hAnsi="Arial" w:cs="Arial"/>
          <w:sz w:val="24"/>
          <w:szCs w:val="24"/>
        </w:rPr>
      </w:pPr>
      <w:r w:rsidRPr="00067405">
        <w:rPr>
          <w:rFonts w:ascii="Arial" w:hAnsi="Arial" w:cs="Arial"/>
          <w:sz w:val="24"/>
          <w:szCs w:val="24"/>
        </w:rPr>
        <w:t>The site falls within the area of the planning application 2020/08270/PA that covers the clearance areas of Hillmeads Road and the area of tower blocks along Shann</w:t>
      </w:r>
      <w:r w:rsidR="003636B6">
        <w:rPr>
          <w:rFonts w:ascii="Arial" w:hAnsi="Arial" w:cs="Arial"/>
          <w:sz w:val="24"/>
          <w:szCs w:val="24"/>
        </w:rPr>
        <w:t>o</w:t>
      </w:r>
      <w:r w:rsidRPr="00067405">
        <w:rPr>
          <w:rFonts w:ascii="Arial" w:hAnsi="Arial" w:cs="Arial"/>
          <w:sz w:val="24"/>
          <w:szCs w:val="24"/>
        </w:rPr>
        <w:t xml:space="preserve">n Road. The acquisition and clearance of the block will facilitate the residential redevelopment of the area and enable the delivery of new housing and a new access mews off Arrow Walk that will allow the development of additional new properties on a current back land site that may have provided communal garden space to the surrounding blocks. The site of the block which houses the order property will provide three new properties – two 2 bed </w:t>
      </w:r>
      <w:r w:rsidR="00D84BD7" w:rsidRPr="00067405">
        <w:rPr>
          <w:rFonts w:ascii="Arial" w:hAnsi="Arial" w:cs="Arial"/>
          <w:sz w:val="24"/>
          <w:szCs w:val="24"/>
        </w:rPr>
        <w:t>4-person</w:t>
      </w:r>
      <w:r w:rsidRPr="00067405">
        <w:rPr>
          <w:rFonts w:ascii="Arial" w:hAnsi="Arial" w:cs="Arial"/>
          <w:sz w:val="24"/>
          <w:szCs w:val="24"/>
        </w:rPr>
        <w:t xml:space="preserve"> semi-detached houses and one 3 bed 5 person detached house.</w:t>
      </w:r>
    </w:p>
    <w:p w14:paraId="79A7658A" w14:textId="40EF80F7" w:rsidR="00515454" w:rsidRDefault="00515454" w:rsidP="0029462F">
      <w:pPr>
        <w:spacing w:line="240" w:lineRule="auto"/>
        <w:ind w:left="284"/>
        <w:jc w:val="both"/>
        <w:rPr>
          <w:rFonts w:ascii="Arial" w:hAnsi="Arial" w:cs="Arial"/>
          <w:sz w:val="24"/>
          <w:szCs w:val="24"/>
        </w:rPr>
      </w:pPr>
      <w:r w:rsidRPr="00067405">
        <w:rPr>
          <w:rFonts w:ascii="Arial" w:hAnsi="Arial" w:cs="Arial"/>
          <w:sz w:val="24"/>
          <w:szCs w:val="24"/>
        </w:rPr>
        <w:t xml:space="preserve">Failure to acquire the order property would prevent a number of new properties </w:t>
      </w:r>
      <w:r w:rsidR="000C035A">
        <w:rPr>
          <w:rFonts w:ascii="Arial" w:hAnsi="Arial" w:cs="Arial"/>
          <w:sz w:val="24"/>
          <w:szCs w:val="24"/>
        </w:rPr>
        <w:t>from</w:t>
      </w:r>
      <w:r w:rsidR="000C035A" w:rsidRPr="00067405">
        <w:rPr>
          <w:rFonts w:ascii="Arial" w:hAnsi="Arial" w:cs="Arial"/>
          <w:sz w:val="24"/>
          <w:szCs w:val="24"/>
        </w:rPr>
        <w:t xml:space="preserve"> </w:t>
      </w:r>
      <w:r w:rsidRPr="00067405">
        <w:rPr>
          <w:rFonts w:ascii="Arial" w:hAnsi="Arial" w:cs="Arial"/>
          <w:sz w:val="24"/>
          <w:szCs w:val="24"/>
        </w:rPr>
        <w:t xml:space="preserve">being constructed. Retaining the property in isolation would not be appropriate given its location within a block of four flats, </w:t>
      </w:r>
      <w:r w:rsidR="00B4211C">
        <w:rPr>
          <w:rFonts w:ascii="Arial" w:hAnsi="Arial" w:cs="Arial"/>
          <w:sz w:val="24"/>
          <w:szCs w:val="24"/>
        </w:rPr>
        <w:t xml:space="preserve">with </w:t>
      </w:r>
      <w:r w:rsidRPr="00067405">
        <w:rPr>
          <w:rFonts w:ascii="Arial" w:hAnsi="Arial" w:cs="Arial"/>
          <w:sz w:val="24"/>
          <w:szCs w:val="24"/>
        </w:rPr>
        <w:t xml:space="preserve">the other </w:t>
      </w:r>
      <w:r w:rsidR="00B4211C">
        <w:rPr>
          <w:rFonts w:ascii="Arial" w:hAnsi="Arial" w:cs="Arial"/>
          <w:sz w:val="24"/>
          <w:szCs w:val="24"/>
        </w:rPr>
        <w:t xml:space="preserve">flats </w:t>
      </w:r>
      <w:r w:rsidRPr="00067405">
        <w:rPr>
          <w:rFonts w:ascii="Arial" w:hAnsi="Arial" w:cs="Arial"/>
          <w:sz w:val="24"/>
          <w:szCs w:val="24"/>
        </w:rPr>
        <w:t>already being in the ownership of the Council) and the general condition and appearance of it in relation to the regeneration proposals.</w:t>
      </w:r>
    </w:p>
    <w:p w14:paraId="447D023A" w14:textId="77777777" w:rsidR="00EB1973" w:rsidRPr="00067405" w:rsidRDefault="00EB1973" w:rsidP="009B078E">
      <w:pPr>
        <w:spacing w:line="240" w:lineRule="auto"/>
        <w:jc w:val="both"/>
        <w:rPr>
          <w:rFonts w:ascii="Arial" w:hAnsi="Arial" w:cs="Arial"/>
          <w:sz w:val="24"/>
          <w:szCs w:val="24"/>
        </w:rPr>
      </w:pPr>
    </w:p>
    <w:p w14:paraId="6CABD660" w14:textId="77777777" w:rsidR="0069131A" w:rsidRDefault="0069131A">
      <w:pPr>
        <w:rPr>
          <w:rFonts w:ascii="Arial" w:hAnsi="Arial" w:cs="Arial"/>
          <w:b/>
          <w:bCs/>
          <w:sz w:val="24"/>
          <w:szCs w:val="24"/>
        </w:rPr>
      </w:pPr>
      <w:r>
        <w:rPr>
          <w:rFonts w:ascii="Arial" w:hAnsi="Arial" w:cs="Arial"/>
          <w:b/>
          <w:bCs/>
          <w:sz w:val="24"/>
          <w:szCs w:val="24"/>
        </w:rPr>
        <w:br w:type="page"/>
      </w:r>
    </w:p>
    <w:p w14:paraId="25EF651B" w14:textId="70B50C75" w:rsidR="00515454" w:rsidRPr="00067405" w:rsidRDefault="00515454" w:rsidP="003E47E4">
      <w:pPr>
        <w:ind w:firstLine="284"/>
        <w:jc w:val="both"/>
        <w:rPr>
          <w:rFonts w:ascii="Arial" w:hAnsi="Arial" w:cs="Arial"/>
          <w:sz w:val="24"/>
          <w:szCs w:val="24"/>
        </w:rPr>
      </w:pPr>
      <w:r w:rsidRPr="00067405">
        <w:rPr>
          <w:rFonts w:ascii="Arial" w:hAnsi="Arial" w:cs="Arial"/>
          <w:b/>
          <w:bCs/>
          <w:sz w:val="24"/>
          <w:szCs w:val="24"/>
        </w:rPr>
        <w:lastRenderedPageBreak/>
        <w:t xml:space="preserve">37 Hillmeads Road </w:t>
      </w:r>
    </w:p>
    <w:p w14:paraId="6C068DF4" w14:textId="1FCD2BD1" w:rsidR="00515454" w:rsidRPr="00067405" w:rsidRDefault="00515454" w:rsidP="0029462F">
      <w:pPr>
        <w:spacing w:line="240" w:lineRule="auto"/>
        <w:ind w:left="284"/>
        <w:jc w:val="both"/>
        <w:rPr>
          <w:rFonts w:ascii="Arial" w:hAnsi="Arial" w:cs="Arial"/>
          <w:sz w:val="24"/>
          <w:szCs w:val="24"/>
        </w:rPr>
      </w:pPr>
      <w:r w:rsidRPr="00067405">
        <w:rPr>
          <w:rFonts w:ascii="Arial" w:hAnsi="Arial" w:cs="Arial"/>
          <w:sz w:val="24"/>
          <w:szCs w:val="24"/>
        </w:rPr>
        <w:t xml:space="preserve">37 Hillmeads Road comprises a first floor flat located within a two-storey block of four flats fronting Hillmeads Road. It is adjacent to blocks of three – storey flats that are also identified for clearance and redevelopment. </w:t>
      </w:r>
    </w:p>
    <w:p w14:paraId="5280BEFA" w14:textId="77777777" w:rsidR="00515454" w:rsidRPr="00067405" w:rsidRDefault="00515454" w:rsidP="0029462F">
      <w:pPr>
        <w:spacing w:line="240" w:lineRule="auto"/>
        <w:ind w:left="284"/>
        <w:jc w:val="both"/>
        <w:rPr>
          <w:rFonts w:ascii="Arial" w:hAnsi="Arial" w:cs="Arial"/>
          <w:sz w:val="24"/>
          <w:szCs w:val="24"/>
        </w:rPr>
      </w:pPr>
      <w:r w:rsidRPr="00067405">
        <w:rPr>
          <w:rFonts w:ascii="Arial" w:hAnsi="Arial" w:cs="Arial"/>
          <w:sz w:val="24"/>
          <w:szCs w:val="24"/>
        </w:rPr>
        <w:t>The site falls within the area of the planning application 2020/08270/PA that covers the clearance areas of Hillmeads Road and the area of tower blocks along Shannon Road. Once acquired and demolished the site will allow the construction of new properties, including the creation of a new cul-de-sac courtyard.</w:t>
      </w:r>
    </w:p>
    <w:p w14:paraId="5C6AA0E2" w14:textId="3776DE37" w:rsidR="003636B6" w:rsidRDefault="00515454" w:rsidP="0029462F">
      <w:pPr>
        <w:pStyle w:val="NoSpacing"/>
        <w:ind w:left="284"/>
        <w:jc w:val="both"/>
        <w:rPr>
          <w:rFonts w:ascii="Arial" w:hAnsi="Arial" w:cs="Arial"/>
          <w:sz w:val="24"/>
          <w:szCs w:val="24"/>
        </w:rPr>
      </w:pPr>
      <w:r w:rsidRPr="00067405">
        <w:rPr>
          <w:rFonts w:ascii="Arial" w:hAnsi="Arial" w:cs="Arial"/>
          <w:sz w:val="24"/>
          <w:szCs w:val="24"/>
        </w:rPr>
        <w:t>The retention of the order property would not be appropriate as it would prevent this part of the redevelopment from proceeding, including the construction of the access road serving the cul-de-sac and a number of the new properties.</w:t>
      </w:r>
    </w:p>
    <w:p w14:paraId="71CBEC0F" w14:textId="77777777" w:rsidR="009B078E" w:rsidRDefault="009B078E" w:rsidP="009B078E">
      <w:pPr>
        <w:pStyle w:val="NoSpacing"/>
        <w:jc w:val="both"/>
        <w:rPr>
          <w:rFonts w:ascii="Arial" w:hAnsi="Arial" w:cs="Arial"/>
          <w:sz w:val="24"/>
          <w:szCs w:val="24"/>
        </w:rPr>
      </w:pPr>
    </w:p>
    <w:p w14:paraId="03F4FBFF" w14:textId="037D4F13" w:rsidR="008434BA" w:rsidRDefault="008434BA" w:rsidP="003E47E4">
      <w:pPr>
        <w:pStyle w:val="NoSpacing"/>
        <w:ind w:firstLine="284"/>
        <w:jc w:val="both"/>
        <w:rPr>
          <w:rFonts w:ascii="Arial" w:hAnsi="Arial" w:cs="Arial"/>
          <w:sz w:val="24"/>
          <w:szCs w:val="24"/>
        </w:rPr>
      </w:pPr>
      <w:r>
        <w:rPr>
          <w:rFonts w:ascii="Arial" w:hAnsi="Arial" w:cs="Arial"/>
          <w:b/>
          <w:bCs/>
          <w:sz w:val="24"/>
          <w:szCs w:val="24"/>
          <w:lang w:eastAsia="en-GB"/>
        </w:rPr>
        <w:t xml:space="preserve">63 </w:t>
      </w:r>
      <w:r w:rsidR="007E5A9D">
        <w:rPr>
          <w:rFonts w:ascii="Arial" w:hAnsi="Arial" w:cs="Arial"/>
          <w:b/>
          <w:bCs/>
          <w:sz w:val="24"/>
          <w:szCs w:val="24"/>
          <w:lang w:eastAsia="en-GB"/>
        </w:rPr>
        <w:t>Hillmeads</w:t>
      </w:r>
      <w:r w:rsidR="00515454" w:rsidRPr="007E5A9D">
        <w:rPr>
          <w:rFonts w:ascii="Arial" w:hAnsi="Arial" w:cs="Arial"/>
          <w:b/>
          <w:bCs/>
          <w:sz w:val="24"/>
          <w:szCs w:val="24"/>
          <w:lang w:eastAsia="en-GB"/>
        </w:rPr>
        <w:t xml:space="preserve"> Road</w:t>
      </w:r>
      <w:r w:rsidR="00515454" w:rsidRPr="00067405">
        <w:rPr>
          <w:rFonts w:ascii="Arial" w:hAnsi="Arial" w:cs="Arial"/>
          <w:sz w:val="24"/>
          <w:szCs w:val="24"/>
        </w:rPr>
        <w:t xml:space="preserve"> </w:t>
      </w:r>
    </w:p>
    <w:p w14:paraId="71218BCF" w14:textId="5DF86FDD" w:rsidR="008434BA" w:rsidRDefault="008434BA" w:rsidP="009B078E">
      <w:pPr>
        <w:pStyle w:val="NoSpacing"/>
        <w:jc w:val="both"/>
        <w:rPr>
          <w:rFonts w:ascii="Arial" w:hAnsi="Arial" w:cs="Arial"/>
          <w:sz w:val="24"/>
          <w:szCs w:val="24"/>
        </w:rPr>
      </w:pPr>
    </w:p>
    <w:p w14:paraId="29C10696" w14:textId="27E311D0" w:rsidR="008434BA" w:rsidRDefault="004E7496" w:rsidP="0029462F">
      <w:pPr>
        <w:pStyle w:val="NoSpacing"/>
        <w:ind w:left="284"/>
        <w:jc w:val="both"/>
        <w:rPr>
          <w:rFonts w:ascii="Arial" w:hAnsi="Arial" w:cs="Arial"/>
          <w:sz w:val="24"/>
          <w:szCs w:val="24"/>
        </w:rPr>
      </w:pPr>
      <w:r>
        <w:rPr>
          <w:rFonts w:ascii="Arial" w:hAnsi="Arial" w:cs="Arial"/>
          <w:sz w:val="24"/>
          <w:szCs w:val="24"/>
        </w:rPr>
        <w:t>6</w:t>
      </w:r>
      <w:r w:rsidR="00783805">
        <w:rPr>
          <w:rFonts w:ascii="Arial" w:hAnsi="Arial" w:cs="Arial"/>
          <w:sz w:val="24"/>
          <w:szCs w:val="24"/>
        </w:rPr>
        <w:t xml:space="preserve">3 </w:t>
      </w:r>
      <w:r w:rsidR="00515454" w:rsidRPr="00067405">
        <w:rPr>
          <w:rFonts w:ascii="Arial" w:hAnsi="Arial" w:cs="Arial"/>
          <w:sz w:val="24"/>
          <w:szCs w:val="24"/>
        </w:rPr>
        <w:t xml:space="preserve">Hillmeads Road comprises a first floor flat located within a two-storey block of four flats fronting Hillmeads Road. It is adjacent </w:t>
      </w:r>
      <w:r w:rsidR="003636B6">
        <w:rPr>
          <w:rFonts w:ascii="Arial" w:hAnsi="Arial" w:cs="Arial"/>
          <w:sz w:val="24"/>
          <w:szCs w:val="24"/>
        </w:rPr>
        <w:t xml:space="preserve">on one side </w:t>
      </w:r>
      <w:r w:rsidR="00515454" w:rsidRPr="00067405">
        <w:rPr>
          <w:rFonts w:ascii="Arial" w:hAnsi="Arial" w:cs="Arial"/>
          <w:sz w:val="24"/>
          <w:szCs w:val="24"/>
        </w:rPr>
        <w:t xml:space="preserve">to </w:t>
      </w:r>
      <w:r w:rsidR="003636B6">
        <w:rPr>
          <w:rFonts w:ascii="Arial" w:hAnsi="Arial" w:cs="Arial"/>
          <w:sz w:val="24"/>
          <w:szCs w:val="24"/>
        </w:rPr>
        <w:t xml:space="preserve">a </w:t>
      </w:r>
      <w:r w:rsidR="00515454" w:rsidRPr="00067405">
        <w:rPr>
          <w:rFonts w:ascii="Arial" w:hAnsi="Arial" w:cs="Arial"/>
          <w:sz w:val="24"/>
          <w:szCs w:val="24"/>
        </w:rPr>
        <w:t>block of three – storey flats</w:t>
      </w:r>
      <w:r w:rsidR="00B4211C">
        <w:rPr>
          <w:rFonts w:ascii="Arial" w:hAnsi="Arial" w:cs="Arial"/>
          <w:sz w:val="24"/>
          <w:szCs w:val="24"/>
        </w:rPr>
        <w:t xml:space="preserve"> </w:t>
      </w:r>
      <w:r w:rsidR="003636B6">
        <w:rPr>
          <w:rFonts w:ascii="Arial" w:hAnsi="Arial" w:cs="Arial"/>
          <w:sz w:val="24"/>
          <w:szCs w:val="24"/>
        </w:rPr>
        <w:t>and on the other side more blocks of two 2 storey flats all of which have been identified for</w:t>
      </w:r>
      <w:r w:rsidR="00515454" w:rsidRPr="00067405">
        <w:rPr>
          <w:rFonts w:ascii="Arial" w:hAnsi="Arial" w:cs="Arial"/>
          <w:sz w:val="24"/>
          <w:szCs w:val="24"/>
        </w:rPr>
        <w:t xml:space="preserve"> clearance and redevelopment.</w:t>
      </w:r>
    </w:p>
    <w:p w14:paraId="2E537C8E" w14:textId="77777777" w:rsidR="009B078E" w:rsidRDefault="009B078E" w:rsidP="009B078E">
      <w:pPr>
        <w:pStyle w:val="NoSpacing"/>
        <w:jc w:val="both"/>
        <w:rPr>
          <w:rFonts w:ascii="Arial" w:hAnsi="Arial" w:cs="Arial"/>
          <w:sz w:val="24"/>
          <w:szCs w:val="24"/>
        </w:rPr>
      </w:pPr>
    </w:p>
    <w:p w14:paraId="4AE6E584" w14:textId="372C01F2" w:rsidR="003B123C" w:rsidRDefault="00515454" w:rsidP="0029462F">
      <w:pPr>
        <w:pStyle w:val="NoSpacing"/>
        <w:ind w:left="284"/>
        <w:jc w:val="both"/>
        <w:rPr>
          <w:rFonts w:ascii="Arial" w:hAnsi="Arial" w:cs="Arial"/>
          <w:sz w:val="24"/>
          <w:szCs w:val="24"/>
        </w:rPr>
      </w:pPr>
      <w:r w:rsidRPr="00067405">
        <w:rPr>
          <w:rFonts w:ascii="Arial" w:hAnsi="Arial" w:cs="Arial"/>
          <w:sz w:val="24"/>
          <w:szCs w:val="24"/>
        </w:rPr>
        <w:t>The site falls within the area of the planning application 2020/08270/PA that covers the clearance areas of Hillmeads Road and the area of tower blocks along Shannon Road. Once acquired and demolished the site will allow the construction of new properties</w:t>
      </w:r>
      <w:r w:rsidR="008434BA">
        <w:rPr>
          <w:rFonts w:ascii="Arial" w:hAnsi="Arial" w:cs="Arial"/>
          <w:sz w:val="24"/>
          <w:szCs w:val="24"/>
        </w:rPr>
        <w:t>.</w:t>
      </w:r>
    </w:p>
    <w:p w14:paraId="7C5701A2" w14:textId="30E6A3C1" w:rsidR="00AC6C26" w:rsidRDefault="00AC6C26" w:rsidP="009B078E">
      <w:pPr>
        <w:pStyle w:val="NoSpacing"/>
        <w:ind w:left="540"/>
        <w:jc w:val="both"/>
        <w:rPr>
          <w:rFonts w:ascii="Arial" w:hAnsi="Arial" w:cs="Arial"/>
          <w:sz w:val="24"/>
          <w:szCs w:val="24"/>
        </w:rPr>
      </w:pPr>
    </w:p>
    <w:p w14:paraId="1B24FF5A" w14:textId="1797E0B0" w:rsidR="00AC6C26" w:rsidRDefault="00AC6C26" w:rsidP="003E47E4">
      <w:pPr>
        <w:pStyle w:val="NoSpacing"/>
        <w:ind w:firstLine="284"/>
        <w:jc w:val="both"/>
        <w:rPr>
          <w:rFonts w:ascii="Arial" w:hAnsi="Arial" w:cs="Arial"/>
          <w:b/>
          <w:bCs/>
          <w:sz w:val="24"/>
          <w:szCs w:val="24"/>
        </w:rPr>
      </w:pPr>
      <w:r w:rsidRPr="00020D99">
        <w:rPr>
          <w:rFonts w:ascii="Arial" w:hAnsi="Arial" w:cs="Arial"/>
          <w:b/>
          <w:bCs/>
          <w:sz w:val="24"/>
          <w:szCs w:val="24"/>
        </w:rPr>
        <w:t>1 Hillmeads Road and 105 Walkers Heath Road</w:t>
      </w:r>
    </w:p>
    <w:p w14:paraId="38937789" w14:textId="0C5D9412" w:rsidR="00AC6C26" w:rsidRDefault="00AC6C26" w:rsidP="009B078E">
      <w:pPr>
        <w:pStyle w:val="NoSpacing"/>
        <w:ind w:left="540"/>
        <w:jc w:val="both"/>
        <w:rPr>
          <w:rFonts w:ascii="Arial" w:hAnsi="Arial" w:cs="Arial"/>
          <w:b/>
          <w:bCs/>
          <w:sz w:val="24"/>
          <w:szCs w:val="24"/>
        </w:rPr>
      </w:pPr>
    </w:p>
    <w:p w14:paraId="31CEF8BB" w14:textId="599602BF" w:rsidR="000D6A24" w:rsidRDefault="0029462F" w:rsidP="0029462F">
      <w:pPr>
        <w:pStyle w:val="NoSpacing"/>
        <w:ind w:left="284"/>
        <w:jc w:val="both"/>
        <w:rPr>
          <w:rFonts w:ascii="Arial" w:hAnsi="Arial" w:cs="Arial"/>
          <w:sz w:val="24"/>
          <w:szCs w:val="24"/>
        </w:rPr>
      </w:pPr>
      <w:r>
        <w:rPr>
          <w:rFonts w:ascii="Arial" w:hAnsi="Arial" w:cs="Arial"/>
          <w:sz w:val="24"/>
          <w:szCs w:val="24"/>
        </w:rPr>
        <w:t>1</w:t>
      </w:r>
      <w:r w:rsidR="00AC6C26">
        <w:rPr>
          <w:rFonts w:ascii="Arial" w:hAnsi="Arial" w:cs="Arial"/>
          <w:sz w:val="24"/>
          <w:szCs w:val="24"/>
        </w:rPr>
        <w:t xml:space="preserve"> Hillmeads Road and 105 Walkers Heath Road are both situated in the same two-storey block of four flats </w:t>
      </w:r>
      <w:r w:rsidR="000D6A24">
        <w:rPr>
          <w:rFonts w:ascii="Arial" w:hAnsi="Arial" w:cs="Arial"/>
          <w:sz w:val="24"/>
          <w:szCs w:val="24"/>
        </w:rPr>
        <w:t>situated at the junction of the two roads. The other two flats in the block are Council owned.</w:t>
      </w:r>
    </w:p>
    <w:p w14:paraId="1A0A5913" w14:textId="77777777" w:rsidR="00FB1205" w:rsidRDefault="00FB1205" w:rsidP="00FB1205">
      <w:pPr>
        <w:pStyle w:val="NoSpacing"/>
        <w:jc w:val="both"/>
        <w:rPr>
          <w:rFonts w:ascii="Arial" w:hAnsi="Arial" w:cs="Arial"/>
          <w:sz w:val="24"/>
          <w:szCs w:val="24"/>
        </w:rPr>
      </w:pPr>
    </w:p>
    <w:p w14:paraId="0A94AB89" w14:textId="7E97A10D" w:rsidR="007F1A06" w:rsidRDefault="000D6A24" w:rsidP="0029462F">
      <w:pPr>
        <w:pStyle w:val="NoSpacing"/>
        <w:ind w:left="284"/>
        <w:jc w:val="both"/>
        <w:rPr>
          <w:rFonts w:ascii="Arial" w:hAnsi="Arial" w:cs="Arial"/>
          <w:sz w:val="24"/>
          <w:szCs w:val="24"/>
          <w:lang w:eastAsia="en-GB"/>
        </w:rPr>
      </w:pPr>
      <w:r>
        <w:rPr>
          <w:rFonts w:ascii="Arial" w:hAnsi="Arial" w:cs="Arial"/>
          <w:sz w:val="24"/>
          <w:szCs w:val="24"/>
        </w:rPr>
        <w:t>The site falls within the areas of the planning application 2020/08270/PA that covers the clearance areas in Hillmeads Road and the tower blocks along Shannon Road. Once acquired this site will allow the construction of 3 new houses.</w:t>
      </w:r>
    </w:p>
    <w:p w14:paraId="149B146E" w14:textId="77777777" w:rsidR="000D6A24" w:rsidRDefault="000D6A24" w:rsidP="00020D99">
      <w:pPr>
        <w:pStyle w:val="NoSpacing"/>
        <w:ind w:left="540"/>
        <w:jc w:val="both"/>
        <w:rPr>
          <w:rFonts w:ascii="Arial" w:hAnsi="Arial" w:cs="Arial"/>
          <w:sz w:val="24"/>
          <w:szCs w:val="24"/>
          <w:lang w:eastAsia="en-GB"/>
        </w:rPr>
      </w:pPr>
    </w:p>
    <w:p w14:paraId="04855A2D" w14:textId="2EAF7A5C" w:rsidR="007F1A06" w:rsidRPr="007F1A06" w:rsidRDefault="007F1A06" w:rsidP="00BC508C">
      <w:pPr>
        <w:pStyle w:val="NoSpacing"/>
        <w:numPr>
          <w:ilvl w:val="0"/>
          <w:numId w:val="3"/>
        </w:numPr>
        <w:ind w:left="567" w:hanging="567"/>
        <w:jc w:val="both"/>
        <w:outlineLvl w:val="0"/>
        <w:rPr>
          <w:rFonts w:ascii="Arial" w:hAnsi="Arial" w:cs="Arial"/>
          <w:b/>
          <w:bCs/>
          <w:sz w:val="24"/>
          <w:szCs w:val="24"/>
          <w:u w:val="single"/>
        </w:rPr>
      </w:pPr>
      <w:bookmarkStart w:id="7" w:name="_Toc68772046"/>
      <w:r w:rsidRPr="00BC508C">
        <w:rPr>
          <w:rFonts w:ascii="Arial" w:hAnsi="Arial" w:cs="Arial"/>
          <w:b/>
          <w:sz w:val="24"/>
          <w:szCs w:val="24"/>
          <w:u w:val="single"/>
          <w:lang w:eastAsia="en-GB"/>
        </w:rPr>
        <w:t>The</w:t>
      </w:r>
      <w:r w:rsidRPr="007F1A06">
        <w:rPr>
          <w:rFonts w:ascii="Arial" w:hAnsi="Arial" w:cs="Arial"/>
          <w:b/>
          <w:bCs/>
          <w:sz w:val="24"/>
          <w:szCs w:val="24"/>
          <w:u w:val="single"/>
        </w:rPr>
        <w:t xml:space="preserve"> Case for Compulsory Purchase</w:t>
      </w:r>
      <w:bookmarkEnd w:id="7"/>
      <w:r w:rsidRPr="007F1A06">
        <w:rPr>
          <w:rFonts w:ascii="Arial" w:hAnsi="Arial" w:cs="Arial"/>
          <w:b/>
          <w:bCs/>
          <w:sz w:val="24"/>
          <w:szCs w:val="24"/>
          <w:u w:val="single"/>
        </w:rPr>
        <w:t xml:space="preserve"> </w:t>
      </w:r>
    </w:p>
    <w:p w14:paraId="0AE12BAF" w14:textId="77777777" w:rsidR="007F1A06" w:rsidRPr="00400793" w:rsidRDefault="007F1A06" w:rsidP="000E55F7">
      <w:pPr>
        <w:pStyle w:val="Default"/>
        <w:ind w:hanging="567"/>
        <w:jc w:val="both"/>
        <w:rPr>
          <w:bCs/>
        </w:rPr>
      </w:pPr>
    </w:p>
    <w:p w14:paraId="12EA6127" w14:textId="7477AFFD" w:rsidR="0031498A" w:rsidRDefault="007F1A06" w:rsidP="0031498A">
      <w:pPr>
        <w:pStyle w:val="NoSpacing"/>
        <w:numPr>
          <w:ilvl w:val="1"/>
          <w:numId w:val="3"/>
        </w:numPr>
        <w:jc w:val="both"/>
        <w:rPr>
          <w:rFonts w:ascii="Arial" w:hAnsi="Arial" w:cs="Arial"/>
          <w:sz w:val="24"/>
          <w:szCs w:val="24"/>
        </w:rPr>
      </w:pPr>
      <w:r w:rsidRPr="00400793">
        <w:rPr>
          <w:rFonts w:ascii="Arial" w:hAnsi="Arial" w:cs="Arial"/>
          <w:sz w:val="24"/>
          <w:szCs w:val="24"/>
        </w:rPr>
        <w:t xml:space="preserve">The Council has recognised for some time the need for the regeneration of the area and how this can be more appropriately and successfully achieved through a more comprehensive proposal that could deliver new housing and address the design and layout issues of the existing development. </w:t>
      </w:r>
      <w:r w:rsidR="007431BF">
        <w:rPr>
          <w:rFonts w:ascii="Arial" w:hAnsi="Arial" w:cs="Arial"/>
          <w:sz w:val="24"/>
          <w:szCs w:val="24"/>
        </w:rPr>
        <w:t>Proposals</w:t>
      </w:r>
      <w:r w:rsidR="00404707" w:rsidRPr="00404707">
        <w:rPr>
          <w:rFonts w:ascii="Arial" w:hAnsi="Arial" w:cs="Arial"/>
          <w:sz w:val="24"/>
          <w:szCs w:val="24"/>
        </w:rPr>
        <w:t xml:space="preserve"> </w:t>
      </w:r>
      <w:r w:rsidR="00404707">
        <w:rPr>
          <w:rFonts w:ascii="Arial" w:hAnsi="Arial" w:cs="Arial"/>
          <w:sz w:val="24"/>
          <w:szCs w:val="24"/>
        </w:rPr>
        <w:t xml:space="preserve">have </w:t>
      </w:r>
      <w:r w:rsidR="00404707" w:rsidRPr="00404707">
        <w:rPr>
          <w:rFonts w:ascii="Arial" w:hAnsi="Arial" w:cs="Arial"/>
          <w:sz w:val="24"/>
          <w:szCs w:val="24"/>
        </w:rPr>
        <w:t>follow</w:t>
      </w:r>
      <w:r w:rsidR="00404707">
        <w:rPr>
          <w:rFonts w:ascii="Arial" w:hAnsi="Arial" w:cs="Arial"/>
          <w:sz w:val="24"/>
          <w:szCs w:val="24"/>
        </w:rPr>
        <w:t xml:space="preserve">ed </w:t>
      </w:r>
      <w:r w:rsidR="00404707" w:rsidRPr="00404707">
        <w:rPr>
          <w:rFonts w:ascii="Arial" w:hAnsi="Arial" w:cs="Arial"/>
          <w:sz w:val="24"/>
          <w:szCs w:val="24"/>
        </w:rPr>
        <w:t>significant consultation and consider</w:t>
      </w:r>
      <w:r w:rsidR="00404707">
        <w:rPr>
          <w:rFonts w:ascii="Arial" w:hAnsi="Arial" w:cs="Arial"/>
          <w:sz w:val="24"/>
          <w:szCs w:val="24"/>
        </w:rPr>
        <w:t xml:space="preserve">able </w:t>
      </w:r>
      <w:r w:rsidR="00404707" w:rsidRPr="00404707">
        <w:rPr>
          <w:rFonts w:ascii="Arial" w:hAnsi="Arial" w:cs="Arial"/>
          <w:sz w:val="24"/>
          <w:szCs w:val="24"/>
        </w:rPr>
        <w:t xml:space="preserve">progress has been made with the redevelopment across the </w:t>
      </w:r>
      <w:r w:rsidR="00404707">
        <w:rPr>
          <w:rFonts w:ascii="Arial" w:hAnsi="Arial" w:cs="Arial"/>
          <w:sz w:val="24"/>
          <w:szCs w:val="24"/>
        </w:rPr>
        <w:t>T</w:t>
      </w:r>
      <w:r w:rsidR="00404707" w:rsidRPr="00404707">
        <w:rPr>
          <w:rFonts w:ascii="Arial" w:hAnsi="Arial" w:cs="Arial"/>
          <w:sz w:val="24"/>
          <w:szCs w:val="24"/>
        </w:rPr>
        <w:t xml:space="preserve">hree </w:t>
      </w:r>
      <w:r w:rsidR="00404707">
        <w:rPr>
          <w:rFonts w:ascii="Arial" w:hAnsi="Arial" w:cs="Arial"/>
          <w:sz w:val="24"/>
          <w:szCs w:val="24"/>
        </w:rPr>
        <w:t>E</w:t>
      </w:r>
      <w:r w:rsidR="00404707" w:rsidRPr="00404707">
        <w:rPr>
          <w:rFonts w:ascii="Arial" w:hAnsi="Arial" w:cs="Arial"/>
          <w:sz w:val="24"/>
          <w:szCs w:val="24"/>
        </w:rPr>
        <w:t>states over a number of years</w:t>
      </w:r>
      <w:r w:rsidR="00404707">
        <w:rPr>
          <w:rFonts w:ascii="Arial" w:hAnsi="Arial" w:cs="Arial"/>
          <w:sz w:val="24"/>
          <w:szCs w:val="24"/>
        </w:rPr>
        <w:t>.</w:t>
      </w:r>
      <w:r w:rsidR="00404707" w:rsidRPr="00404707">
        <w:rPr>
          <w:rFonts w:ascii="Arial" w:hAnsi="Arial" w:cs="Arial"/>
          <w:sz w:val="24"/>
          <w:szCs w:val="24"/>
        </w:rPr>
        <w:t xml:space="preserve"> </w:t>
      </w:r>
      <w:r w:rsidR="00404707">
        <w:rPr>
          <w:rFonts w:ascii="Arial" w:hAnsi="Arial" w:cs="Arial"/>
          <w:sz w:val="24"/>
          <w:szCs w:val="24"/>
        </w:rPr>
        <w:t>The acquisition of the order properties will enable the implementation of the final elements of the overall proposals.</w:t>
      </w:r>
    </w:p>
    <w:p w14:paraId="2EA77C5D" w14:textId="77777777" w:rsidR="0031498A" w:rsidRDefault="0031498A" w:rsidP="0031498A">
      <w:pPr>
        <w:pStyle w:val="NoSpacing"/>
        <w:ind w:left="540"/>
        <w:jc w:val="both"/>
        <w:rPr>
          <w:rFonts w:ascii="Arial" w:hAnsi="Arial" w:cs="Arial"/>
          <w:sz w:val="24"/>
          <w:szCs w:val="24"/>
        </w:rPr>
      </w:pPr>
    </w:p>
    <w:p w14:paraId="655C2208" w14:textId="4FB2A17F" w:rsidR="007F1A06" w:rsidRPr="00400793" w:rsidRDefault="007F1A06" w:rsidP="0031498A">
      <w:pPr>
        <w:pStyle w:val="NoSpacing"/>
        <w:numPr>
          <w:ilvl w:val="1"/>
          <w:numId w:val="3"/>
        </w:numPr>
        <w:jc w:val="both"/>
        <w:rPr>
          <w:rFonts w:ascii="Arial" w:hAnsi="Arial" w:cs="Arial"/>
          <w:sz w:val="24"/>
          <w:szCs w:val="24"/>
        </w:rPr>
      </w:pPr>
      <w:r w:rsidRPr="00400793">
        <w:rPr>
          <w:rFonts w:ascii="Arial" w:hAnsi="Arial" w:cs="Arial"/>
          <w:sz w:val="24"/>
          <w:szCs w:val="24"/>
        </w:rPr>
        <w:t xml:space="preserve">The </w:t>
      </w:r>
      <w:r w:rsidR="00F91919">
        <w:rPr>
          <w:rFonts w:ascii="Arial" w:hAnsi="Arial" w:cs="Arial"/>
          <w:sz w:val="24"/>
          <w:szCs w:val="24"/>
        </w:rPr>
        <w:t>Council owned and privately</w:t>
      </w:r>
      <w:r w:rsidR="00251FC1">
        <w:rPr>
          <w:rFonts w:ascii="Arial" w:hAnsi="Arial" w:cs="Arial"/>
          <w:sz w:val="24"/>
          <w:szCs w:val="24"/>
        </w:rPr>
        <w:t>-</w:t>
      </w:r>
      <w:r w:rsidR="00F91919">
        <w:rPr>
          <w:rFonts w:ascii="Arial" w:hAnsi="Arial" w:cs="Arial"/>
          <w:sz w:val="24"/>
          <w:szCs w:val="24"/>
        </w:rPr>
        <w:t xml:space="preserve">owned order </w:t>
      </w:r>
      <w:r w:rsidR="00CE4221">
        <w:rPr>
          <w:rFonts w:ascii="Arial" w:hAnsi="Arial" w:cs="Arial"/>
          <w:sz w:val="24"/>
          <w:szCs w:val="24"/>
        </w:rPr>
        <w:t xml:space="preserve">properties identified for inclusion in the Clearance programme either suffer from inherent structural defects where </w:t>
      </w:r>
      <w:r w:rsidR="00CE4221">
        <w:rPr>
          <w:rFonts w:ascii="Arial" w:hAnsi="Arial" w:cs="Arial"/>
          <w:sz w:val="24"/>
          <w:szCs w:val="24"/>
        </w:rPr>
        <w:lastRenderedPageBreak/>
        <w:t xml:space="preserve">it is not financially viable to address and /or they fail to meet </w:t>
      </w:r>
      <w:r w:rsidR="000B369E">
        <w:rPr>
          <w:rFonts w:ascii="Arial" w:hAnsi="Arial" w:cs="Arial"/>
          <w:sz w:val="24"/>
          <w:szCs w:val="24"/>
        </w:rPr>
        <w:t>residents’</w:t>
      </w:r>
      <w:r w:rsidR="00CE4221">
        <w:rPr>
          <w:rFonts w:ascii="Arial" w:hAnsi="Arial" w:cs="Arial"/>
          <w:sz w:val="24"/>
          <w:szCs w:val="24"/>
        </w:rPr>
        <w:t xml:space="preserve"> aspirations as modern accommodation. This makes this type of property increasingly </w:t>
      </w:r>
      <w:r w:rsidRPr="00400793">
        <w:rPr>
          <w:rFonts w:ascii="Arial" w:hAnsi="Arial" w:cs="Arial"/>
          <w:sz w:val="24"/>
          <w:szCs w:val="24"/>
        </w:rPr>
        <w:t>unpopular or difficult to manage and maintain</w:t>
      </w:r>
      <w:r w:rsidR="00CE4221">
        <w:rPr>
          <w:rFonts w:ascii="Arial" w:hAnsi="Arial" w:cs="Arial"/>
          <w:sz w:val="24"/>
          <w:szCs w:val="24"/>
        </w:rPr>
        <w:t>.</w:t>
      </w:r>
      <w:r w:rsidRPr="00400793">
        <w:rPr>
          <w:rFonts w:ascii="Arial" w:hAnsi="Arial" w:cs="Arial"/>
          <w:sz w:val="24"/>
          <w:szCs w:val="24"/>
        </w:rPr>
        <w:t xml:space="preserve"> </w:t>
      </w:r>
    </w:p>
    <w:p w14:paraId="1A9279B4" w14:textId="77777777" w:rsidR="007F1A06" w:rsidRPr="0061214E" w:rsidRDefault="007F1A06" w:rsidP="000E55F7">
      <w:pPr>
        <w:pStyle w:val="Default"/>
        <w:tabs>
          <w:tab w:val="left" w:pos="426"/>
          <w:tab w:val="left" w:pos="851"/>
        </w:tabs>
        <w:ind w:hanging="567"/>
        <w:jc w:val="both"/>
      </w:pPr>
    </w:p>
    <w:p w14:paraId="0053BE58" w14:textId="5F22FB95" w:rsidR="007F1A06" w:rsidRPr="0061214E" w:rsidRDefault="00404707" w:rsidP="0031498A">
      <w:pPr>
        <w:pStyle w:val="NoSpacing"/>
        <w:numPr>
          <w:ilvl w:val="1"/>
          <w:numId w:val="3"/>
        </w:numPr>
        <w:jc w:val="both"/>
        <w:rPr>
          <w:rFonts w:ascii="Arial" w:hAnsi="Arial" w:cs="Arial"/>
          <w:sz w:val="24"/>
          <w:szCs w:val="24"/>
        </w:rPr>
      </w:pPr>
      <w:r>
        <w:rPr>
          <w:rFonts w:ascii="Arial" w:hAnsi="Arial" w:cs="Arial"/>
          <w:sz w:val="24"/>
          <w:szCs w:val="24"/>
        </w:rPr>
        <w:t>The regeneration of the estate addresses a number of d</w:t>
      </w:r>
      <w:r w:rsidR="007F1A06" w:rsidRPr="0061214E">
        <w:rPr>
          <w:rFonts w:ascii="Arial" w:hAnsi="Arial" w:cs="Arial"/>
          <w:sz w:val="24"/>
          <w:szCs w:val="24"/>
        </w:rPr>
        <w:t>esign and layout issues</w:t>
      </w:r>
      <w:r w:rsidR="00A310E7">
        <w:rPr>
          <w:rFonts w:ascii="Arial" w:hAnsi="Arial" w:cs="Arial"/>
          <w:sz w:val="24"/>
          <w:szCs w:val="24"/>
        </w:rPr>
        <w:t> </w:t>
      </w:r>
      <w:r w:rsidR="007F1A06" w:rsidRPr="0061214E">
        <w:rPr>
          <w:rFonts w:ascii="Arial" w:hAnsi="Arial" w:cs="Arial"/>
          <w:sz w:val="24"/>
          <w:szCs w:val="24"/>
        </w:rPr>
        <w:t xml:space="preserve">– </w:t>
      </w:r>
      <w:r>
        <w:rPr>
          <w:rFonts w:ascii="Arial" w:hAnsi="Arial" w:cs="Arial"/>
          <w:sz w:val="24"/>
          <w:szCs w:val="24"/>
        </w:rPr>
        <w:t xml:space="preserve">and many of </w:t>
      </w:r>
      <w:r w:rsidR="007F1A06" w:rsidRPr="0061214E">
        <w:rPr>
          <w:rFonts w:ascii="Arial" w:hAnsi="Arial" w:cs="Arial"/>
          <w:sz w:val="24"/>
          <w:szCs w:val="24"/>
        </w:rPr>
        <w:t>the</w:t>
      </w:r>
      <w:r>
        <w:rPr>
          <w:rFonts w:ascii="Arial" w:hAnsi="Arial" w:cs="Arial"/>
          <w:sz w:val="24"/>
          <w:szCs w:val="24"/>
        </w:rPr>
        <w:t xml:space="preserve"> original </w:t>
      </w:r>
      <w:r w:rsidR="00CE4221">
        <w:rPr>
          <w:rFonts w:ascii="Arial" w:hAnsi="Arial" w:cs="Arial"/>
          <w:sz w:val="24"/>
          <w:szCs w:val="24"/>
        </w:rPr>
        <w:t xml:space="preserve">properties are now </w:t>
      </w:r>
      <w:r w:rsidR="007F1A06" w:rsidRPr="0061214E">
        <w:rPr>
          <w:rFonts w:ascii="Arial" w:hAnsi="Arial" w:cs="Arial"/>
          <w:sz w:val="24"/>
          <w:szCs w:val="24"/>
        </w:rPr>
        <w:t xml:space="preserve">considered to </w:t>
      </w:r>
      <w:r w:rsidR="00CE4221">
        <w:rPr>
          <w:rFonts w:ascii="Arial" w:hAnsi="Arial" w:cs="Arial"/>
          <w:sz w:val="24"/>
          <w:szCs w:val="24"/>
        </w:rPr>
        <w:t xml:space="preserve">not </w:t>
      </w:r>
      <w:r w:rsidR="007F1A06" w:rsidRPr="0061214E">
        <w:rPr>
          <w:rFonts w:ascii="Arial" w:hAnsi="Arial" w:cs="Arial"/>
          <w:sz w:val="24"/>
          <w:szCs w:val="24"/>
        </w:rPr>
        <w:t xml:space="preserve">provide appropriate </w:t>
      </w:r>
      <w:r>
        <w:rPr>
          <w:rFonts w:ascii="Arial" w:hAnsi="Arial" w:cs="Arial"/>
          <w:sz w:val="24"/>
          <w:szCs w:val="24"/>
        </w:rPr>
        <w:t xml:space="preserve">housing in terms of estate </w:t>
      </w:r>
      <w:r w:rsidR="007F1A06" w:rsidRPr="0061214E">
        <w:rPr>
          <w:rFonts w:ascii="Arial" w:hAnsi="Arial" w:cs="Arial"/>
          <w:sz w:val="24"/>
          <w:szCs w:val="24"/>
        </w:rPr>
        <w:t>layout</w:t>
      </w:r>
      <w:r w:rsidR="00287B1C">
        <w:rPr>
          <w:rFonts w:ascii="Arial" w:hAnsi="Arial" w:cs="Arial"/>
          <w:sz w:val="24"/>
          <w:szCs w:val="24"/>
        </w:rPr>
        <w:t>,</w:t>
      </w:r>
      <w:r w:rsidR="007F1A06" w:rsidRPr="0061214E">
        <w:rPr>
          <w:rFonts w:ascii="Arial" w:hAnsi="Arial" w:cs="Arial"/>
          <w:sz w:val="24"/>
          <w:szCs w:val="24"/>
        </w:rPr>
        <w:t xml:space="preserve"> living environment or for safety and security.</w:t>
      </w:r>
      <w:r>
        <w:rPr>
          <w:rFonts w:ascii="Arial" w:hAnsi="Arial" w:cs="Arial"/>
          <w:sz w:val="24"/>
          <w:szCs w:val="24"/>
        </w:rPr>
        <w:t xml:space="preserve"> </w:t>
      </w:r>
      <w:r w:rsidRPr="00404707">
        <w:rPr>
          <w:rFonts w:ascii="Arial" w:hAnsi="Arial" w:cs="Arial"/>
          <w:sz w:val="24"/>
          <w:szCs w:val="24"/>
        </w:rPr>
        <w:t>Given the scale of redevelopment, the location of the order properties is s</w:t>
      </w:r>
      <w:r>
        <w:rPr>
          <w:rFonts w:ascii="Arial" w:hAnsi="Arial" w:cs="Arial"/>
          <w:sz w:val="24"/>
          <w:szCs w:val="24"/>
        </w:rPr>
        <w:t>u</w:t>
      </w:r>
      <w:r w:rsidRPr="00404707">
        <w:rPr>
          <w:rFonts w:ascii="Arial" w:hAnsi="Arial" w:cs="Arial"/>
          <w:sz w:val="24"/>
          <w:szCs w:val="24"/>
        </w:rPr>
        <w:t xml:space="preserve">ch that they could not be retained </w:t>
      </w:r>
      <w:r w:rsidR="00453356">
        <w:rPr>
          <w:rFonts w:ascii="Arial" w:hAnsi="Arial" w:cs="Arial"/>
          <w:sz w:val="24"/>
          <w:szCs w:val="24"/>
        </w:rPr>
        <w:t xml:space="preserve">successfully </w:t>
      </w:r>
      <w:r w:rsidRPr="00404707">
        <w:rPr>
          <w:rFonts w:ascii="Arial" w:hAnsi="Arial" w:cs="Arial"/>
          <w:sz w:val="24"/>
          <w:szCs w:val="24"/>
        </w:rPr>
        <w:t xml:space="preserve">within the proposed redevelopment schemes. </w:t>
      </w:r>
    </w:p>
    <w:p w14:paraId="27B9E22E" w14:textId="77777777" w:rsidR="007F1A06" w:rsidRPr="0061214E" w:rsidRDefault="007F1A06" w:rsidP="000E55F7">
      <w:pPr>
        <w:pStyle w:val="Default"/>
        <w:tabs>
          <w:tab w:val="left" w:pos="426"/>
          <w:tab w:val="left" w:pos="851"/>
        </w:tabs>
        <w:ind w:hanging="567"/>
        <w:jc w:val="both"/>
      </w:pPr>
    </w:p>
    <w:p w14:paraId="5E635E54" w14:textId="23390373" w:rsidR="007F1A06" w:rsidRPr="00020D99" w:rsidRDefault="007F1A06" w:rsidP="0031498A">
      <w:pPr>
        <w:pStyle w:val="NoSpacing"/>
        <w:numPr>
          <w:ilvl w:val="1"/>
          <w:numId w:val="3"/>
        </w:numPr>
        <w:jc w:val="both"/>
        <w:rPr>
          <w:rFonts w:ascii="Arial" w:hAnsi="Arial" w:cs="Arial"/>
          <w:sz w:val="24"/>
          <w:szCs w:val="24"/>
        </w:rPr>
      </w:pPr>
      <w:r w:rsidRPr="0061214E">
        <w:rPr>
          <w:rFonts w:ascii="Arial" w:hAnsi="Arial" w:cs="Arial"/>
          <w:sz w:val="24"/>
          <w:szCs w:val="24"/>
        </w:rPr>
        <w:t xml:space="preserve">The </w:t>
      </w:r>
      <w:r w:rsidR="007C0450">
        <w:rPr>
          <w:rFonts w:ascii="Arial" w:hAnsi="Arial" w:cs="Arial"/>
          <w:sz w:val="24"/>
          <w:szCs w:val="24"/>
        </w:rPr>
        <w:t>r</w:t>
      </w:r>
      <w:r w:rsidRPr="0061214E">
        <w:rPr>
          <w:rFonts w:ascii="Arial" w:hAnsi="Arial" w:cs="Arial"/>
          <w:sz w:val="24"/>
          <w:szCs w:val="24"/>
        </w:rPr>
        <w:t>eview of options and the decision reached to progress demolition and redevelopment over refurbishment</w:t>
      </w:r>
      <w:r w:rsidR="000E416C">
        <w:rPr>
          <w:rFonts w:ascii="Arial" w:hAnsi="Arial" w:cs="Arial"/>
          <w:sz w:val="24"/>
          <w:szCs w:val="24"/>
        </w:rPr>
        <w:t xml:space="preserve"> was carefully </w:t>
      </w:r>
      <w:r w:rsidR="000E416C" w:rsidRPr="0025304C">
        <w:rPr>
          <w:rFonts w:ascii="Arial" w:hAnsi="Arial" w:cs="Arial"/>
          <w:sz w:val="24"/>
          <w:szCs w:val="24"/>
        </w:rPr>
        <w:t>considered in</w:t>
      </w:r>
      <w:r w:rsidR="00F91919" w:rsidRPr="0025304C">
        <w:rPr>
          <w:rFonts w:ascii="Arial" w:hAnsi="Arial" w:cs="Arial"/>
          <w:bCs/>
          <w:sz w:val="24"/>
          <w:szCs w:val="24"/>
        </w:rPr>
        <w:t xml:space="preserve"> </w:t>
      </w:r>
      <w:r w:rsidR="004B60F2" w:rsidRPr="0025304C">
        <w:rPr>
          <w:rFonts w:ascii="Arial" w:hAnsi="Arial" w:cs="Arial"/>
          <w:bCs/>
          <w:sz w:val="24"/>
          <w:szCs w:val="24"/>
        </w:rPr>
        <w:t>the r</w:t>
      </w:r>
      <w:r w:rsidR="00F91919" w:rsidRPr="0025304C">
        <w:rPr>
          <w:rFonts w:ascii="Arial" w:hAnsi="Arial" w:cs="Arial"/>
          <w:bCs/>
          <w:sz w:val="24"/>
          <w:szCs w:val="24"/>
        </w:rPr>
        <w:t xml:space="preserve">eport </w:t>
      </w:r>
      <w:r w:rsidR="00F91919" w:rsidRPr="00F23EF8">
        <w:rPr>
          <w:rFonts w:ascii="Arial" w:hAnsi="Arial" w:cs="Arial"/>
          <w:bCs/>
          <w:sz w:val="24"/>
          <w:szCs w:val="24"/>
        </w:rPr>
        <w:t xml:space="preserve">- Housing Clearance Programme which was approved by Cabinet on 14 February 2017. </w:t>
      </w:r>
      <w:r w:rsidR="00FD5D84">
        <w:rPr>
          <w:rFonts w:ascii="Arial" w:hAnsi="Arial" w:cs="Arial"/>
          <w:bCs/>
          <w:sz w:val="24"/>
          <w:szCs w:val="24"/>
        </w:rPr>
        <w:t>To not proceed with the proposed Clearance would put additional pressure on the Housing Revenue Account (HRA) as the properties identified require significantly more investment than would be gained from the rental income derived from them.</w:t>
      </w:r>
      <w:r w:rsidR="00F91919" w:rsidRPr="00F23EF8">
        <w:rPr>
          <w:rFonts w:ascii="Arial" w:hAnsi="Arial" w:cs="Arial"/>
          <w:bCs/>
          <w:sz w:val="24"/>
          <w:szCs w:val="24"/>
        </w:rPr>
        <w:t xml:space="preserve"> </w:t>
      </w:r>
      <w:r w:rsidR="00F91919" w:rsidRPr="00020D99">
        <w:rPr>
          <w:rFonts w:ascii="Arial" w:hAnsi="Arial" w:cs="Arial"/>
          <w:bCs/>
          <w:sz w:val="24"/>
          <w:szCs w:val="24"/>
        </w:rPr>
        <w:t xml:space="preserve">This report also </w:t>
      </w:r>
      <w:r w:rsidR="00F91919" w:rsidRPr="00020D99">
        <w:rPr>
          <w:rFonts w:ascii="Arial" w:hAnsi="Arial" w:cs="Arial"/>
          <w:sz w:val="24"/>
          <w:szCs w:val="24"/>
        </w:rPr>
        <w:t>authorised the making of the CPO</w:t>
      </w:r>
      <w:r w:rsidR="00F23EF8" w:rsidRPr="00020D99">
        <w:rPr>
          <w:rFonts w:ascii="Arial" w:hAnsi="Arial" w:cs="Arial"/>
          <w:sz w:val="24"/>
          <w:szCs w:val="24"/>
        </w:rPr>
        <w:t xml:space="preserve"> </w:t>
      </w:r>
      <w:r w:rsidR="00D1063A" w:rsidRPr="00020D99">
        <w:rPr>
          <w:rFonts w:ascii="Arial" w:hAnsi="Arial" w:cs="Arial"/>
          <w:sz w:val="24"/>
          <w:szCs w:val="24"/>
        </w:rPr>
        <w:t>(BCC</w:t>
      </w:r>
      <w:r w:rsidR="00544DC5" w:rsidRPr="00020D99">
        <w:rPr>
          <w:rFonts w:ascii="Arial" w:hAnsi="Arial" w:cs="Arial"/>
          <w:sz w:val="24"/>
          <w:szCs w:val="24"/>
        </w:rPr>
        <w:t xml:space="preserve"> 4</w:t>
      </w:r>
      <w:r w:rsidR="00D1063A" w:rsidRPr="00020D99">
        <w:rPr>
          <w:rFonts w:ascii="Arial" w:hAnsi="Arial" w:cs="Arial"/>
          <w:sz w:val="24"/>
          <w:szCs w:val="24"/>
        </w:rPr>
        <w:t>)</w:t>
      </w:r>
      <w:r w:rsidR="00F23EF8" w:rsidRPr="00020D99">
        <w:rPr>
          <w:rFonts w:ascii="Arial" w:hAnsi="Arial" w:cs="Arial"/>
          <w:sz w:val="24"/>
          <w:szCs w:val="24"/>
        </w:rPr>
        <w:t>.</w:t>
      </w:r>
    </w:p>
    <w:p w14:paraId="252692FC" w14:textId="77777777" w:rsidR="007F1A06" w:rsidRPr="0061214E" w:rsidRDefault="007F1A06" w:rsidP="000E55F7">
      <w:pPr>
        <w:pStyle w:val="Default"/>
        <w:ind w:hanging="567"/>
        <w:jc w:val="both"/>
      </w:pPr>
    </w:p>
    <w:p w14:paraId="53E1988D" w14:textId="587393BF" w:rsidR="007F1A06" w:rsidRPr="0061214E" w:rsidRDefault="007F1A06" w:rsidP="0031498A">
      <w:pPr>
        <w:pStyle w:val="NoSpacing"/>
        <w:numPr>
          <w:ilvl w:val="1"/>
          <w:numId w:val="3"/>
        </w:numPr>
        <w:jc w:val="both"/>
        <w:rPr>
          <w:rFonts w:ascii="Arial" w:hAnsi="Arial" w:cs="Arial"/>
          <w:sz w:val="24"/>
          <w:szCs w:val="24"/>
        </w:rPr>
      </w:pPr>
      <w:r w:rsidRPr="0061214E">
        <w:rPr>
          <w:rFonts w:ascii="Arial" w:hAnsi="Arial" w:cs="Arial"/>
          <w:sz w:val="24"/>
          <w:szCs w:val="24"/>
        </w:rPr>
        <w:t xml:space="preserve">It is the Council’s ambition to create a thriving and sustainable neighbourhood.  This would be in accordance with the Birmingham Development </w:t>
      </w:r>
      <w:r w:rsidR="000B369E" w:rsidRPr="0061214E">
        <w:rPr>
          <w:rFonts w:ascii="Arial" w:hAnsi="Arial" w:cs="Arial"/>
          <w:sz w:val="24"/>
          <w:szCs w:val="24"/>
        </w:rPr>
        <w:t>Plan</w:t>
      </w:r>
      <w:r w:rsidR="00404707">
        <w:rPr>
          <w:rFonts w:ascii="Arial" w:hAnsi="Arial" w:cs="Arial"/>
          <w:sz w:val="24"/>
          <w:szCs w:val="24"/>
        </w:rPr>
        <w:t>, The Kings Norton Planning Framework</w:t>
      </w:r>
      <w:r w:rsidR="000B369E" w:rsidRPr="0061214E">
        <w:rPr>
          <w:rFonts w:ascii="Arial" w:hAnsi="Arial" w:cs="Arial"/>
          <w:sz w:val="24"/>
          <w:szCs w:val="24"/>
        </w:rPr>
        <w:t xml:space="preserve"> and</w:t>
      </w:r>
      <w:r w:rsidRPr="0061214E">
        <w:rPr>
          <w:rFonts w:ascii="Arial" w:hAnsi="Arial" w:cs="Arial"/>
          <w:sz w:val="24"/>
          <w:szCs w:val="24"/>
        </w:rPr>
        <w:t xml:space="preserve"> </w:t>
      </w:r>
      <w:r w:rsidR="00287B1C">
        <w:rPr>
          <w:rFonts w:ascii="Arial" w:hAnsi="Arial" w:cs="Arial"/>
          <w:sz w:val="24"/>
          <w:szCs w:val="24"/>
        </w:rPr>
        <w:t xml:space="preserve">would </w:t>
      </w:r>
      <w:r w:rsidRPr="0061214E">
        <w:rPr>
          <w:rFonts w:ascii="Arial" w:hAnsi="Arial" w:cs="Arial"/>
          <w:sz w:val="24"/>
          <w:szCs w:val="24"/>
        </w:rPr>
        <w:t xml:space="preserve">respond to guidance set out in associated adopted design advice. </w:t>
      </w:r>
      <w:r w:rsidR="00404707">
        <w:rPr>
          <w:rFonts w:ascii="Arial" w:hAnsi="Arial" w:cs="Arial"/>
          <w:sz w:val="24"/>
          <w:szCs w:val="24"/>
        </w:rPr>
        <w:t>Planning permission for the development was gra</w:t>
      </w:r>
      <w:r w:rsidR="00C256F5">
        <w:rPr>
          <w:rFonts w:ascii="Arial" w:hAnsi="Arial" w:cs="Arial"/>
          <w:sz w:val="24"/>
          <w:szCs w:val="24"/>
        </w:rPr>
        <w:t>n</w:t>
      </w:r>
      <w:r w:rsidR="00404707">
        <w:rPr>
          <w:rFonts w:ascii="Arial" w:hAnsi="Arial" w:cs="Arial"/>
          <w:sz w:val="24"/>
          <w:szCs w:val="24"/>
        </w:rPr>
        <w:t xml:space="preserve">ted by the Planning Committee of the City Council on </w:t>
      </w:r>
      <w:r w:rsidR="00572702">
        <w:rPr>
          <w:rFonts w:ascii="Arial" w:hAnsi="Arial" w:cs="Arial"/>
          <w:sz w:val="24"/>
          <w:szCs w:val="24"/>
        </w:rPr>
        <w:t>4th</w:t>
      </w:r>
      <w:r w:rsidR="00404707">
        <w:rPr>
          <w:rFonts w:ascii="Arial" w:hAnsi="Arial" w:cs="Arial"/>
          <w:sz w:val="24"/>
          <w:szCs w:val="24"/>
        </w:rPr>
        <w:t xml:space="preserve"> March 2021.</w:t>
      </w:r>
    </w:p>
    <w:p w14:paraId="10A62C3F" w14:textId="77777777" w:rsidR="007F1A06" w:rsidRPr="0061214E" w:rsidRDefault="007F1A06" w:rsidP="000E55F7">
      <w:pPr>
        <w:pStyle w:val="Default"/>
        <w:ind w:hanging="567"/>
        <w:jc w:val="both"/>
      </w:pPr>
    </w:p>
    <w:p w14:paraId="51FC2A41" w14:textId="6707AC5E" w:rsidR="007F1A06" w:rsidRPr="0061214E" w:rsidRDefault="007F1A06" w:rsidP="0031498A">
      <w:pPr>
        <w:pStyle w:val="NoSpacing"/>
        <w:numPr>
          <w:ilvl w:val="1"/>
          <w:numId w:val="3"/>
        </w:numPr>
        <w:jc w:val="both"/>
        <w:rPr>
          <w:rFonts w:ascii="Arial" w:hAnsi="Arial" w:cs="Arial"/>
          <w:sz w:val="24"/>
          <w:szCs w:val="24"/>
        </w:rPr>
      </w:pPr>
      <w:r w:rsidRPr="0061214E">
        <w:rPr>
          <w:rFonts w:ascii="Arial" w:hAnsi="Arial" w:cs="Arial"/>
          <w:sz w:val="24"/>
          <w:szCs w:val="24"/>
        </w:rPr>
        <w:t>The Council is in the best position to promote and secure new development and investment. It has a successful track record of enabling and delivering housing through its delivery vehicle Birmingham Municipal Housing Trust (BMHT).  BMHT is the biggest house builder in Birmingham and has completed over 3</w:t>
      </w:r>
      <w:r w:rsidR="00A83CC3">
        <w:rPr>
          <w:rFonts w:ascii="Arial" w:hAnsi="Arial" w:cs="Arial"/>
          <w:sz w:val="24"/>
          <w:szCs w:val="24"/>
        </w:rPr>
        <w:t>,</w:t>
      </w:r>
      <w:r w:rsidR="00405919">
        <w:rPr>
          <w:rFonts w:ascii="Arial" w:hAnsi="Arial" w:cs="Arial"/>
          <w:sz w:val="24"/>
          <w:szCs w:val="24"/>
        </w:rPr>
        <w:t>500</w:t>
      </w:r>
      <w:r w:rsidRPr="0061214E">
        <w:rPr>
          <w:rFonts w:ascii="Arial" w:hAnsi="Arial" w:cs="Arial"/>
          <w:sz w:val="24"/>
          <w:szCs w:val="24"/>
        </w:rPr>
        <w:t xml:space="preserve"> new properties for rent and sale since its inception in 2009. BMHT developments have developed a track record of </w:t>
      </w:r>
      <w:r w:rsidR="008434BA">
        <w:rPr>
          <w:rFonts w:ascii="Arial" w:hAnsi="Arial" w:cs="Arial"/>
          <w:sz w:val="24"/>
          <w:szCs w:val="24"/>
        </w:rPr>
        <w:t xml:space="preserve">providing </w:t>
      </w:r>
      <w:r w:rsidRPr="0061214E">
        <w:rPr>
          <w:rFonts w:ascii="Arial" w:hAnsi="Arial" w:cs="Arial"/>
          <w:sz w:val="24"/>
          <w:szCs w:val="24"/>
        </w:rPr>
        <w:t xml:space="preserve">high quality and popular housing choices </w:t>
      </w:r>
      <w:r w:rsidR="008434BA">
        <w:rPr>
          <w:rFonts w:ascii="Arial" w:hAnsi="Arial" w:cs="Arial"/>
          <w:sz w:val="24"/>
          <w:szCs w:val="24"/>
        </w:rPr>
        <w:t>and this has been recognised with a number of national awards</w:t>
      </w:r>
      <w:r w:rsidR="00572FF4">
        <w:rPr>
          <w:rFonts w:ascii="Arial" w:hAnsi="Arial" w:cs="Arial"/>
          <w:sz w:val="24"/>
          <w:szCs w:val="24"/>
        </w:rPr>
        <w:t xml:space="preserve">. In a number of developments </w:t>
      </w:r>
      <w:r w:rsidRPr="0061214E">
        <w:rPr>
          <w:rFonts w:ascii="Arial" w:hAnsi="Arial" w:cs="Arial"/>
          <w:sz w:val="24"/>
          <w:szCs w:val="24"/>
        </w:rPr>
        <w:t>recently</w:t>
      </w:r>
      <w:r w:rsidR="00BB7283">
        <w:rPr>
          <w:rFonts w:ascii="Arial" w:hAnsi="Arial" w:cs="Arial"/>
          <w:sz w:val="24"/>
          <w:szCs w:val="24"/>
        </w:rPr>
        <w:t xml:space="preserve"> undertaken,</w:t>
      </w:r>
      <w:r w:rsidRPr="0061214E">
        <w:rPr>
          <w:rFonts w:ascii="Arial" w:hAnsi="Arial" w:cs="Arial"/>
          <w:sz w:val="24"/>
          <w:szCs w:val="24"/>
        </w:rPr>
        <w:t xml:space="preserve"> many BMHT properties built for sale have been bought off plan.</w:t>
      </w:r>
    </w:p>
    <w:p w14:paraId="51EDD063" w14:textId="77777777" w:rsidR="007F1A06" w:rsidRPr="0061214E" w:rsidRDefault="007F1A06" w:rsidP="000E55F7">
      <w:pPr>
        <w:pStyle w:val="Default"/>
        <w:ind w:hanging="567"/>
        <w:jc w:val="both"/>
      </w:pPr>
    </w:p>
    <w:p w14:paraId="2B603876" w14:textId="6C6B5706" w:rsidR="007F1A06" w:rsidRPr="00A0269F" w:rsidRDefault="007F1A06" w:rsidP="00D8681A">
      <w:pPr>
        <w:pStyle w:val="NoSpacing"/>
        <w:numPr>
          <w:ilvl w:val="1"/>
          <w:numId w:val="3"/>
        </w:numPr>
        <w:jc w:val="both"/>
        <w:rPr>
          <w:rFonts w:ascii="Arial" w:hAnsi="Arial" w:cs="Arial"/>
          <w:sz w:val="24"/>
          <w:szCs w:val="24"/>
        </w:rPr>
      </w:pPr>
      <w:r w:rsidRPr="0061214E">
        <w:rPr>
          <w:rFonts w:ascii="Arial" w:hAnsi="Arial" w:cs="Arial"/>
          <w:sz w:val="24"/>
          <w:szCs w:val="24"/>
        </w:rPr>
        <w:t xml:space="preserve">The freehold interest of </w:t>
      </w:r>
      <w:r w:rsidR="00453356">
        <w:rPr>
          <w:rFonts w:ascii="Arial" w:hAnsi="Arial" w:cs="Arial"/>
          <w:sz w:val="24"/>
          <w:szCs w:val="24"/>
        </w:rPr>
        <w:t xml:space="preserve">most of </w:t>
      </w:r>
      <w:r w:rsidRPr="0061214E">
        <w:rPr>
          <w:rFonts w:ascii="Arial" w:hAnsi="Arial" w:cs="Arial"/>
          <w:sz w:val="24"/>
          <w:szCs w:val="24"/>
        </w:rPr>
        <w:t xml:space="preserve">the </w:t>
      </w:r>
      <w:r w:rsidR="00453356">
        <w:rPr>
          <w:rFonts w:ascii="Arial" w:hAnsi="Arial" w:cs="Arial"/>
          <w:sz w:val="24"/>
          <w:szCs w:val="24"/>
        </w:rPr>
        <w:t xml:space="preserve">redevelopment area </w:t>
      </w:r>
      <w:r w:rsidRPr="0061214E">
        <w:rPr>
          <w:rFonts w:ascii="Arial" w:hAnsi="Arial" w:cs="Arial"/>
          <w:sz w:val="24"/>
          <w:szCs w:val="24"/>
        </w:rPr>
        <w:t xml:space="preserve">is with </w:t>
      </w:r>
      <w:r w:rsidR="00882D2E">
        <w:rPr>
          <w:rFonts w:ascii="Arial" w:hAnsi="Arial" w:cs="Arial"/>
          <w:sz w:val="24"/>
          <w:szCs w:val="24"/>
        </w:rPr>
        <w:t xml:space="preserve">the </w:t>
      </w:r>
      <w:r w:rsidRPr="0061214E">
        <w:rPr>
          <w:rFonts w:ascii="Arial" w:hAnsi="Arial" w:cs="Arial"/>
          <w:sz w:val="24"/>
          <w:szCs w:val="24"/>
        </w:rPr>
        <w:t xml:space="preserve"> Council; however, there are currently </w:t>
      </w:r>
      <w:r w:rsidR="004720FF">
        <w:rPr>
          <w:rFonts w:ascii="Arial" w:hAnsi="Arial" w:cs="Arial"/>
          <w:sz w:val="24"/>
          <w:szCs w:val="24"/>
        </w:rPr>
        <w:t>6</w:t>
      </w:r>
      <w:r w:rsidRPr="0061214E">
        <w:rPr>
          <w:rFonts w:ascii="Arial" w:hAnsi="Arial" w:cs="Arial"/>
          <w:sz w:val="24"/>
          <w:szCs w:val="24"/>
        </w:rPr>
        <w:t xml:space="preserve">  leasehold interests </w:t>
      </w:r>
      <w:r w:rsidR="00E6124D">
        <w:rPr>
          <w:rFonts w:ascii="Arial" w:hAnsi="Arial" w:cs="Arial"/>
          <w:sz w:val="24"/>
          <w:szCs w:val="24"/>
        </w:rPr>
        <w:t xml:space="preserve">and 1 freehold interest </w:t>
      </w:r>
      <w:r w:rsidRPr="0061214E">
        <w:rPr>
          <w:rFonts w:ascii="Arial" w:hAnsi="Arial" w:cs="Arial"/>
          <w:sz w:val="24"/>
          <w:szCs w:val="24"/>
        </w:rPr>
        <w:t xml:space="preserve">outstanding that are subject to the Order and these are distributed throughout the </w:t>
      </w:r>
      <w:r w:rsidR="007C0450">
        <w:rPr>
          <w:rFonts w:ascii="Arial" w:hAnsi="Arial" w:cs="Arial"/>
          <w:sz w:val="24"/>
          <w:szCs w:val="24"/>
        </w:rPr>
        <w:t xml:space="preserve">Pool Farm </w:t>
      </w:r>
      <w:r w:rsidR="00453356">
        <w:rPr>
          <w:rFonts w:ascii="Arial" w:hAnsi="Arial" w:cs="Arial"/>
          <w:sz w:val="24"/>
          <w:szCs w:val="24"/>
        </w:rPr>
        <w:t>estate</w:t>
      </w:r>
      <w:r w:rsidRPr="0061214E">
        <w:rPr>
          <w:rFonts w:ascii="Arial" w:hAnsi="Arial" w:cs="Arial"/>
          <w:sz w:val="24"/>
          <w:szCs w:val="24"/>
        </w:rPr>
        <w:t>.  The unification of the leasehold interests is necessary to progress the development opportunity in a timely manner.</w:t>
      </w:r>
      <w:r w:rsidR="00A0269F" w:rsidRPr="00A0269F">
        <w:rPr>
          <w:color w:val="000000"/>
        </w:rPr>
        <w:t xml:space="preserve"> </w:t>
      </w:r>
      <w:r w:rsidR="00A0269F" w:rsidRPr="00A0269F">
        <w:rPr>
          <w:rFonts w:ascii="Arial" w:hAnsi="Arial" w:cs="Arial"/>
          <w:color w:val="000000"/>
          <w:sz w:val="24"/>
          <w:szCs w:val="24"/>
        </w:rPr>
        <w:t>The distribution of this small number of outstanding interests across the Order Lands heightens the need for the order to be confirmed.  The retention of individual properties would not be appropriate given their location</w:t>
      </w:r>
      <w:r w:rsidR="00A0269F">
        <w:rPr>
          <w:rFonts w:ascii="Arial" w:hAnsi="Arial" w:cs="Arial"/>
          <w:color w:val="000000"/>
          <w:sz w:val="24"/>
          <w:szCs w:val="24"/>
        </w:rPr>
        <w:t xml:space="preserve"> and relationship to adjoining properties</w:t>
      </w:r>
      <w:r w:rsidR="00A0269F" w:rsidRPr="00A0269F">
        <w:rPr>
          <w:rFonts w:ascii="Arial" w:hAnsi="Arial" w:cs="Arial"/>
          <w:color w:val="000000"/>
          <w:sz w:val="24"/>
          <w:szCs w:val="24"/>
        </w:rPr>
        <w:t>, the comprehensive nature of the redevelopment being promoted, and the objective to achieve the regeneration benefits of the wider proposals.</w:t>
      </w:r>
    </w:p>
    <w:p w14:paraId="2562E02F" w14:textId="77777777" w:rsidR="007F1A06" w:rsidRPr="00A0269F" w:rsidRDefault="007F1A06" w:rsidP="000E55F7">
      <w:pPr>
        <w:pStyle w:val="Default"/>
        <w:ind w:hanging="567"/>
        <w:jc w:val="both"/>
      </w:pPr>
    </w:p>
    <w:p w14:paraId="5D3F3254" w14:textId="6CF67F5B" w:rsidR="007F1A06" w:rsidRPr="0061214E" w:rsidRDefault="007F1A06" w:rsidP="00D8681A">
      <w:pPr>
        <w:pStyle w:val="NoSpacing"/>
        <w:numPr>
          <w:ilvl w:val="1"/>
          <w:numId w:val="3"/>
        </w:numPr>
        <w:jc w:val="both"/>
        <w:rPr>
          <w:rFonts w:ascii="Arial" w:hAnsi="Arial" w:cs="Arial"/>
          <w:sz w:val="24"/>
          <w:szCs w:val="24"/>
        </w:rPr>
      </w:pPr>
      <w:r w:rsidRPr="0061214E">
        <w:rPr>
          <w:rFonts w:ascii="Arial" w:hAnsi="Arial" w:cs="Arial"/>
          <w:sz w:val="24"/>
          <w:szCs w:val="24"/>
        </w:rPr>
        <w:t xml:space="preserve">While the Council is pursuing voluntary acquisition of the private interests across the Order Lands site, this Compulsory Purchase Order will be progressed to secure any that cannot be acquired by negotiation within a reasonable timescale. </w:t>
      </w:r>
    </w:p>
    <w:p w14:paraId="5C7AB6C0" w14:textId="77777777" w:rsidR="007F1A06" w:rsidRPr="0061214E" w:rsidRDefault="007F1A06" w:rsidP="000E55F7">
      <w:pPr>
        <w:pStyle w:val="Default"/>
        <w:ind w:hanging="567"/>
        <w:jc w:val="both"/>
      </w:pPr>
    </w:p>
    <w:p w14:paraId="1215E434" w14:textId="4BE2CFF9" w:rsidR="00F5234B" w:rsidRPr="00F5234B" w:rsidRDefault="00F5234B" w:rsidP="00D8681A">
      <w:pPr>
        <w:pStyle w:val="NoSpacing"/>
        <w:numPr>
          <w:ilvl w:val="1"/>
          <w:numId w:val="3"/>
        </w:numPr>
        <w:jc w:val="both"/>
        <w:rPr>
          <w:rFonts w:ascii="Arial" w:hAnsi="Arial" w:cs="Arial"/>
          <w:sz w:val="24"/>
          <w:szCs w:val="24"/>
        </w:rPr>
      </w:pPr>
      <w:r w:rsidRPr="00F5234B">
        <w:rPr>
          <w:rFonts w:ascii="Arial" w:hAnsi="Arial" w:cs="Arial"/>
          <w:sz w:val="24"/>
          <w:szCs w:val="24"/>
        </w:rPr>
        <w:t>It is recognised that various residential occupiers are affected by the Order and these affected owners will be compensated and offered assistance with relocation. Where required, re-housing of residential owners/lawful occupants will be undertaken by an experienced dedicated officer within the Council’s Clearance Team.</w:t>
      </w:r>
    </w:p>
    <w:p w14:paraId="393B2136" w14:textId="77777777" w:rsidR="00F5234B" w:rsidRDefault="00F5234B" w:rsidP="000E55F7">
      <w:pPr>
        <w:pStyle w:val="NoSpacing"/>
        <w:ind w:left="540" w:hanging="567"/>
        <w:jc w:val="both"/>
        <w:rPr>
          <w:rFonts w:ascii="Arial" w:hAnsi="Arial" w:cs="Arial"/>
          <w:sz w:val="24"/>
          <w:szCs w:val="24"/>
        </w:rPr>
      </w:pPr>
    </w:p>
    <w:p w14:paraId="25F98CDD" w14:textId="2C75D475" w:rsidR="00F5234B" w:rsidRDefault="00F5234B" w:rsidP="00D8681A">
      <w:pPr>
        <w:pStyle w:val="NoSpacing"/>
        <w:numPr>
          <w:ilvl w:val="1"/>
          <w:numId w:val="3"/>
        </w:numPr>
        <w:jc w:val="both"/>
        <w:rPr>
          <w:rFonts w:ascii="Arial" w:hAnsi="Arial" w:cs="Arial"/>
          <w:sz w:val="24"/>
          <w:szCs w:val="24"/>
        </w:rPr>
      </w:pPr>
      <w:r w:rsidRPr="00F5234B">
        <w:rPr>
          <w:rFonts w:ascii="Arial" w:hAnsi="Arial" w:cs="Arial"/>
          <w:sz w:val="24"/>
          <w:szCs w:val="24"/>
        </w:rPr>
        <w:t xml:space="preserve">The Council, as acquiring authority, is committed to working with those affected, and will continue to facilitate engagement ahead of making the order, including pursuing early acquisitions. </w:t>
      </w:r>
    </w:p>
    <w:p w14:paraId="08529FAE" w14:textId="77777777" w:rsidR="00F5234B" w:rsidRDefault="00F5234B" w:rsidP="00413C02">
      <w:pPr>
        <w:pStyle w:val="ListParagraph"/>
        <w:spacing w:after="0" w:line="240" w:lineRule="auto"/>
        <w:ind w:hanging="567"/>
        <w:rPr>
          <w:rFonts w:ascii="Arial" w:hAnsi="Arial" w:cs="Arial"/>
          <w:sz w:val="24"/>
          <w:szCs w:val="24"/>
        </w:rPr>
      </w:pPr>
    </w:p>
    <w:p w14:paraId="64A9222D" w14:textId="18C4E9C6" w:rsidR="00F5234B" w:rsidRDefault="00F5234B" w:rsidP="00D8681A">
      <w:pPr>
        <w:pStyle w:val="NoSpacing"/>
        <w:numPr>
          <w:ilvl w:val="1"/>
          <w:numId w:val="3"/>
        </w:numPr>
        <w:jc w:val="both"/>
        <w:rPr>
          <w:rFonts w:ascii="Arial" w:hAnsi="Arial" w:cs="Arial"/>
          <w:sz w:val="24"/>
          <w:szCs w:val="24"/>
        </w:rPr>
      </w:pPr>
      <w:r w:rsidRPr="00F5234B">
        <w:rPr>
          <w:rFonts w:ascii="Arial" w:hAnsi="Arial" w:cs="Arial"/>
          <w:sz w:val="24"/>
          <w:szCs w:val="24"/>
        </w:rPr>
        <w:t xml:space="preserve">Council </w:t>
      </w:r>
      <w:r w:rsidR="0027612F">
        <w:rPr>
          <w:rFonts w:ascii="Arial" w:hAnsi="Arial" w:cs="Arial"/>
          <w:sz w:val="24"/>
          <w:szCs w:val="24"/>
        </w:rPr>
        <w:t>O</w:t>
      </w:r>
      <w:r w:rsidR="0027612F" w:rsidRPr="00F5234B">
        <w:rPr>
          <w:rFonts w:ascii="Arial" w:hAnsi="Arial" w:cs="Arial"/>
          <w:sz w:val="24"/>
          <w:szCs w:val="24"/>
        </w:rPr>
        <w:t>fficers will</w:t>
      </w:r>
      <w:r w:rsidRPr="00F5234B">
        <w:rPr>
          <w:rFonts w:ascii="Arial" w:hAnsi="Arial" w:cs="Arial"/>
          <w:sz w:val="24"/>
          <w:szCs w:val="24"/>
        </w:rPr>
        <w:t xml:space="preserve"> continue to work with freeholders, leaseholders and occupiers as the CPO progresses and Council officers have carried out inspections </w:t>
      </w:r>
      <w:r w:rsidR="00A83CC3" w:rsidRPr="00F5234B">
        <w:rPr>
          <w:rFonts w:ascii="Arial" w:hAnsi="Arial" w:cs="Arial"/>
          <w:sz w:val="24"/>
          <w:szCs w:val="24"/>
        </w:rPr>
        <w:t>and valuations</w:t>
      </w:r>
      <w:r w:rsidRPr="00F5234B">
        <w:rPr>
          <w:rFonts w:ascii="Arial" w:hAnsi="Arial" w:cs="Arial"/>
          <w:sz w:val="24"/>
          <w:szCs w:val="24"/>
        </w:rPr>
        <w:t xml:space="preserve"> of all residential interests over a phased period since 2017.</w:t>
      </w:r>
    </w:p>
    <w:p w14:paraId="4A987292" w14:textId="64C49586" w:rsidR="00F5234B" w:rsidRPr="00F5234B" w:rsidRDefault="00F5234B" w:rsidP="000E55F7">
      <w:pPr>
        <w:pStyle w:val="NoSpacing"/>
        <w:ind w:left="540" w:hanging="567"/>
        <w:jc w:val="both"/>
        <w:rPr>
          <w:rFonts w:ascii="Arial" w:hAnsi="Arial" w:cs="Arial"/>
          <w:sz w:val="24"/>
          <w:szCs w:val="24"/>
        </w:rPr>
      </w:pPr>
      <w:r w:rsidRPr="00F5234B">
        <w:rPr>
          <w:rFonts w:ascii="Arial" w:hAnsi="Arial" w:cs="Arial"/>
          <w:sz w:val="24"/>
          <w:szCs w:val="24"/>
        </w:rPr>
        <w:t xml:space="preserve"> </w:t>
      </w:r>
    </w:p>
    <w:p w14:paraId="49CAE2D7" w14:textId="74893BCE" w:rsidR="00F5234B" w:rsidRDefault="00404707" w:rsidP="00D8681A">
      <w:pPr>
        <w:pStyle w:val="NoSpacing"/>
        <w:numPr>
          <w:ilvl w:val="1"/>
          <w:numId w:val="3"/>
        </w:numPr>
        <w:jc w:val="both"/>
        <w:rPr>
          <w:rFonts w:ascii="Arial" w:hAnsi="Arial" w:cs="Arial"/>
          <w:sz w:val="24"/>
          <w:szCs w:val="24"/>
        </w:rPr>
      </w:pPr>
      <w:r>
        <w:rPr>
          <w:rFonts w:ascii="Arial" w:hAnsi="Arial" w:cs="Arial"/>
          <w:sz w:val="24"/>
          <w:szCs w:val="24"/>
        </w:rPr>
        <w:t>The Council has written to a</w:t>
      </w:r>
      <w:r w:rsidR="00F5234B" w:rsidRPr="00F5234B">
        <w:rPr>
          <w:rFonts w:ascii="Arial" w:hAnsi="Arial" w:cs="Arial"/>
          <w:sz w:val="24"/>
          <w:szCs w:val="24"/>
        </w:rPr>
        <w:t xml:space="preserve">ll parties identified as being </w:t>
      </w:r>
      <w:r w:rsidR="00A83CC3" w:rsidRPr="00F5234B">
        <w:rPr>
          <w:rFonts w:ascii="Arial" w:hAnsi="Arial" w:cs="Arial"/>
          <w:sz w:val="24"/>
          <w:szCs w:val="24"/>
        </w:rPr>
        <w:t>affected and</w:t>
      </w:r>
      <w:r w:rsidR="00F5234B" w:rsidRPr="00F5234B">
        <w:rPr>
          <w:rFonts w:ascii="Arial" w:hAnsi="Arial" w:cs="Arial"/>
          <w:sz w:val="24"/>
          <w:szCs w:val="24"/>
        </w:rPr>
        <w:t xml:space="preserve"> offers of compensation made. Owners have also been advised about their options in respect of appointing an independent agent to act on their behalf in negotiations.</w:t>
      </w:r>
    </w:p>
    <w:p w14:paraId="1D7373B0" w14:textId="77777777" w:rsidR="00F5234B" w:rsidRPr="00F5234B" w:rsidRDefault="00F5234B" w:rsidP="000E55F7">
      <w:pPr>
        <w:pStyle w:val="NoSpacing"/>
        <w:ind w:left="540" w:hanging="567"/>
        <w:jc w:val="both"/>
        <w:rPr>
          <w:rFonts w:ascii="Arial" w:hAnsi="Arial" w:cs="Arial"/>
          <w:sz w:val="24"/>
          <w:szCs w:val="24"/>
        </w:rPr>
      </w:pPr>
    </w:p>
    <w:p w14:paraId="722212D6" w14:textId="77777777" w:rsidR="00F5234B" w:rsidRDefault="00F5234B" w:rsidP="00D8681A">
      <w:pPr>
        <w:pStyle w:val="NoSpacing"/>
        <w:numPr>
          <w:ilvl w:val="1"/>
          <w:numId w:val="3"/>
        </w:numPr>
        <w:jc w:val="both"/>
        <w:rPr>
          <w:rFonts w:ascii="Arial" w:hAnsi="Arial" w:cs="Arial"/>
          <w:sz w:val="24"/>
          <w:szCs w:val="24"/>
        </w:rPr>
      </w:pPr>
      <w:r w:rsidRPr="00F5234B">
        <w:rPr>
          <w:rFonts w:ascii="Arial" w:hAnsi="Arial" w:cs="Arial"/>
          <w:sz w:val="24"/>
          <w:szCs w:val="24"/>
        </w:rPr>
        <w:t>Council officers have been engaging in negotiations, regarding the acquisition of the interests and any compensation payments due, either direct with the owner or through their appointed agents.</w:t>
      </w:r>
    </w:p>
    <w:p w14:paraId="051B937B" w14:textId="7129F828" w:rsidR="00F5234B" w:rsidRPr="00F5234B" w:rsidRDefault="00F5234B" w:rsidP="000E55F7">
      <w:pPr>
        <w:pStyle w:val="NoSpacing"/>
        <w:ind w:left="540" w:hanging="567"/>
        <w:jc w:val="both"/>
        <w:rPr>
          <w:rFonts w:ascii="Arial" w:hAnsi="Arial" w:cs="Arial"/>
          <w:sz w:val="24"/>
          <w:szCs w:val="24"/>
        </w:rPr>
      </w:pPr>
      <w:r w:rsidRPr="00F5234B">
        <w:rPr>
          <w:rFonts w:ascii="Arial" w:hAnsi="Arial" w:cs="Arial"/>
          <w:sz w:val="24"/>
          <w:szCs w:val="24"/>
        </w:rPr>
        <w:t xml:space="preserve"> </w:t>
      </w:r>
    </w:p>
    <w:p w14:paraId="0DF59BE5" w14:textId="38B1BAB1" w:rsidR="00F5234B" w:rsidRDefault="00F5234B" w:rsidP="00D8681A">
      <w:pPr>
        <w:pStyle w:val="NoSpacing"/>
        <w:numPr>
          <w:ilvl w:val="1"/>
          <w:numId w:val="3"/>
        </w:numPr>
        <w:jc w:val="both"/>
        <w:rPr>
          <w:rFonts w:ascii="Arial" w:hAnsi="Arial" w:cs="Arial"/>
          <w:sz w:val="24"/>
          <w:szCs w:val="24"/>
        </w:rPr>
      </w:pPr>
      <w:r>
        <w:rPr>
          <w:rFonts w:ascii="Arial" w:hAnsi="Arial" w:cs="Arial"/>
          <w:sz w:val="24"/>
          <w:szCs w:val="24"/>
        </w:rPr>
        <w:t>Engagement with affected residents</w:t>
      </w:r>
      <w:r w:rsidRPr="00F5234B">
        <w:rPr>
          <w:rFonts w:ascii="Arial" w:hAnsi="Arial" w:cs="Arial"/>
          <w:sz w:val="24"/>
          <w:szCs w:val="24"/>
        </w:rPr>
        <w:t>:</w:t>
      </w:r>
    </w:p>
    <w:p w14:paraId="1553DCCA" w14:textId="77777777" w:rsidR="00895F5E" w:rsidRPr="00F5234B" w:rsidRDefault="00895F5E" w:rsidP="000E55F7">
      <w:pPr>
        <w:pStyle w:val="NoSpacing"/>
        <w:ind w:left="792" w:hanging="567"/>
        <w:jc w:val="both"/>
        <w:rPr>
          <w:rFonts w:ascii="Arial" w:hAnsi="Arial" w:cs="Arial"/>
          <w:sz w:val="24"/>
          <w:szCs w:val="24"/>
        </w:rPr>
      </w:pPr>
    </w:p>
    <w:p w14:paraId="226A5B3D" w14:textId="4780C1C4" w:rsidR="00F5234B" w:rsidRPr="00F5234B" w:rsidRDefault="00F5234B" w:rsidP="000E55F7">
      <w:pPr>
        <w:pStyle w:val="NoSpacing"/>
        <w:numPr>
          <w:ilvl w:val="0"/>
          <w:numId w:val="36"/>
        </w:numPr>
        <w:ind w:hanging="567"/>
        <w:jc w:val="both"/>
        <w:rPr>
          <w:rFonts w:ascii="Arial" w:hAnsi="Arial" w:cs="Arial"/>
          <w:sz w:val="24"/>
          <w:szCs w:val="24"/>
        </w:rPr>
      </w:pPr>
      <w:r w:rsidRPr="00F5234B">
        <w:rPr>
          <w:rFonts w:ascii="Arial" w:hAnsi="Arial" w:cs="Arial"/>
          <w:sz w:val="24"/>
          <w:szCs w:val="24"/>
        </w:rPr>
        <w:t>Agreements have been reached, subject to contract, with the leasehold owners of both 90 &amp; 92 Sisefi</w:t>
      </w:r>
      <w:r>
        <w:rPr>
          <w:rFonts w:ascii="Arial" w:hAnsi="Arial" w:cs="Arial"/>
          <w:sz w:val="24"/>
          <w:szCs w:val="24"/>
        </w:rPr>
        <w:t>eld</w:t>
      </w:r>
      <w:r w:rsidRPr="00F5234B">
        <w:rPr>
          <w:rFonts w:ascii="Arial" w:hAnsi="Arial" w:cs="Arial"/>
          <w:sz w:val="24"/>
          <w:szCs w:val="24"/>
        </w:rPr>
        <w:t xml:space="preserve"> Road.</w:t>
      </w:r>
    </w:p>
    <w:p w14:paraId="653AEBBB" w14:textId="0672BDB7" w:rsidR="00F5234B" w:rsidRPr="00F5234B" w:rsidRDefault="00F5234B" w:rsidP="000E55F7">
      <w:pPr>
        <w:pStyle w:val="NoSpacing"/>
        <w:numPr>
          <w:ilvl w:val="0"/>
          <w:numId w:val="36"/>
        </w:numPr>
        <w:ind w:hanging="567"/>
        <w:jc w:val="both"/>
        <w:rPr>
          <w:rFonts w:ascii="Arial" w:hAnsi="Arial" w:cs="Arial"/>
          <w:sz w:val="24"/>
          <w:szCs w:val="24"/>
        </w:rPr>
      </w:pPr>
      <w:r w:rsidRPr="00F5234B">
        <w:rPr>
          <w:rFonts w:ascii="Arial" w:hAnsi="Arial" w:cs="Arial"/>
          <w:sz w:val="24"/>
          <w:szCs w:val="24"/>
        </w:rPr>
        <w:t xml:space="preserve">Negotiations are continuing in respect of leasehold properties at 7 Arrow Walk and 37 Hillmeads Road. </w:t>
      </w:r>
    </w:p>
    <w:p w14:paraId="48A663D8" w14:textId="2853BD46" w:rsidR="002C0E78" w:rsidRDefault="00F5234B" w:rsidP="000E55F7">
      <w:pPr>
        <w:pStyle w:val="NoSpacing"/>
        <w:numPr>
          <w:ilvl w:val="0"/>
          <w:numId w:val="36"/>
        </w:numPr>
        <w:ind w:hanging="567"/>
        <w:jc w:val="both"/>
        <w:rPr>
          <w:rFonts w:ascii="Arial" w:hAnsi="Arial" w:cs="Arial"/>
          <w:sz w:val="24"/>
          <w:szCs w:val="24"/>
        </w:rPr>
      </w:pPr>
      <w:r w:rsidRPr="00F5234B">
        <w:rPr>
          <w:rFonts w:ascii="Arial" w:hAnsi="Arial" w:cs="Arial"/>
          <w:sz w:val="24"/>
          <w:szCs w:val="24"/>
        </w:rPr>
        <w:t>Negotiations with the Freehold owner of 59 Gildas Avenue, have been continuing since 2017 and have</w:t>
      </w:r>
      <w:r w:rsidR="00404707">
        <w:rPr>
          <w:rFonts w:ascii="Arial" w:hAnsi="Arial" w:cs="Arial"/>
          <w:sz w:val="24"/>
          <w:szCs w:val="24"/>
        </w:rPr>
        <w:t xml:space="preserve"> yet to be concluded</w:t>
      </w:r>
      <w:r w:rsidRPr="00F5234B">
        <w:rPr>
          <w:rFonts w:ascii="Arial" w:hAnsi="Arial" w:cs="Arial"/>
          <w:sz w:val="24"/>
          <w:szCs w:val="24"/>
        </w:rPr>
        <w:t xml:space="preserve">, despite continued engagement by </w:t>
      </w:r>
      <w:r w:rsidR="002C0E78" w:rsidRPr="00F5234B">
        <w:rPr>
          <w:rFonts w:ascii="Arial" w:hAnsi="Arial" w:cs="Arial"/>
          <w:sz w:val="24"/>
          <w:szCs w:val="24"/>
        </w:rPr>
        <w:t>Council officers</w:t>
      </w:r>
      <w:r w:rsidRPr="00F5234B">
        <w:rPr>
          <w:rFonts w:ascii="Arial" w:hAnsi="Arial" w:cs="Arial"/>
          <w:sz w:val="24"/>
          <w:szCs w:val="24"/>
        </w:rPr>
        <w:t>.</w:t>
      </w:r>
    </w:p>
    <w:p w14:paraId="2F90E06D" w14:textId="4569A519" w:rsidR="003D18FB" w:rsidRPr="002C0E78" w:rsidRDefault="00E6124D" w:rsidP="000E55F7">
      <w:pPr>
        <w:pStyle w:val="NoSpacing"/>
        <w:numPr>
          <w:ilvl w:val="0"/>
          <w:numId w:val="36"/>
        </w:numPr>
        <w:ind w:hanging="567"/>
        <w:jc w:val="both"/>
        <w:rPr>
          <w:rFonts w:ascii="Arial" w:hAnsi="Arial" w:cs="Arial"/>
          <w:sz w:val="24"/>
          <w:szCs w:val="24"/>
        </w:rPr>
      </w:pPr>
      <w:r>
        <w:rPr>
          <w:rFonts w:ascii="Arial" w:hAnsi="Arial" w:cs="Arial"/>
          <w:sz w:val="24"/>
          <w:szCs w:val="24"/>
        </w:rPr>
        <w:t>Negotiations have recently started with the owners of 63 Hillmeads Road, 1 Hillmeads Road and 105 Walkers Heath Road.</w:t>
      </w:r>
    </w:p>
    <w:p w14:paraId="5AAB1A6B" w14:textId="78EF4C86" w:rsidR="00F5234B" w:rsidRDefault="00F5234B" w:rsidP="000E55F7">
      <w:pPr>
        <w:pStyle w:val="NoSpacing"/>
        <w:ind w:hanging="567"/>
        <w:jc w:val="both"/>
        <w:rPr>
          <w:rFonts w:ascii="Arial" w:hAnsi="Arial" w:cs="Arial"/>
          <w:sz w:val="24"/>
          <w:szCs w:val="24"/>
        </w:rPr>
      </w:pPr>
    </w:p>
    <w:p w14:paraId="0F57A918" w14:textId="16632594" w:rsidR="002C0E78" w:rsidRDefault="002C0E78" w:rsidP="00413C02">
      <w:pPr>
        <w:pStyle w:val="NoSpacing"/>
        <w:ind w:left="567"/>
        <w:jc w:val="both"/>
        <w:rPr>
          <w:rFonts w:ascii="Arial" w:hAnsi="Arial" w:cs="Arial"/>
          <w:sz w:val="24"/>
          <w:szCs w:val="24"/>
        </w:rPr>
      </w:pPr>
      <w:r>
        <w:rPr>
          <w:rFonts w:ascii="Arial" w:hAnsi="Arial" w:cs="Arial"/>
          <w:sz w:val="24"/>
          <w:szCs w:val="24"/>
        </w:rPr>
        <w:t xml:space="preserve">Although progress is being made with respect to the potential acquisitions, it is considered that the use of compulsory purchase powers is now required should the voluntary negotiations not be completed or if they </w:t>
      </w:r>
      <w:r w:rsidR="00895F5E">
        <w:rPr>
          <w:rFonts w:ascii="Arial" w:hAnsi="Arial" w:cs="Arial"/>
          <w:sz w:val="24"/>
          <w:szCs w:val="24"/>
        </w:rPr>
        <w:t>cannot</w:t>
      </w:r>
      <w:r>
        <w:rPr>
          <w:rFonts w:ascii="Arial" w:hAnsi="Arial" w:cs="Arial"/>
          <w:sz w:val="24"/>
          <w:szCs w:val="24"/>
        </w:rPr>
        <w:t xml:space="preserve"> be completed within a reasonable timeframe.</w:t>
      </w:r>
    </w:p>
    <w:p w14:paraId="74A567D1" w14:textId="77777777" w:rsidR="00F23EF8" w:rsidRDefault="00F23EF8" w:rsidP="002C0E78">
      <w:pPr>
        <w:pStyle w:val="NoSpacing"/>
        <w:ind w:left="567"/>
        <w:jc w:val="both"/>
        <w:rPr>
          <w:rFonts w:ascii="Arial" w:hAnsi="Arial" w:cs="Arial"/>
          <w:sz w:val="24"/>
          <w:szCs w:val="24"/>
        </w:rPr>
      </w:pPr>
    </w:p>
    <w:p w14:paraId="7786660F" w14:textId="77777777" w:rsidR="00E10DC7" w:rsidRDefault="00E10DC7" w:rsidP="00BC508C">
      <w:pPr>
        <w:pStyle w:val="NoSpacing"/>
        <w:numPr>
          <w:ilvl w:val="0"/>
          <w:numId w:val="3"/>
        </w:numPr>
        <w:ind w:left="567" w:hanging="567"/>
        <w:jc w:val="both"/>
        <w:outlineLvl w:val="0"/>
        <w:rPr>
          <w:rFonts w:ascii="Arial" w:hAnsi="Arial" w:cs="Arial"/>
          <w:b/>
          <w:bCs/>
          <w:sz w:val="24"/>
          <w:szCs w:val="24"/>
          <w:u w:val="single"/>
        </w:rPr>
      </w:pPr>
      <w:bookmarkStart w:id="8" w:name="_Toc68772047"/>
      <w:r w:rsidRPr="00BC508C">
        <w:rPr>
          <w:rFonts w:ascii="Arial" w:hAnsi="Arial" w:cs="Arial"/>
          <w:b/>
          <w:sz w:val="24"/>
          <w:szCs w:val="24"/>
          <w:u w:val="single"/>
          <w:lang w:eastAsia="en-GB"/>
        </w:rPr>
        <w:t>Housing</w:t>
      </w:r>
      <w:r>
        <w:rPr>
          <w:rFonts w:ascii="Arial" w:hAnsi="Arial" w:cs="Arial"/>
          <w:b/>
          <w:bCs/>
          <w:sz w:val="24"/>
          <w:szCs w:val="24"/>
          <w:u w:val="single"/>
        </w:rPr>
        <w:t xml:space="preserve"> supply and demand for Kings Norton, Birmingham</w:t>
      </w:r>
      <w:bookmarkEnd w:id="8"/>
    </w:p>
    <w:p w14:paraId="5AC7807D" w14:textId="77777777" w:rsidR="00E10DC7" w:rsidRDefault="00E10DC7" w:rsidP="00E10DC7"/>
    <w:p w14:paraId="204DFC9A" w14:textId="4E0FEFF7" w:rsidR="002A0BD5" w:rsidRPr="00E10DC7" w:rsidRDefault="002A0BD5" w:rsidP="00BC508C">
      <w:pPr>
        <w:pStyle w:val="NoSpacing"/>
        <w:numPr>
          <w:ilvl w:val="1"/>
          <w:numId w:val="3"/>
        </w:numPr>
        <w:jc w:val="both"/>
        <w:rPr>
          <w:rFonts w:ascii="Arial" w:hAnsi="Arial" w:cs="Arial"/>
          <w:b/>
          <w:bCs/>
          <w:sz w:val="28"/>
          <w:szCs w:val="28"/>
          <w:u w:val="single"/>
        </w:rPr>
      </w:pPr>
      <w:r w:rsidRPr="00E10DC7">
        <w:rPr>
          <w:rFonts w:ascii="Arial" w:hAnsi="Arial" w:cs="Arial"/>
          <w:sz w:val="24"/>
          <w:szCs w:val="24"/>
        </w:rPr>
        <w:t>The housing needs analysis undertaken for the Kings Norton South Ward (2019/20) demonstrates the extent of the need for housing in Kings Norton especially for larger family homes.  The below tables show the house types needed, the percentage of needs met, and also the notional waiting times:</w:t>
      </w:r>
    </w:p>
    <w:p w14:paraId="6AE07357" w14:textId="77777777" w:rsidR="002A0BD5" w:rsidRPr="00F93042" w:rsidRDefault="002A0BD5" w:rsidP="002A0BD5">
      <w:pPr>
        <w:pStyle w:val="Default"/>
        <w:jc w:val="both"/>
      </w:pPr>
    </w:p>
    <w:p w14:paraId="3FB5B0D0" w14:textId="77777777" w:rsidR="002A0BD5" w:rsidRPr="00946D73" w:rsidRDefault="002A0BD5" w:rsidP="002A0BD5">
      <w:pPr>
        <w:pStyle w:val="NoSpacing"/>
        <w:ind w:firstLine="540"/>
        <w:jc w:val="both"/>
        <w:rPr>
          <w:rFonts w:ascii="Arial" w:hAnsi="Arial" w:cs="Arial"/>
          <w:sz w:val="24"/>
          <w:szCs w:val="24"/>
        </w:rPr>
      </w:pPr>
      <w:r w:rsidRPr="00097F6D">
        <w:rPr>
          <w:rFonts w:ascii="Arial" w:hAnsi="Arial" w:cs="Arial"/>
          <w:b/>
          <w:bCs/>
          <w:sz w:val="24"/>
          <w:szCs w:val="24"/>
        </w:rPr>
        <w:lastRenderedPageBreak/>
        <w:t>Table 1 Housing Need</w:t>
      </w:r>
      <w:r>
        <w:rPr>
          <w:rFonts w:ascii="Arial" w:hAnsi="Arial" w:cs="Arial"/>
          <w:sz w:val="24"/>
          <w:szCs w:val="24"/>
        </w:rPr>
        <w:t>:</w:t>
      </w:r>
    </w:p>
    <w:tbl>
      <w:tblPr>
        <w:tblW w:w="8084" w:type="dxa"/>
        <w:tblInd w:w="473" w:type="dxa"/>
        <w:tblLook w:val="04A0" w:firstRow="1" w:lastRow="0" w:firstColumn="1" w:lastColumn="0" w:noHBand="0" w:noVBand="1"/>
        <w:tblCaption w:val="Information on housing need"/>
        <w:tblDescription w:val="Table shows the number of i, 2, 3, 4 and bed houses needed in Birmingham, Northfield and Kings Norton"/>
      </w:tblPr>
      <w:tblGrid>
        <w:gridCol w:w="2200"/>
        <w:gridCol w:w="960"/>
        <w:gridCol w:w="960"/>
        <w:gridCol w:w="960"/>
        <w:gridCol w:w="960"/>
        <w:gridCol w:w="1017"/>
        <w:gridCol w:w="1084"/>
      </w:tblGrid>
      <w:tr w:rsidR="002A0BD5" w:rsidRPr="00946D73" w14:paraId="77829A81" w14:textId="77777777" w:rsidTr="006B256C">
        <w:trPr>
          <w:trHeight w:val="255"/>
          <w:tblHead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CFE18" w14:textId="77777777" w:rsidR="002A0BD5" w:rsidRPr="00946D73" w:rsidRDefault="002A0BD5" w:rsidP="00BC2DE4">
            <w:pPr>
              <w:spacing w:after="0" w:line="240" w:lineRule="auto"/>
              <w:jc w:val="both"/>
              <w:rPr>
                <w:rFonts w:ascii="Arial" w:eastAsia="Times New Roman" w:hAnsi="Arial" w:cs="Arial"/>
                <w:b/>
                <w:bCs/>
                <w:sz w:val="24"/>
                <w:szCs w:val="24"/>
                <w:lang w:eastAsia="en-GB"/>
              </w:rPr>
            </w:pPr>
            <w:r w:rsidRPr="00946D73">
              <w:rPr>
                <w:rFonts w:ascii="Arial" w:eastAsia="Times New Roman" w:hAnsi="Arial" w:cs="Arial"/>
                <w:b/>
                <w:bCs/>
                <w:sz w:val="24"/>
                <w:szCs w:val="24"/>
                <w:lang w:eastAsia="en-GB"/>
              </w:rPr>
              <w:t>Area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BCB316" w14:textId="38C7EAB5" w:rsidR="002A0BD5" w:rsidRPr="008543EE" w:rsidRDefault="008543EE"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1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2F410F" w14:textId="427880F5" w:rsidR="002A0BD5" w:rsidRPr="008543EE" w:rsidRDefault="008543EE"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2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DFD636" w14:textId="284D6E4B" w:rsidR="002A0BD5" w:rsidRPr="008543EE" w:rsidRDefault="008543EE"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3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298F8A" w14:textId="053D40D0" w:rsidR="002A0BD5" w:rsidRPr="008543EE" w:rsidRDefault="008543EE"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4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746445" w14:textId="759DB07D" w:rsidR="002A0BD5" w:rsidRPr="008543EE" w:rsidRDefault="002A0BD5"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5B</w:t>
            </w:r>
            <w:r w:rsidR="008543EE">
              <w:rPr>
                <w:rFonts w:ascii="Arial" w:eastAsia="Times New Roman" w:hAnsi="Arial" w:cs="Arial"/>
                <w:b/>
                <w:bCs/>
                <w:sz w:val="24"/>
                <w:szCs w:val="24"/>
                <w:lang w:eastAsia="en-GB"/>
              </w:rPr>
              <w:t>EDS</w:t>
            </w:r>
          </w:p>
        </w:tc>
        <w:tc>
          <w:tcPr>
            <w:tcW w:w="1084" w:type="dxa"/>
            <w:tcBorders>
              <w:top w:val="single" w:sz="4" w:space="0" w:color="auto"/>
              <w:left w:val="nil"/>
              <w:bottom w:val="nil"/>
              <w:right w:val="single" w:sz="4" w:space="0" w:color="auto"/>
            </w:tcBorders>
            <w:shd w:val="clear" w:color="auto" w:fill="auto"/>
            <w:vAlign w:val="bottom"/>
            <w:hideMark/>
          </w:tcPr>
          <w:p w14:paraId="7C377B50" w14:textId="77777777" w:rsidR="002A0BD5" w:rsidRPr="008543EE" w:rsidRDefault="002A0BD5"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 xml:space="preserve">Total </w:t>
            </w:r>
          </w:p>
        </w:tc>
      </w:tr>
      <w:tr w:rsidR="002A0BD5" w:rsidRPr="00946D73" w14:paraId="7B69D71A" w14:textId="77777777" w:rsidTr="006B256C">
        <w:trPr>
          <w:trHeight w:val="255"/>
          <w:tblHead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86E3D2C" w14:textId="77777777" w:rsidR="002A0BD5" w:rsidRPr="00946D73" w:rsidRDefault="002A0BD5" w:rsidP="00BC2DE4">
            <w:pPr>
              <w:spacing w:after="0" w:line="240" w:lineRule="auto"/>
              <w:jc w:val="both"/>
              <w:rPr>
                <w:rFonts w:ascii="Arial" w:eastAsia="Times New Roman" w:hAnsi="Arial" w:cs="Arial"/>
                <w:sz w:val="24"/>
                <w:szCs w:val="24"/>
                <w:lang w:eastAsia="en-GB"/>
              </w:rPr>
            </w:pPr>
            <w:r w:rsidRPr="00946D73">
              <w:rPr>
                <w:rFonts w:ascii="Arial" w:eastAsia="Times New Roman" w:hAnsi="Arial" w:cs="Arial"/>
                <w:sz w:val="24"/>
                <w:szCs w:val="24"/>
                <w:lang w:eastAsia="en-GB"/>
              </w:rPr>
              <w:t>Birmingham</w:t>
            </w:r>
          </w:p>
        </w:tc>
        <w:tc>
          <w:tcPr>
            <w:tcW w:w="960" w:type="dxa"/>
            <w:tcBorders>
              <w:top w:val="nil"/>
              <w:left w:val="nil"/>
              <w:bottom w:val="single" w:sz="4" w:space="0" w:color="auto"/>
              <w:right w:val="single" w:sz="4" w:space="0" w:color="auto"/>
            </w:tcBorders>
            <w:shd w:val="clear" w:color="auto" w:fill="auto"/>
            <w:noWrap/>
            <w:vAlign w:val="bottom"/>
            <w:hideMark/>
          </w:tcPr>
          <w:p w14:paraId="682DB9FE"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3485.9</w:t>
            </w:r>
          </w:p>
        </w:tc>
        <w:tc>
          <w:tcPr>
            <w:tcW w:w="960" w:type="dxa"/>
            <w:tcBorders>
              <w:top w:val="nil"/>
              <w:left w:val="nil"/>
              <w:bottom w:val="single" w:sz="4" w:space="0" w:color="auto"/>
              <w:right w:val="single" w:sz="4" w:space="0" w:color="auto"/>
            </w:tcBorders>
            <w:shd w:val="clear" w:color="auto" w:fill="auto"/>
            <w:noWrap/>
            <w:vAlign w:val="bottom"/>
            <w:hideMark/>
          </w:tcPr>
          <w:p w14:paraId="3D452C86"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4710.0</w:t>
            </w:r>
          </w:p>
        </w:tc>
        <w:tc>
          <w:tcPr>
            <w:tcW w:w="960" w:type="dxa"/>
            <w:tcBorders>
              <w:top w:val="nil"/>
              <w:left w:val="nil"/>
              <w:bottom w:val="single" w:sz="4" w:space="0" w:color="auto"/>
              <w:right w:val="single" w:sz="4" w:space="0" w:color="auto"/>
            </w:tcBorders>
            <w:shd w:val="clear" w:color="auto" w:fill="auto"/>
            <w:noWrap/>
            <w:vAlign w:val="bottom"/>
            <w:hideMark/>
          </w:tcPr>
          <w:p w14:paraId="21C9F60F"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4137.8</w:t>
            </w:r>
          </w:p>
        </w:tc>
        <w:tc>
          <w:tcPr>
            <w:tcW w:w="960" w:type="dxa"/>
            <w:tcBorders>
              <w:top w:val="nil"/>
              <w:left w:val="nil"/>
              <w:bottom w:val="single" w:sz="4" w:space="0" w:color="auto"/>
              <w:right w:val="single" w:sz="4" w:space="0" w:color="auto"/>
            </w:tcBorders>
            <w:shd w:val="clear" w:color="auto" w:fill="auto"/>
            <w:noWrap/>
            <w:vAlign w:val="bottom"/>
            <w:hideMark/>
          </w:tcPr>
          <w:p w14:paraId="5BF16E12"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2107.3</w:t>
            </w:r>
          </w:p>
        </w:tc>
        <w:tc>
          <w:tcPr>
            <w:tcW w:w="960" w:type="dxa"/>
            <w:tcBorders>
              <w:top w:val="nil"/>
              <w:left w:val="nil"/>
              <w:bottom w:val="single" w:sz="4" w:space="0" w:color="auto"/>
              <w:right w:val="nil"/>
            </w:tcBorders>
            <w:shd w:val="clear" w:color="auto" w:fill="auto"/>
            <w:noWrap/>
            <w:vAlign w:val="bottom"/>
            <w:hideMark/>
          </w:tcPr>
          <w:p w14:paraId="58189376"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595.2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DF76D" w14:textId="77777777" w:rsidR="002A0BD5" w:rsidRPr="00946D73" w:rsidRDefault="002A0BD5" w:rsidP="00BC2DE4">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15036.2</w:t>
            </w:r>
          </w:p>
        </w:tc>
      </w:tr>
      <w:tr w:rsidR="002A0BD5" w:rsidRPr="00946D73" w14:paraId="6CC61D05" w14:textId="77777777" w:rsidTr="006B256C">
        <w:trPr>
          <w:trHeight w:val="255"/>
          <w:tblHead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66DFDBA"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Northfield Dist</w:t>
            </w:r>
          </w:p>
        </w:tc>
        <w:tc>
          <w:tcPr>
            <w:tcW w:w="960" w:type="dxa"/>
            <w:tcBorders>
              <w:top w:val="nil"/>
              <w:left w:val="nil"/>
              <w:bottom w:val="single" w:sz="4" w:space="0" w:color="auto"/>
              <w:right w:val="single" w:sz="4" w:space="0" w:color="auto"/>
            </w:tcBorders>
            <w:shd w:val="clear" w:color="auto" w:fill="auto"/>
            <w:noWrap/>
            <w:vAlign w:val="bottom"/>
            <w:hideMark/>
          </w:tcPr>
          <w:p w14:paraId="64AB9705"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456.3</w:t>
            </w:r>
          </w:p>
        </w:tc>
        <w:tc>
          <w:tcPr>
            <w:tcW w:w="960" w:type="dxa"/>
            <w:tcBorders>
              <w:top w:val="nil"/>
              <w:left w:val="nil"/>
              <w:bottom w:val="single" w:sz="4" w:space="0" w:color="auto"/>
              <w:right w:val="single" w:sz="4" w:space="0" w:color="auto"/>
            </w:tcBorders>
            <w:shd w:val="clear" w:color="auto" w:fill="auto"/>
            <w:noWrap/>
            <w:vAlign w:val="bottom"/>
            <w:hideMark/>
          </w:tcPr>
          <w:p w14:paraId="25CD7B7A"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437.0</w:t>
            </w:r>
          </w:p>
        </w:tc>
        <w:tc>
          <w:tcPr>
            <w:tcW w:w="960" w:type="dxa"/>
            <w:tcBorders>
              <w:top w:val="nil"/>
              <w:left w:val="nil"/>
              <w:bottom w:val="single" w:sz="4" w:space="0" w:color="auto"/>
              <w:right w:val="single" w:sz="4" w:space="0" w:color="auto"/>
            </w:tcBorders>
            <w:shd w:val="clear" w:color="auto" w:fill="auto"/>
            <w:noWrap/>
            <w:vAlign w:val="bottom"/>
            <w:hideMark/>
          </w:tcPr>
          <w:p w14:paraId="5706B6EF"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332.0</w:t>
            </w:r>
          </w:p>
        </w:tc>
        <w:tc>
          <w:tcPr>
            <w:tcW w:w="960" w:type="dxa"/>
            <w:tcBorders>
              <w:top w:val="nil"/>
              <w:left w:val="nil"/>
              <w:bottom w:val="single" w:sz="4" w:space="0" w:color="auto"/>
              <w:right w:val="single" w:sz="4" w:space="0" w:color="auto"/>
            </w:tcBorders>
            <w:shd w:val="clear" w:color="auto" w:fill="auto"/>
            <w:noWrap/>
            <w:vAlign w:val="bottom"/>
            <w:hideMark/>
          </w:tcPr>
          <w:p w14:paraId="37A4D0D5"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133.0</w:t>
            </w:r>
          </w:p>
        </w:tc>
        <w:tc>
          <w:tcPr>
            <w:tcW w:w="960" w:type="dxa"/>
            <w:tcBorders>
              <w:top w:val="nil"/>
              <w:left w:val="nil"/>
              <w:bottom w:val="single" w:sz="4" w:space="0" w:color="auto"/>
              <w:right w:val="single" w:sz="4" w:space="0" w:color="auto"/>
            </w:tcBorders>
            <w:shd w:val="clear" w:color="auto" w:fill="auto"/>
            <w:noWrap/>
            <w:vAlign w:val="bottom"/>
            <w:hideMark/>
          </w:tcPr>
          <w:p w14:paraId="48EC4555"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25.6</w:t>
            </w:r>
          </w:p>
        </w:tc>
        <w:tc>
          <w:tcPr>
            <w:tcW w:w="1084" w:type="dxa"/>
            <w:tcBorders>
              <w:top w:val="nil"/>
              <w:left w:val="nil"/>
              <w:bottom w:val="single" w:sz="4" w:space="0" w:color="auto"/>
              <w:right w:val="single" w:sz="4" w:space="0" w:color="auto"/>
            </w:tcBorders>
            <w:shd w:val="clear" w:color="auto" w:fill="auto"/>
            <w:noWrap/>
            <w:vAlign w:val="bottom"/>
            <w:hideMark/>
          </w:tcPr>
          <w:p w14:paraId="2B2CB26F" w14:textId="77777777" w:rsidR="002A0BD5" w:rsidRPr="00946D73" w:rsidRDefault="002A0BD5" w:rsidP="00BC2DE4">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1383.8</w:t>
            </w:r>
          </w:p>
        </w:tc>
      </w:tr>
      <w:tr w:rsidR="002A0BD5" w:rsidRPr="00946D73" w14:paraId="4530B1A7" w14:textId="77777777" w:rsidTr="006B256C">
        <w:trPr>
          <w:trHeight w:val="255"/>
          <w:tblHead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7543AB6"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Kings Norton (S)</w:t>
            </w:r>
          </w:p>
        </w:tc>
        <w:tc>
          <w:tcPr>
            <w:tcW w:w="960" w:type="dxa"/>
            <w:tcBorders>
              <w:top w:val="nil"/>
              <w:left w:val="nil"/>
              <w:bottom w:val="single" w:sz="4" w:space="0" w:color="auto"/>
              <w:right w:val="single" w:sz="4" w:space="0" w:color="auto"/>
            </w:tcBorders>
            <w:shd w:val="clear" w:color="auto" w:fill="auto"/>
            <w:noWrap/>
            <w:vAlign w:val="bottom"/>
            <w:hideMark/>
          </w:tcPr>
          <w:p w14:paraId="455D0F31"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45.7</w:t>
            </w:r>
          </w:p>
        </w:tc>
        <w:tc>
          <w:tcPr>
            <w:tcW w:w="960" w:type="dxa"/>
            <w:tcBorders>
              <w:top w:val="nil"/>
              <w:left w:val="nil"/>
              <w:bottom w:val="single" w:sz="4" w:space="0" w:color="auto"/>
              <w:right w:val="single" w:sz="4" w:space="0" w:color="auto"/>
            </w:tcBorders>
            <w:shd w:val="clear" w:color="auto" w:fill="auto"/>
            <w:noWrap/>
            <w:vAlign w:val="bottom"/>
            <w:hideMark/>
          </w:tcPr>
          <w:p w14:paraId="1E1C91AF"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55.8</w:t>
            </w:r>
          </w:p>
        </w:tc>
        <w:tc>
          <w:tcPr>
            <w:tcW w:w="960" w:type="dxa"/>
            <w:tcBorders>
              <w:top w:val="nil"/>
              <w:left w:val="nil"/>
              <w:bottom w:val="single" w:sz="4" w:space="0" w:color="auto"/>
              <w:right w:val="single" w:sz="4" w:space="0" w:color="auto"/>
            </w:tcBorders>
            <w:shd w:val="clear" w:color="auto" w:fill="auto"/>
            <w:noWrap/>
            <w:vAlign w:val="bottom"/>
            <w:hideMark/>
          </w:tcPr>
          <w:p w14:paraId="490DB9F8"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45.3</w:t>
            </w:r>
          </w:p>
        </w:tc>
        <w:tc>
          <w:tcPr>
            <w:tcW w:w="960" w:type="dxa"/>
            <w:tcBorders>
              <w:top w:val="nil"/>
              <w:left w:val="nil"/>
              <w:bottom w:val="single" w:sz="4" w:space="0" w:color="auto"/>
              <w:right w:val="single" w:sz="4" w:space="0" w:color="auto"/>
            </w:tcBorders>
            <w:shd w:val="clear" w:color="auto" w:fill="auto"/>
            <w:noWrap/>
            <w:vAlign w:val="bottom"/>
            <w:hideMark/>
          </w:tcPr>
          <w:p w14:paraId="2EA43F4E" w14:textId="77777777" w:rsidR="002A0BD5" w:rsidRPr="00946D73" w:rsidRDefault="002A0BD5" w:rsidP="00BC2DE4">
            <w:pPr>
              <w:spacing w:after="0" w:line="240" w:lineRule="auto"/>
              <w:jc w:val="both"/>
              <w:rPr>
                <w:rFonts w:ascii="Arial" w:eastAsia="Times New Roman" w:hAnsi="Arial" w:cs="Arial"/>
                <w:sz w:val="24"/>
                <w:szCs w:val="24"/>
                <w:lang w:eastAsia="en-GB"/>
              </w:rPr>
            </w:pPr>
            <w:r w:rsidRPr="00946D73">
              <w:rPr>
                <w:rFonts w:ascii="Arial" w:eastAsia="Times New Roman" w:hAnsi="Arial" w:cs="Arial"/>
                <w:sz w:val="24"/>
                <w:szCs w:val="24"/>
                <w:lang w:eastAsia="en-GB"/>
              </w:rPr>
              <w:t>1</w:t>
            </w:r>
            <w:r>
              <w:rPr>
                <w:rFonts w:ascii="Arial" w:eastAsia="Times New Roman" w:hAnsi="Arial" w:cs="Arial"/>
                <w:sz w:val="24"/>
                <w:szCs w:val="24"/>
                <w:lang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6E1D4F80"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3.7</w:t>
            </w:r>
          </w:p>
        </w:tc>
        <w:tc>
          <w:tcPr>
            <w:tcW w:w="1084" w:type="dxa"/>
            <w:tcBorders>
              <w:top w:val="nil"/>
              <w:left w:val="nil"/>
              <w:bottom w:val="single" w:sz="4" w:space="0" w:color="auto"/>
              <w:right w:val="single" w:sz="4" w:space="0" w:color="auto"/>
            </w:tcBorders>
            <w:shd w:val="clear" w:color="auto" w:fill="auto"/>
            <w:noWrap/>
            <w:vAlign w:val="bottom"/>
            <w:hideMark/>
          </w:tcPr>
          <w:p w14:paraId="757FDC3B" w14:textId="77777777" w:rsidR="002A0BD5" w:rsidRPr="00946D73" w:rsidRDefault="002A0BD5" w:rsidP="00BC2DE4">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165.2</w:t>
            </w:r>
          </w:p>
        </w:tc>
      </w:tr>
    </w:tbl>
    <w:p w14:paraId="781C34FF" w14:textId="77777777" w:rsidR="002A0BD5" w:rsidRPr="00A51172" w:rsidRDefault="002A0BD5" w:rsidP="002A0BD5">
      <w:pPr>
        <w:pStyle w:val="NoSpacing"/>
        <w:jc w:val="both"/>
        <w:rPr>
          <w:rFonts w:ascii="Arial" w:hAnsi="Arial" w:cs="Arial"/>
        </w:rPr>
      </w:pPr>
    </w:p>
    <w:p w14:paraId="6D2A18F7" w14:textId="77777777" w:rsidR="002A0BD5" w:rsidRPr="00097F6D" w:rsidRDefault="002A0BD5" w:rsidP="002A0BD5">
      <w:pPr>
        <w:pStyle w:val="NoSpacing"/>
        <w:ind w:firstLine="720"/>
        <w:jc w:val="both"/>
        <w:rPr>
          <w:rFonts w:ascii="Arial" w:hAnsi="Arial" w:cs="Arial"/>
          <w:b/>
          <w:bCs/>
          <w:sz w:val="24"/>
          <w:szCs w:val="24"/>
        </w:rPr>
      </w:pPr>
      <w:r w:rsidRPr="00097F6D">
        <w:rPr>
          <w:rFonts w:ascii="Arial" w:hAnsi="Arial" w:cs="Arial"/>
          <w:b/>
          <w:bCs/>
          <w:sz w:val="24"/>
          <w:szCs w:val="24"/>
        </w:rPr>
        <w:t xml:space="preserve">Table 2 Housing Need met </w:t>
      </w:r>
    </w:p>
    <w:tbl>
      <w:tblPr>
        <w:tblW w:w="7960" w:type="dxa"/>
        <w:tblInd w:w="528" w:type="dxa"/>
        <w:tblLook w:val="04A0" w:firstRow="1" w:lastRow="0" w:firstColumn="1" w:lastColumn="0" w:noHBand="0" w:noVBand="1"/>
        <w:tblCaption w:val="Housing need met"/>
        <w:tblDescription w:val="The table shows the percentages of housing need met in Birmingham, Northfield and Kings Norton"/>
      </w:tblPr>
      <w:tblGrid>
        <w:gridCol w:w="2200"/>
        <w:gridCol w:w="1030"/>
        <w:gridCol w:w="1030"/>
        <w:gridCol w:w="960"/>
        <w:gridCol w:w="960"/>
        <w:gridCol w:w="960"/>
        <w:gridCol w:w="960"/>
      </w:tblGrid>
      <w:tr w:rsidR="008543EE" w:rsidRPr="008543EE" w14:paraId="0B3466DF" w14:textId="77777777" w:rsidTr="006B256C">
        <w:trPr>
          <w:trHeight w:val="255"/>
          <w:tblHead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C9F2A" w14:textId="77777777" w:rsidR="002A0BD5" w:rsidRPr="008543EE" w:rsidRDefault="002A0BD5" w:rsidP="00BC2DE4">
            <w:pPr>
              <w:spacing w:after="0" w:line="240" w:lineRule="auto"/>
              <w:jc w:val="both"/>
              <w:rPr>
                <w:rFonts w:ascii="Arial" w:eastAsia="Times New Roman" w:hAnsi="Arial" w:cs="Arial"/>
                <w:b/>
                <w:bCs/>
                <w:color w:val="000000" w:themeColor="text1"/>
                <w:sz w:val="24"/>
                <w:szCs w:val="24"/>
                <w:lang w:eastAsia="en-GB"/>
              </w:rPr>
            </w:pPr>
            <w:r w:rsidRPr="008543EE">
              <w:rPr>
                <w:rFonts w:ascii="Arial" w:eastAsia="Times New Roman" w:hAnsi="Arial" w:cs="Arial"/>
                <w:b/>
                <w:bCs/>
                <w:color w:val="000000" w:themeColor="text1"/>
                <w:sz w:val="24"/>
                <w:szCs w:val="24"/>
                <w:lang w:eastAsia="en-GB"/>
              </w:rPr>
              <w:t>Area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42C33C" w14:textId="3D8CF496" w:rsidR="002A0BD5" w:rsidRPr="008543EE" w:rsidRDefault="002A0BD5" w:rsidP="00BC2DE4">
            <w:pPr>
              <w:spacing w:after="0" w:line="240" w:lineRule="auto"/>
              <w:jc w:val="both"/>
              <w:rPr>
                <w:rFonts w:ascii="Arial" w:eastAsia="Times New Roman" w:hAnsi="Arial" w:cs="Arial"/>
                <w:b/>
                <w:bCs/>
                <w:color w:val="000000" w:themeColor="text1"/>
                <w:sz w:val="24"/>
                <w:szCs w:val="24"/>
                <w:lang w:eastAsia="en-GB"/>
              </w:rPr>
            </w:pPr>
            <w:r w:rsidRPr="008543EE">
              <w:rPr>
                <w:rFonts w:ascii="Arial" w:eastAsia="Times New Roman" w:hAnsi="Arial" w:cs="Arial"/>
                <w:b/>
                <w:bCs/>
                <w:color w:val="000000" w:themeColor="text1"/>
                <w:sz w:val="24"/>
                <w:szCs w:val="24"/>
                <w:lang w:eastAsia="en-GB"/>
              </w:rPr>
              <w:t>1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489863" w14:textId="6627BCE2" w:rsidR="002A0BD5" w:rsidRPr="008543EE" w:rsidRDefault="008543EE" w:rsidP="00BC2DE4">
            <w:pPr>
              <w:spacing w:after="0" w:line="240" w:lineRule="auto"/>
              <w:jc w:val="both"/>
              <w:rPr>
                <w:rFonts w:ascii="Arial" w:eastAsia="Times New Roman" w:hAnsi="Arial" w:cs="Arial"/>
                <w:b/>
                <w:bCs/>
                <w:color w:val="000000" w:themeColor="text1"/>
                <w:sz w:val="24"/>
                <w:szCs w:val="24"/>
                <w:lang w:eastAsia="en-GB"/>
              </w:rPr>
            </w:pPr>
            <w:r w:rsidRPr="008543EE">
              <w:rPr>
                <w:rFonts w:ascii="Arial" w:eastAsia="Times New Roman" w:hAnsi="Arial" w:cs="Arial"/>
                <w:b/>
                <w:bCs/>
                <w:color w:val="000000" w:themeColor="text1"/>
                <w:sz w:val="24"/>
                <w:szCs w:val="24"/>
                <w:lang w:eastAsia="en-GB"/>
              </w:rPr>
              <w:t>2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0AD24C" w14:textId="61F1E85C" w:rsidR="002A0BD5" w:rsidRPr="008543EE" w:rsidRDefault="008543EE" w:rsidP="00BC2DE4">
            <w:pPr>
              <w:spacing w:after="0" w:line="240" w:lineRule="auto"/>
              <w:jc w:val="both"/>
              <w:rPr>
                <w:rFonts w:ascii="Arial" w:eastAsia="Times New Roman" w:hAnsi="Arial" w:cs="Arial"/>
                <w:b/>
                <w:bCs/>
                <w:color w:val="000000" w:themeColor="text1"/>
                <w:sz w:val="24"/>
                <w:szCs w:val="24"/>
                <w:lang w:eastAsia="en-GB"/>
              </w:rPr>
            </w:pPr>
            <w:r w:rsidRPr="008543EE">
              <w:rPr>
                <w:rFonts w:ascii="Arial" w:eastAsia="Times New Roman" w:hAnsi="Arial" w:cs="Arial"/>
                <w:b/>
                <w:bCs/>
                <w:color w:val="000000" w:themeColor="text1"/>
                <w:sz w:val="24"/>
                <w:szCs w:val="24"/>
                <w:lang w:eastAsia="en-GB"/>
              </w:rPr>
              <w:t>3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32A0A0" w14:textId="50FF6CBD" w:rsidR="002A0BD5" w:rsidRPr="008543EE" w:rsidRDefault="008543EE" w:rsidP="00BC2DE4">
            <w:pPr>
              <w:spacing w:after="0" w:line="240" w:lineRule="auto"/>
              <w:jc w:val="both"/>
              <w:rPr>
                <w:rFonts w:ascii="Arial" w:eastAsia="Times New Roman" w:hAnsi="Arial" w:cs="Arial"/>
                <w:b/>
                <w:bCs/>
                <w:color w:val="000000" w:themeColor="text1"/>
                <w:sz w:val="24"/>
                <w:szCs w:val="24"/>
                <w:lang w:eastAsia="en-GB"/>
              </w:rPr>
            </w:pPr>
            <w:r w:rsidRPr="008543EE">
              <w:rPr>
                <w:rFonts w:ascii="Arial" w:eastAsia="Times New Roman" w:hAnsi="Arial" w:cs="Arial"/>
                <w:b/>
                <w:bCs/>
                <w:color w:val="000000" w:themeColor="text1"/>
                <w:sz w:val="24"/>
                <w:szCs w:val="24"/>
                <w:lang w:eastAsia="en-GB"/>
              </w:rPr>
              <w:t>4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48ED13" w14:textId="4B196D1E" w:rsidR="002A0BD5" w:rsidRPr="008543EE" w:rsidRDefault="002A0BD5" w:rsidP="00BC2DE4">
            <w:pPr>
              <w:spacing w:after="0" w:line="240" w:lineRule="auto"/>
              <w:jc w:val="both"/>
              <w:rPr>
                <w:rFonts w:ascii="Arial" w:eastAsia="Times New Roman" w:hAnsi="Arial" w:cs="Arial"/>
                <w:b/>
                <w:bCs/>
                <w:color w:val="000000" w:themeColor="text1"/>
                <w:sz w:val="24"/>
                <w:szCs w:val="24"/>
                <w:lang w:eastAsia="en-GB"/>
              </w:rPr>
            </w:pPr>
            <w:r w:rsidRPr="008543EE">
              <w:rPr>
                <w:rFonts w:ascii="Arial" w:eastAsia="Times New Roman" w:hAnsi="Arial" w:cs="Arial"/>
                <w:b/>
                <w:bCs/>
                <w:color w:val="000000" w:themeColor="text1"/>
                <w:sz w:val="24"/>
                <w:szCs w:val="24"/>
                <w:lang w:eastAsia="en-GB"/>
              </w:rPr>
              <w:t>5</w:t>
            </w:r>
            <w:r w:rsidR="008543EE">
              <w:rPr>
                <w:rFonts w:ascii="Arial" w:eastAsia="Times New Roman" w:hAnsi="Arial" w:cs="Arial"/>
                <w:b/>
                <w:bCs/>
                <w:color w:val="000000" w:themeColor="text1"/>
                <w:sz w:val="24"/>
                <w:szCs w:val="24"/>
                <w:lang w:eastAsia="en-GB"/>
              </w:rPr>
              <w:t xml:space="preserve">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BBA84E" w14:textId="77777777" w:rsidR="002A0BD5" w:rsidRPr="008543EE" w:rsidRDefault="002A0BD5" w:rsidP="00BC2DE4">
            <w:pPr>
              <w:spacing w:after="0" w:line="240" w:lineRule="auto"/>
              <w:jc w:val="both"/>
              <w:rPr>
                <w:rFonts w:ascii="Arial" w:eastAsia="Times New Roman" w:hAnsi="Arial" w:cs="Arial"/>
                <w:b/>
                <w:bCs/>
                <w:color w:val="000000" w:themeColor="text1"/>
                <w:sz w:val="24"/>
                <w:szCs w:val="24"/>
                <w:lang w:eastAsia="en-GB"/>
              </w:rPr>
            </w:pPr>
            <w:r w:rsidRPr="008543EE">
              <w:rPr>
                <w:rFonts w:ascii="Arial" w:eastAsia="Times New Roman" w:hAnsi="Arial" w:cs="Arial"/>
                <w:b/>
                <w:bCs/>
                <w:color w:val="000000" w:themeColor="text1"/>
                <w:sz w:val="24"/>
                <w:szCs w:val="24"/>
                <w:lang w:eastAsia="en-GB"/>
              </w:rPr>
              <w:t xml:space="preserve">Total </w:t>
            </w:r>
          </w:p>
        </w:tc>
      </w:tr>
      <w:tr w:rsidR="002A0BD5" w:rsidRPr="00946D73" w14:paraId="60BD167C" w14:textId="77777777" w:rsidTr="006B256C">
        <w:trPr>
          <w:trHeight w:val="255"/>
          <w:tblHead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45B24C4" w14:textId="77777777" w:rsidR="002A0BD5" w:rsidRPr="00946D73" w:rsidRDefault="002A0BD5" w:rsidP="00BC2DE4">
            <w:pPr>
              <w:spacing w:after="0" w:line="240" w:lineRule="auto"/>
              <w:jc w:val="both"/>
              <w:rPr>
                <w:rFonts w:ascii="Arial" w:eastAsia="Times New Roman" w:hAnsi="Arial" w:cs="Arial"/>
                <w:sz w:val="24"/>
                <w:szCs w:val="24"/>
                <w:lang w:eastAsia="en-GB"/>
              </w:rPr>
            </w:pPr>
            <w:r w:rsidRPr="00946D73">
              <w:rPr>
                <w:rFonts w:ascii="Arial" w:eastAsia="Times New Roman" w:hAnsi="Arial" w:cs="Arial"/>
                <w:sz w:val="24"/>
                <w:szCs w:val="24"/>
                <w:lang w:eastAsia="en-GB"/>
              </w:rPr>
              <w:t>Birmingham</w:t>
            </w:r>
          </w:p>
        </w:tc>
        <w:tc>
          <w:tcPr>
            <w:tcW w:w="960" w:type="dxa"/>
            <w:tcBorders>
              <w:top w:val="nil"/>
              <w:left w:val="nil"/>
              <w:bottom w:val="single" w:sz="4" w:space="0" w:color="auto"/>
              <w:right w:val="single" w:sz="4" w:space="0" w:color="auto"/>
            </w:tcBorders>
            <w:shd w:val="clear" w:color="auto" w:fill="auto"/>
            <w:noWrap/>
            <w:vAlign w:val="bottom"/>
            <w:hideMark/>
          </w:tcPr>
          <w:p w14:paraId="679E7667"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39.1</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4531295B" w14:textId="77777777" w:rsidR="002A0BD5" w:rsidRPr="00946D73" w:rsidRDefault="002A0BD5" w:rsidP="00BC2DE4">
            <w:pPr>
              <w:spacing w:after="0" w:line="240" w:lineRule="auto"/>
              <w:jc w:val="both"/>
              <w:rPr>
                <w:rFonts w:ascii="Arial" w:eastAsia="Times New Roman" w:hAnsi="Arial" w:cs="Arial"/>
                <w:sz w:val="24"/>
                <w:szCs w:val="24"/>
                <w:lang w:eastAsia="en-GB"/>
              </w:rPr>
            </w:pPr>
            <w:r w:rsidRPr="00946D73">
              <w:rPr>
                <w:rFonts w:ascii="Arial" w:eastAsia="Times New Roman" w:hAnsi="Arial" w:cs="Arial"/>
                <w:sz w:val="24"/>
                <w:szCs w:val="24"/>
                <w:lang w:eastAsia="en-GB"/>
              </w:rPr>
              <w:t>2</w:t>
            </w:r>
            <w:r>
              <w:rPr>
                <w:rFonts w:ascii="Arial" w:eastAsia="Times New Roman" w:hAnsi="Arial" w:cs="Arial"/>
                <w:sz w:val="24"/>
                <w:szCs w:val="24"/>
                <w:lang w:eastAsia="en-GB"/>
              </w:rPr>
              <w:t>2</w:t>
            </w:r>
            <w:r w:rsidRPr="00946D73">
              <w:rPr>
                <w:rFonts w:ascii="Arial" w:eastAsia="Times New Roman" w:hAnsi="Arial" w:cs="Arial"/>
                <w:sz w:val="24"/>
                <w:szCs w:val="24"/>
                <w:lang w:eastAsia="en-GB"/>
              </w:rPr>
              <w:t>.</w:t>
            </w:r>
            <w:r>
              <w:rPr>
                <w:rFonts w:ascii="Arial" w:eastAsia="Times New Roman" w:hAnsi="Arial" w:cs="Arial"/>
                <w:sz w:val="24"/>
                <w:szCs w:val="24"/>
                <w:lang w:eastAsia="en-GB"/>
              </w:rPr>
              <w:t>0</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0A0C5D08"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19.4</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1759AEA3"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3.0</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668D5591"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0.8</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71877E9" w14:textId="77777777" w:rsidR="002A0BD5" w:rsidRPr="00946D73" w:rsidRDefault="002A0BD5" w:rsidP="00BC2DE4">
            <w:pPr>
              <w:spacing w:after="0" w:line="240" w:lineRule="auto"/>
              <w:jc w:val="both"/>
              <w:rPr>
                <w:rFonts w:ascii="Arial" w:eastAsia="Times New Roman" w:hAnsi="Arial" w:cs="Arial"/>
                <w:b/>
                <w:bCs/>
                <w:sz w:val="24"/>
                <w:szCs w:val="24"/>
                <w:lang w:eastAsia="en-GB"/>
              </w:rPr>
            </w:pPr>
            <w:r w:rsidRPr="00946D73">
              <w:rPr>
                <w:rFonts w:ascii="Arial" w:eastAsia="Times New Roman" w:hAnsi="Arial" w:cs="Arial"/>
                <w:b/>
                <w:bCs/>
                <w:sz w:val="24"/>
                <w:szCs w:val="24"/>
                <w:lang w:eastAsia="en-GB"/>
              </w:rPr>
              <w:t>2</w:t>
            </w:r>
            <w:r>
              <w:rPr>
                <w:rFonts w:ascii="Arial" w:eastAsia="Times New Roman" w:hAnsi="Arial" w:cs="Arial"/>
                <w:b/>
                <w:bCs/>
                <w:sz w:val="24"/>
                <w:szCs w:val="24"/>
                <w:lang w:eastAsia="en-GB"/>
              </w:rPr>
              <w:t>1</w:t>
            </w:r>
            <w:r w:rsidRPr="00946D73">
              <w:rPr>
                <w:rFonts w:ascii="Arial" w:eastAsia="Times New Roman" w:hAnsi="Arial" w:cs="Arial"/>
                <w:b/>
                <w:bCs/>
                <w:sz w:val="24"/>
                <w:szCs w:val="24"/>
                <w:lang w:eastAsia="en-GB"/>
              </w:rPr>
              <w:t>.8%</w:t>
            </w:r>
          </w:p>
        </w:tc>
      </w:tr>
      <w:tr w:rsidR="002A0BD5" w:rsidRPr="00946D73" w14:paraId="49FBA557" w14:textId="77777777" w:rsidTr="006B256C">
        <w:trPr>
          <w:trHeight w:val="255"/>
          <w:tblHead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1148204"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Northfield Dist</w:t>
            </w:r>
          </w:p>
        </w:tc>
        <w:tc>
          <w:tcPr>
            <w:tcW w:w="960" w:type="dxa"/>
            <w:tcBorders>
              <w:top w:val="nil"/>
              <w:left w:val="nil"/>
              <w:bottom w:val="single" w:sz="4" w:space="0" w:color="auto"/>
              <w:right w:val="single" w:sz="4" w:space="0" w:color="auto"/>
            </w:tcBorders>
            <w:shd w:val="clear" w:color="auto" w:fill="auto"/>
            <w:noWrap/>
            <w:vAlign w:val="bottom"/>
            <w:hideMark/>
          </w:tcPr>
          <w:p w14:paraId="1ACCADAB"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55.7</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392F4746"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45.8</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65CE0D36"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50.6</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2CDDC715"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8.3</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532B2AC6"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11.7%</w:t>
            </w:r>
          </w:p>
        </w:tc>
        <w:tc>
          <w:tcPr>
            <w:tcW w:w="960" w:type="dxa"/>
            <w:tcBorders>
              <w:top w:val="nil"/>
              <w:left w:val="nil"/>
              <w:bottom w:val="single" w:sz="4" w:space="0" w:color="auto"/>
              <w:right w:val="single" w:sz="4" w:space="0" w:color="auto"/>
            </w:tcBorders>
            <w:shd w:val="clear" w:color="auto" w:fill="auto"/>
            <w:noWrap/>
            <w:vAlign w:val="bottom"/>
            <w:hideMark/>
          </w:tcPr>
          <w:p w14:paraId="3A14C5F9" w14:textId="77777777" w:rsidR="002A0BD5" w:rsidRPr="00946D73" w:rsidRDefault="002A0BD5" w:rsidP="00BC2DE4">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46</w:t>
            </w:r>
            <w:r w:rsidRPr="00946D73">
              <w:rPr>
                <w:rFonts w:ascii="Arial" w:eastAsia="Times New Roman" w:hAnsi="Arial" w:cs="Arial"/>
                <w:b/>
                <w:bCs/>
                <w:sz w:val="24"/>
                <w:szCs w:val="24"/>
                <w:lang w:eastAsia="en-GB"/>
              </w:rPr>
              <w:t>.</w:t>
            </w:r>
            <w:r>
              <w:rPr>
                <w:rFonts w:ascii="Arial" w:eastAsia="Times New Roman" w:hAnsi="Arial" w:cs="Arial"/>
                <w:b/>
                <w:bCs/>
                <w:sz w:val="24"/>
                <w:szCs w:val="24"/>
                <w:lang w:eastAsia="en-GB"/>
              </w:rPr>
              <w:t>0</w:t>
            </w:r>
            <w:r w:rsidRPr="00946D73">
              <w:rPr>
                <w:rFonts w:ascii="Arial" w:eastAsia="Times New Roman" w:hAnsi="Arial" w:cs="Arial"/>
                <w:b/>
                <w:bCs/>
                <w:sz w:val="24"/>
                <w:szCs w:val="24"/>
                <w:lang w:eastAsia="en-GB"/>
              </w:rPr>
              <w:t>%</w:t>
            </w:r>
          </w:p>
        </w:tc>
      </w:tr>
      <w:tr w:rsidR="002A0BD5" w:rsidRPr="00946D73" w14:paraId="4A7CAC88" w14:textId="77777777" w:rsidTr="006B256C">
        <w:trPr>
          <w:trHeight w:val="255"/>
          <w:tblHead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602EA2C"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Kings Norton (S)</w:t>
            </w:r>
          </w:p>
        </w:tc>
        <w:tc>
          <w:tcPr>
            <w:tcW w:w="960" w:type="dxa"/>
            <w:tcBorders>
              <w:top w:val="nil"/>
              <w:left w:val="nil"/>
              <w:bottom w:val="single" w:sz="4" w:space="0" w:color="auto"/>
              <w:right w:val="single" w:sz="4" w:space="0" w:color="auto"/>
            </w:tcBorders>
            <w:shd w:val="clear" w:color="auto" w:fill="auto"/>
            <w:noWrap/>
            <w:vAlign w:val="bottom"/>
            <w:hideMark/>
          </w:tcPr>
          <w:p w14:paraId="48DE8595"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111</w:t>
            </w:r>
            <w:r w:rsidRPr="00946D73">
              <w:rPr>
                <w:rFonts w:ascii="Arial" w:eastAsia="Times New Roman" w:hAnsi="Arial" w:cs="Arial"/>
                <w:sz w:val="24"/>
                <w:szCs w:val="24"/>
                <w:lang w:eastAsia="en-GB"/>
              </w:rPr>
              <w:t>.</w:t>
            </w:r>
            <w:r>
              <w:rPr>
                <w:rFonts w:ascii="Arial" w:eastAsia="Times New Roman" w:hAnsi="Arial" w:cs="Arial"/>
                <w:sz w:val="24"/>
                <w:szCs w:val="24"/>
                <w:lang w:eastAsia="en-GB"/>
              </w:rPr>
              <w:t>6</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1BB778AD"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103.9</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689D4CA0"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90.4</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759196C6"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27.3</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6D522569"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54.7</w:t>
            </w:r>
            <w:r w:rsidRPr="00946D73">
              <w:rPr>
                <w:rFonts w:ascii="Arial" w:eastAsia="Times New Roman" w:hAnsi="Arial" w:cs="Arial"/>
                <w:sz w:val="24"/>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0372142D" w14:textId="77777777" w:rsidR="002A0BD5" w:rsidRPr="00946D73" w:rsidRDefault="002A0BD5" w:rsidP="00BC2DE4">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94.4</w:t>
            </w:r>
            <w:r w:rsidRPr="00946D73">
              <w:rPr>
                <w:rFonts w:ascii="Arial" w:eastAsia="Times New Roman" w:hAnsi="Arial" w:cs="Arial"/>
                <w:b/>
                <w:bCs/>
                <w:sz w:val="24"/>
                <w:szCs w:val="24"/>
                <w:lang w:eastAsia="en-GB"/>
              </w:rPr>
              <w:t>%</w:t>
            </w:r>
          </w:p>
        </w:tc>
      </w:tr>
    </w:tbl>
    <w:p w14:paraId="2BF3C15D" w14:textId="77777777" w:rsidR="002A0BD5" w:rsidRPr="00946D73" w:rsidRDefault="002A0BD5" w:rsidP="002A0BD5">
      <w:pPr>
        <w:pStyle w:val="NoSpacing"/>
        <w:jc w:val="both"/>
        <w:rPr>
          <w:rFonts w:ascii="Arial" w:hAnsi="Arial" w:cs="Arial"/>
          <w:sz w:val="24"/>
          <w:szCs w:val="24"/>
        </w:rPr>
      </w:pPr>
    </w:p>
    <w:p w14:paraId="414DCC1A" w14:textId="77777777" w:rsidR="002A0BD5" w:rsidRPr="00946D73" w:rsidRDefault="002A0BD5" w:rsidP="002A0BD5">
      <w:pPr>
        <w:pStyle w:val="NoSpacing"/>
        <w:ind w:left="720"/>
        <w:jc w:val="both"/>
        <w:rPr>
          <w:rFonts w:ascii="Arial" w:hAnsi="Arial" w:cs="Arial"/>
          <w:sz w:val="24"/>
          <w:szCs w:val="24"/>
        </w:rPr>
      </w:pPr>
      <w:r w:rsidRPr="00946D73">
        <w:rPr>
          <w:rFonts w:ascii="Arial" w:hAnsi="Arial" w:cs="Arial"/>
          <w:i/>
          <w:sz w:val="24"/>
          <w:szCs w:val="24"/>
        </w:rPr>
        <w:t xml:space="preserve">You will note that </w:t>
      </w:r>
      <w:r>
        <w:rPr>
          <w:rFonts w:ascii="Arial" w:hAnsi="Arial" w:cs="Arial"/>
          <w:i/>
          <w:sz w:val="24"/>
          <w:szCs w:val="24"/>
        </w:rPr>
        <w:t xml:space="preserve">the </w:t>
      </w:r>
      <w:r w:rsidRPr="00946D73">
        <w:rPr>
          <w:rFonts w:ascii="Arial" w:hAnsi="Arial" w:cs="Arial"/>
          <w:i/>
          <w:sz w:val="24"/>
          <w:szCs w:val="24"/>
        </w:rPr>
        <w:t xml:space="preserve">percentage of need </w:t>
      </w:r>
      <w:r>
        <w:rPr>
          <w:rFonts w:ascii="Arial" w:hAnsi="Arial" w:cs="Arial"/>
          <w:i/>
          <w:sz w:val="24"/>
          <w:szCs w:val="24"/>
        </w:rPr>
        <w:t>is generally being met for the  bedroom sizes, but it is lower for larger family properties. The high figures are certainly as a result of the nearby BMHT Primrose development which by completion will have  provided 292 new homes.</w:t>
      </w:r>
    </w:p>
    <w:p w14:paraId="609BC794" w14:textId="77777777" w:rsidR="002A0BD5" w:rsidRPr="00946D73" w:rsidRDefault="002A0BD5" w:rsidP="002A0BD5">
      <w:pPr>
        <w:pStyle w:val="NoSpacing"/>
        <w:jc w:val="both"/>
        <w:rPr>
          <w:rFonts w:ascii="Arial" w:hAnsi="Arial" w:cs="Arial"/>
          <w:sz w:val="24"/>
          <w:szCs w:val="24"/>
        </w:rPr>
      </w:pPr>
    </w:p>
    <w:p w14:paraId="53445334" w14:textId="77777777" w:rsidR="002A0BD5" w:rsidRPr="00097F6D" w:rsidRDefault="002A0BD5" w:rsidP="002A0BD5">
      <w:pPr>
        <w:pStyle w:val="NoSpacing"/>
        <w:ind w:firstLine="720"/>
        <w:jc w:val="both"/>
        <w:rPr>
          <w:rFonts w:ascii="Arial" w:hAnsi="Arial" w:cs="Arial"/>
          <w:b/>
          <w:bCs/>
          <w:sz w:val="24"/>
          <w:szCs w:val="24"/>
        </w:rPr>
      </w:pPr>
      <w:r w:rsidRPr="00097F6D">
        <w:rPr>
          <w:rFonts w:ascii="Arial" w:hAnsi="Arial" w:cs="Arial"/>
          <w:b/>
          <w:bCs/>
          <w:sz w:val="24"/>
          <w:szCs w:val="24"/>
        </w:rPr>
        <w:t>Table 3 The notional waiting time for property types:</w:t>
      </w:r>
    </w:p>
    <w:tbl>
      <w:tblPr>
        <w:tblW w:w="7960" w:type="dxa"/>
        <w:tblInd w:w="528" w:type="dxa"/>
        <w:tblLook w:val="04A0" w:firstRow="1" w:lastRow="0" w:firstColumn="1" w:lastColumn="0" w:noHBand="0" w:noVBand="1"/>
        <w:tblCaption w:val="The notional waiting time for property types"/>
        <w:tblDescription w:val="Shows waiting times in years for different sized properties"/>
      </w:tblPr>
      <w:tblGrid>
        <w:gridCol w:w="2200"/>
        <w:gridCol w:w="960"/>
        <w:gridCol w:w="960"/>
        <w:gridCol w:w="960"/>
        <w:gridCol w:w="960"/>
        <w:gridCol w:w="960"/>
        <w:gridCol w:w="960"/>
      </w:tblGrid>
      <w:tr w:rsidR="002A0BD5" w:rsidRPr="00946D73" w14:paraId="682C5B15" w14:textId="77777777" w:rsidTr="006B256C">
        <w:trPr>
          <w:trHeight w:val="255"/>
          <w:tblHead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8D4F1" w14:textId="77777777" w:rsidR="002A0BD5" w:rsidRPr="00946D73" w:rsidRDefault="002A0BD5" w:rsidP="00BC2DE4">
            <w:pPr>
              <w:spacing w:after="0" w:line="240" w:lineRule="auto"/>
              <w:jc w:val="both"/>
              <w:rPr>
                <w:rFonts w:ascii="Arial" w:eastAsia="Times New Roman" w:hAnsi="Arial" w:cs="Arial"/>
                <w:b/>
                <w:bCs/>
                <w:sz w:val="24"/>
                <w:szCs w:val="24"/>
                <w:lang w:eastAsia="en-GB"/>
              </w:rPr>
            </w:pPr>
            <w:r w:rsidRPr="00946D73">
              <w:rPr>
                <w:rFonts w:ascii="Arial" w:eastAsia="Times New Roman" w:hAnsi="Arial" w:cs="Arial"/>
                <w:b/>
                <w:bCs/>
                <w:sz w:val="24"/>
                <w:szCs w:val="24"/>
                <w:lang w:eastAsia="en-GB"/>
              </w:rPr>
              <w:t>Area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4E26B3" w14:textId="6334FEE5" w:rsidR="002A0BD5" w:rsidRPr="008543EE" w:rsidRDefault="002A0BD5"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1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2F7253" w14:textId="76877783" w:rsidR="002A0BD5" w:rsidRPr="008543EE" w:rsidRDefault="008543EE"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2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41B70F" w14:textId="65337585" w:rsidR="002A0BD5" w:rsidRPr="008543EE" w:rsidRDefault="008543EE"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3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18C3A4" w14:textId="34C9C623" w:rsidR="002A0BD5" w:rsidRPr="008543EE" w:rsidRDefault="008543EE"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4 BEDS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165AE6" w14:textId="023062EF" w:rsidR="002A0BD5" w:rsidRPr="008543EE" w:rsidRDefault="002A0BD5"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5</w:t>
            </w:r>
            <w:r w:rsidR="008543EE">
              <w:rPr>
                <w:rFonts w:ascii="Arial" w:eastAsia="Times New Roman" w:hAnsi="Arial" w:cs="Arial"/>
                <w:b/>
                <w:bCs/>
                <w:sz w:val="24"/>
                <w:szCs w:val="24"/>
                <w:lang w:eastAsia="en-GB"/>
              </w:rPr>
              <w:t xml:space="preserve"> </w:t>
            </w:r>
            <w:r w:rsidRPr="008543EE">
              <w:rPr>
                <w:rFonts w:ascii="Arial" w:eastAsia="Times New Roman" w:hAnsi="Arial" w:cs="Arial"/>
                <w:b/>
                <w:bCs/>
                <w:sz w:val="24"/>
                <w:szCs w:val="24"/>
                <w:lang w:eastAsia="en-GB"/>
              </w:rPr>
              <w:t>B</w:t>
            </w:r>
            <w:r w:rsidR="008543EE">
              <w:rPr>
                <w:rFonts w:ascii="Arial" w:eastAsia="Times New Roman" w:hAnsi="Arial" w:cs="Arial"/>
                <w:b/>
                <w:bCs/>
                <w:sz w:val="24"/>
                <w:szCs w:val="24"/>
                <w:lang w:eastAsia="en-GB"/>
              </w:rPr>
              <w:t>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A9E7BF" w14:textId="77777777" w:rsidR="002A0BD5" w:rsidRPr="008543EE" w:rsidRDefault="002A0BD5" w:rsidP="00BC2DE4">
            <w:pPr>
              <w:spacing w:after="0" w:line="240" w:lineRule="auto"/>
              <w:jc w:val="both"/>
              <w:rPr>
                <w:rFonts w:ascii="Arial" w:eastAsia="Times New Roman" w:hAnsi="Arial" w:cs="Arial"/>
                <w:b/>
                <w:bCs/>
                <w:sz w:val="24"/>
                <w:szCs w:val="24"/>
                <w:lang w:eastAsia="en-GB"/>
              </w:rPr>
            </w:pPr>
            <w:r w:rsidRPr="008543EE">
              <w:rPr>
                <w:rFonts w:ascii="Arial" w:eastAsia="Times New Roman" w:hAnsi="Arial" w:cs="Arial"/>
                <w:b/>
                <w:bCs/>
                <w:sz w:val="24"/>
                <w:szCs w:val="24"/>
                <w:lang w:eastAsia="en-GB"/>
              </w:rPr>
              <w:t xml:space="preserve">Total </w:t>
            </w:r>
          </w:p>
        </w:tc>
      </w:tr>
      <w:tr w:rsidR="002A0BD5" w:rsidRPr="00946D73" w14:paraId="286B3991" w14:textId="77777777" w:rsidTr="006B256C">
        <w:trPr>
          <w:trHeight w:val="255"/>
          <w:tblHead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8AF2686" w14:textId="77777777" w:rsidR="002A0BD5" w:rsidRPr="00946D73" w:rsidRDefault="002A0BD5" w:rsidP="00BC2DE4">
            <w:pPr>
              <w:spacing w:after="0" w:line="240" w:lineRule="auto"/>
              <w:jc w:val="both"/>
              <w:rPr>
                <w:rFonts w:ascii="Arial" w:eastAsia="Times New Roman" w:hAnsi="Arial" w:cs="Arial"/>
                <w:sz w:val="24"/>
                <w:szCs w:val="24"/>
                <w:lang w:eastAsia="en-GB"/>
              </w:rPr>
            </w:pPr>
            <w:r w:rsidRPr="00946D73">
              <w:rPr>
                <w:rFonts w:ascii="Arial" w:eastAsia="Times New Roman" w:hAnsi="Arial" w:cs="Arial"/>
                <w:sz w:val="24"/>
                <w:szCs w:val="24"/>
                <w:lang w:eastAsia="en-GB"/>
              </w:rPr>
              <w:t>Birmingham</w:t>
            </w:r>
          </w:p>
        </w:tc>
        <w:tc>
          <w:tcPr>
            <w:tcW w:w="960" w:type="dxa"/>
            <w:tcBorders>
              <w:top w:val="nil"/>
              <w:left w:val="nil"/>
              <w:bottom w:val="single" w:sz="4" w:space="0" w:color="auto"/>
              <w:right w:val="single" w:sz="4" w:space="0" w:color="auto"/>
            </w:tcBorders>
            <w:shd w:val="clear" w:color="auto" w:fill="auto"/>
            <w:noWrap/>
            <w:vAlign w:val="bottom"/>
            <w:hideMark/>
          </w:tcPr>
          <w:p w14:paraId="426599C1"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2.6</w:t>
            </w:r>
          </w:p>
        </w:tc>
        <w:tc>
          <w:tcPr>
            <w:tcW w:w="960" w:type="dxa"/>
            <w:tcBorders>
              <w:top w:val="nil"/>
              <w:left w:val="nil"/>
              <w:bottom w:val="single" w:sz="4" w:space="0" w:color="auto"/>
              <w:right w:val="single" w:sz="4" w:space="0" w:color="auto"/>
            </w:tcBorders>
            <w:shd w:val="clear" w:color="auto" w:fill="auto"/>
            <w:noWrap/>
            <w:vAlign w:val="bottom"/>
            <w:hideMark/>
          </w:tcPr>
          <w:p w14:paraId="4EC847FF"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4.5</w:t>
            </w:r>
          </w:p>
        </w:tc>
        <w:tc>
          <w:tcPr>
            <w:tcW w:w="960" w:type="dxa"/>
            <w:tcBorders>
              <w:top w:val="nil"/>
              <w:left w:val="nil"/>
              <w:bottom w:val="single" w:sz="4" w:space="0" w:color="auto"/>
              <w:right w:val="single" w:sz="4" w:space="0" w:color="auto"/>
            </w:tcBorders>
            <w:shd w:val="clear" w:color="auto" w:fill="auto"/>
            <w:noWrap/>
            <w:vAlign w:val="bottom"/>
            <w:hideMark/>
          </w:tcPr>
          <w:p w14:paraId="747ED507"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14:paraId="40BF741D"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33.4</w:t>
            </w:r>
          </w:p>
        </w:tc>
        <w:tc>
          <w:tcPr>
            <w:tcW w:w="960" w:type="dxa"/>
            <w:tcBorders>
              <w:top w:val="nil"/>
              <w:left w:val="nil"/>
              <w:bottom w:val="single" w:sz="4" w:space="0" w:color="auto"/>
              <w:right w:val="single" w:sz="4" w:space="0" w:color="auto"/>
            </w:tcBorders>
            <w:shd w:val="clear" w:color="auto" w:fill="auto"/>
            <w:noWrap/>
            <w:vAlign w:val="bottom"/>
            <w:hideMark/>
          </w:tcPr>
          <w:p w14:paraId="0BD65F12"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118.4</w:t>
            </w:r>
          </w:p>
        </w:tc>
        <w:tc>
          <w:tcPr>
            <w:tcW w:w="960" w:type="dxa"/>
            <w:tcBorders>
              <w:top w:val="nil"/>
              <w:left w:val="nil"/>
              <w:bottom w:val="single" w:sz="4" w:space="0" w:color="auto"/>
              <w:right w:val="single" w:sz="4" w:space="0" w:color="auto"/>
            </w:tcBorders>
            <w:shd w:val="clear" w:color="auto" w:fill="auto"/>
            <w:noWrap/>
            <w:vAlign w:val="bottom"/>
            <w:hideMark/>
          </w:tcPr>
          <w:p w14:paraId="3A09E38C" w14:textId="77777777" w:rsidR="002A0BD5" w:rsidRPr="00946D73" w:rsidRDefault="002A0BD5" w:rsidP="00BC2DE4">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4.6</w:t>
            </w:r>
          </w:p>
        </w:tc>
      </w:tr>
      <w:tr w:rsidR="002A0BD5" w:rsidRPr="00946D73" w14:paraId="57CE2CEC" w14:textId="77777777" w:rsidTr="006B256C">
        <w:trPr>
          <w:trHeight w:val="255"/>
          <w:tblHead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48C42FF"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Northfield Dist</w:t>
            </w:r>
          </w:p>
        </w:tc>
        <w:tc>
          <w:tcPr>
            <w:tcW w:w="960" w:type="dxa"/>
            <w:tcBorders>
              <w:top w:val="nil"/>
              <w:left w:val="nil"/>
              <w:bottom w:val="single" w:sz="4" w:space="0" w:color="auto"/>
              <w:right w:val="single" w:sz="4" w:space="0" w:color="auto"/>
            </w:tcBorders>
            <w:shd w:val="clear" w:color="auto" w:fill="auto"/>
            <w:noWrap/>
            <w:vAlign w:val="bottom"/>
            <w:hideMark/>
          </w:tcPr>
          <w:p w14:paraId="03F309E1"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1.8</w:t>
            </w:r>
          </w:p>
        </w:tc>
        <w:tc>
          <w:tcPr>
            <w:tcW w:w="960" w:type="dxa"/>
            <w:tcBorders>
              <w:top w:val="nil"/>
              <w:left w:val="nil"/>
              <w:bottom w:val="single" w:sz="4" w:space="0" w:color="auto"/>
              <w:right w:val="single" w:sz="4" w:space="0" w:color="auto"/>
            </w:tcBorders>
            <w:shd w:val="clear" w:color="auto" w:fill="auto"/>
            <w:noWrap/>
            <w:vAlign w:val="bottom"/>
            <w:hideMark/>
          </w:tcPr>
          <w:p w14:paraId="1DCEBD07"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14:paraId="1F36898A"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0A473E5D"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12.1</w:t>
            </w:r>
          </w:p>
        </w:tc>
        <w:tc>
          <w:tcPr>
            <w:tcW w:w="960" w:type="dxa"/>
            <w:tcBorders>
              <w:top w:val="nil"/>
              <w:left w:val="nil"/>
              <w:bottom w:val="single" w:sz="4" w:space="0" w:color="auto"/>
              <w:right w:val="single" w:sz="4" w:space="0" w:color="auto"/>
            </w:tcBorders>
            <w:shd w:val="clear" w:color="auto" w:fill="auto"/>
            <w:noWrap/>
            <w:vAlign w:val="bottom"/>
            <w:hideMark/>
          </w:tcPr>
          <w:p w14:paraId="6A303758"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8.5</w:t>
            </w:r>
          </w:p>
        </w:tc>
        <w:tc>
          <w:tcPr>
            <w:tcW w:w="960" w:type="dxa"/>
            <w:tcBorders>
              <w:top w:val="nil"/>
              <w:left w:val="nil"/>
              <w:bottom w:val="single" w:sz="4" w:space="0" w:color="auto"/>
              <w:right w:val="single" w:sz="4" w:space="0" w:color="auto"/>
            </w:tcBorders>
            <w:shd w:val="clear" w:color="auto" w:fill="auto"/>
            <w:noWrap/>
            <w:vAlign w:val="bottom"/>
            <w:hideMark/>
          </w:tcPr>
          <w:p w14:paraId="56C828B3" w14:textId="77777777" w:rsidR="002A0BD5" w:rsidRPr="00946D73" w:rsidRDefault="002A0BD5" w:rsidP="00BC2DE4">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2.2</w:t>
            </w:r>
          </w:p>
        </w:tc>
      </w:tr>
      <w:tr w:rsidR="002A0BD5" w:rsidRPr="00946D73" w14:paraId="500C2D79" w14:textId="77777777" w:rsidTr="006B256C">
        <w:trPr>
          <w:trHeight w:val="255"/>
          <w:tblHead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B9E4808" w14:textId="77777777" w:rsidR="002A0BD5" w:rsidRPr="00946D73" w:rsidRDefault="002A0BD5" w:rsidP="00BC2DE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Kings Norton (S)</w:t>
            </w:r>
          </w:p>
        </w:tc>
        <w:tc>
          <w:tcPr>
            <w:tcW w:w="960" w:type="dxa"/>
            <w:tcBorders>
              <w:top w:val="nil"/>
              <w:left w:val="nil"/>
              <w:bottom w:val="single" w:sz="4" w:space="0" w:color="auto"/>
              <w:right w:val="single" w:sz="4" w:space="0" w:color="auto"/>
            </w:tcBorders>
            <w:shd w:val="clear" w:color="auto" w:fill="auto"/>
            <w:vAlign w:val="bottom"/>
            <w:hideMark/>
          </w:tcPr>
          <w:p w14:paraId="223E1CC5" w14:textId="77777777" w:rsidR="002A0BD5" w:rsidRPr="00946D73" w:rsidRDefault="002A0BD5" w:rsidP="00BC2DE4">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w:t>
            </w:r>
          </w:p>
        </w:tc>
        <w:tc>
          <w:tcPr>
            <w:tcW w:w="960" w:type="dxa"/>
            <w:tcBorders>
              <w:top w:val="nil"/>
              <w:left w:val="nil"/>
              <w:bottom w:val="single" w:sz="4" w:space="0" w:color="auto"/>
              <w:right w:val="single" w:sz="4" w:space="0" w:color="auto"/>
            </w:tcBorders>
            <w:shd w:val="clear" w:color="auto" w:fill="auto"/>
            <w:vAlign w:val="bottom"/>
            <w:hideMark/>
          </w:tcPr>
          <w:p w14:paraId="43E27E71" w14:textId="77777777" w:rsidR="002A0BD5" w:rsidRPr="00946D73" w:rsidRDefault="002A0BD5" w:rsidP="00BC2DE4">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p>
        </w:tc>
        <w:tc>
          <w:tcPr>
            <w:tcW w:w="960" w:type="dxa"/>
            <w:tcBorders>
              <w:top w:val="nil"/>
              <w:left w:val="nil"/>
              <w:bottom w:val="single" w:sz="4" w:space="0" w:color="auto"/>
              <w:right w:val="single" w:sz="4" w:space="0" w:color="auto"/>
            </w:tcBorders>
            <w:shd w:val="clear" w:color="auto" w:fill="auto"/>
            <w:vAlign w:val="bottom"/>
            <w:hideMark/>
          </w:tcPr>
          <w:p w14:paraId="63199CD3" w14:textId="77777777" w:rsidR="002A0BD5" w:rsidRPr="00946D73" w:rsidRDefault="002A0BD5" w:rsidP="00BC2DE4">
            <w:pPr>
              <w:spacing w:after="0" w:line="240" w:lineRule="auto"/>
              <w:jc w:val="both"/>
              <w:rPr>
                <w:rFonts w:ascii="Arial" w:eastAsia="Times New Roman" w:hAnsi="Arial" w:cs="Arial"/>
                <w:color w:val="000000"/>
                <w:sz w:val="24"/>
                <w:szCs w:val="24"/>
                <w:lang w:eastAsia="en-GB"/>
              </w:rPr>
            </w:pPr>
            <w:r w:rsidRPr="00946D73">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.1</w:t>
            </w:r>
          </w:p>
        </w:tc>
        <w:tc>
          <w:tcPr>
            <w:tcW w:w="960" w:type="dxa"/>
            <w:tcBorders>
              <w:top w:val="nil"/>
              <w:left w:val="nil"/>
              <w:bottom w:val="single" w:sz="4" w:space="0" w:color="auto"/>
              <w:right w:val="single" w:sz="4" w:space="0" w:color="auto"/>
            </w:tcBorders>
            <w:shd w:val="clear" w:color="auto" w:fill="auto"/>
            <w:vAlign w:val="bottom"/>
            <w:hideMark/>
          </w:tcPr>
          <w:p w14:paraId="68A23A71" w14:textId="77777777" w:rsidR="002A0BD5" w:rsidRPr="00946D73" w:rsidRDefault="002A0BD5" w:rsidP="00BC2DE4">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3.7</w:t>
            </w:r>
          </w:p>
        </w:tc>
        <w:tc>
          <w:tcPr>
            <w:tcW w:w="960" w:type="dxa"/>
            <w:tcBorders>
              <w:top w:val="nil"/>
              <w:left w:val="nil"/>
              <w:bottom w:val="single" w:sz="4" w:space="0" w:color="auto"/>
              <w:right w:val="single" w:sz="4" w:space="0" w:color="auto"/>
            </w:tcBorders>
            <w:shd w:val="clear" w:color="auto" w:fill="auto"/>
            <w:vAlign w:val="bottom"/>
            <w:hideMark/>
          </w:tcPr>
          <w:p w14:paraId="32A9018E" w14:textId="77777777" w:rsidR="002A0BD5" w:rsidRPr="00946D73" w:rsidRDefault="002A0BD5" w:rsidP="00BC2DE4">
            <w:pPr>
              <w:spacing w:after="0" w:line="240" w:lineRule="auto"/>
              <w:jc w:val="both"/>
              <w:rPr>
                <w:rFonts w:ascii="Arial" w:eastAsia="Times New Roman" w:hAnsi="Arial" w:cs="Arial"/>
                <w:color w:val="000000"/>
                <w:sz w:val="24"/>
                <w:szCs w:val="24"/>
                <w:lang w:eastAsia="en-GB"/>
              </w:rPr>
            </w:pPr>
            <w:r w:rsidRPr="00946D73">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.8</w:t>
            </w:r>
          </w:p>
        </w:tc>
        <w:tc>
          <w:tcPr>
            <w:tcW w:w="960" w:type="dxa"/>
            <w:tcBorders>
              <w:top w:val="nil"/>
              <w:left w:val="nil"/>
              <w:bottom w:val="single" w:sz="4" w:space="0" w:color="auto"/>
              <w:right w:val="single" w:sz="4" w:space="0" w:color="auto"/>
            </w:tcBorders>
            <w:shd w:val="clear" w:color="auto" w:fill="auto"/>
            <w:vAlign w:val="bottom"/>
            <w:hideMark/>
          </w:tcPr>
          <w:p w14:paraId="18AD6BC5" w14:textId="77777777" w:rsidR="002A0BD5" w:rsidRPr="00946D73" w:rsidRDefault="002A0BD5" w:rsidP="00BC2DE4">
            <w:pPr>
              <w:spacing w:after="0" w:line="240" w:lineRule="auto"/>
              <w:jc w:val="both"/>
              <w:rPr>
                <w:rFonts w:ascii="Arial" w:eastAsia="Times New Roman" w:hAnsi="Arial" w:cs="Arial"/>
                <w:b/>
                <w:bCs/>
                <w:color w:val="000000"/>
                <w:sz w:val="24"/>
                <w:szCs w:val="24"/>
                <w:lang w:eastAsia="en-GB"/>
              </w:rPr>
            </w:pPr>
            <w:r w:rsidRPr="00946D73">
              <w:rPr>
                <w:rFonts w:ascii="Arial" w:eastAsia="Times New Roman" w:hAnsi="Arial" w:cs="Arial"/>
                <w:b/>
                <w:bCs/>
                <w:color w:val="000000"/>
                <w:sz w:val="24"/>
                <w:szCs w:val="24"/>
                <w:lang w:eastAsia="en-GB"/>
              </w:rPr>
              <w:t>1</w:t>
            </w:r>
            <w:r>
              <w:rPr>
                <w:rFonts w:ascii="Arial" w:eastAsia="Times New Roman" w:hAnsi="Arial" w:cs="Arial"/>
                <w:b/>
                <w:bCs/>
                <w:color w:val="000000"/>
                <w:sz w:val="24"/>
                <w:szCs w:val="24"/>
                <w:lang w:eastAsia="en-GB"/>
              </w:rPr>
              <w:t>.1</w:t>
            </w:r>
          </w:p>
        </w:tc>
      </w:tr>
    </w:tbl>
    <w:p w14:paraId="7E394AAD" w14:textId="77777777" w:rsidR="002A0BD5" w:rsidRPr="00946D73" w:rsidRDefault="002A0BD5" w:rsidP="002A0BD5">
      <w:pPr>
        <w:pStyle w:val="NoSpacing"/>
        <w:jc w:val="both"/>
        <w:rPr>
          <w:rFonts w:ascii="Arial" w:hAnsi="Arial" w:cs="Arial"/>
          <w:sz w:val="24"/>
          <w:szCs w:val="24"/>
        </w:rPr>
      </w:pPr>
    </w:p>
    <w:p w14:paraId="76F2D93D" w14:textId="77777777" w:rsidR="002A0BD5" w:rsidRPr="00946D73" w:rsidRDefault="002A0BD5" w:rsidP="002A0BD5">
      <w:pPr>
        <w:pStyle w:val="NoSpacing"/>
        <w:ind w:left="720"/>
        <w:jc w:val="both"/>
        <w:rPr>
          <w:rFonts w:ascii="Arial" w:hAnsi="Arial" w:cs="Arial"/>
          <w:i/>
          <w:sz w:val="24"/>
          <w:szCs w:val="24"/>
        </w:rPr>
      </w:pPr>
      <w:r w:rsidRPr="00946D73">
        <w:rPr>
          <w:rFonts w:ascii="Arial" w:hAnsi="Arial" w:cs="Arial"/>
          <w:i/>
          <w:sz w:val="24"/>
          <w:szCs w:val="24"/>
        </w:rPr>
        <w:t xml:space="preserve">You will note that the notional waiting time for 1, 2, and 3 bedrooms is </w:t>
      </w:r>
      <w:r>
        <w:rPr>
          <w:rFonts w:ascii="Arial" w:hAnsi="Arial" w:cs="Arial"/>
          <w:i/>
          <w:sz w:val="24"/>
          <w:szCs w:val="24"/>
        </w:rPr>
        <w:t xml:space="preserve">relatively short but higher </w:t>
      </w:r>
      <w:r w:rsidRPr="00946D73">
        <w:rPr>
          <w:rFonts w:ascii="Arial" w:hAnsi="Arial" w:cs="Arial"/>
          <w:i/>
          <w:sz w:val="24"/>
          <w:szCs w:val="24"/>
        </w:rPr>
        <w:t>for 4, and 5 bedroom</w:t>
      </w:r>
      <w:r>
        <w:rPr>
          <w:rFonts w:ascii="Arial" w:hAnsi="Arial" w:cs="Arial"/>
          <w:i/>
          <w:sz w:val="24"/>
          <w:szCs w:val="24"/>
        </w:rPr>
        <w:t xml:space="preserve"> properties, again this is due to the Primrose development which has gone a long way to meeting local demand in recent years.</w:t>
      </w:r>
      <w:r w:rsidRPr="00946D73">
        <w:rPr>
          <w:rFonts w:ascii="Arial" w:hAnsi="Arial" w:cs="Arial"/>
          <w:i/>
          <w:sz w:val="24"/>
          <w:szCs w:val="24"/>
        </w:rPr>
        <w:t xml:space="preserve"> </w:t>
      </w:r>
    </w:p>
    <w:p w14:paraId="5D84E5E1" w14:textId="77777777" w:rsidR="002A0BD5" w:rsidRPr="00F93042" w:rsidRDefault="002A0BD5" w:rsidP="002A0BD5">
      <w:pPr>
        <w:pStyle w:val="Default"/>
        <w:jc w:val="both"/>
      </w:pPr>
    </w:p>
    <w:p w14:paraId="4E73D828" w14:textId="1CDAA6DE" w:rsidR="002A0BD5" w:rsidRDefault="002A0BD5" w:rsidP="00BC508C">
      <w:pPr>
        <w:pStyle w:val="NoSpacing"/>
        <w:numPr>
          <w:ilvl w:val="1"/>
          <w:numId w:val="3"/>
        </w:numPr>
        <w:jc w:val="both"/>
        <w:rPr>
          <w:rFonts w:ascii="Arial" w:hAnsi="Arial" w:cs="Arial"/>
          <w:sz w:val="24"/>
          <w:szCs w:val="24"/>
        </w:rPr>
      </w:pPr>
      <w:r w:rsidRPr="0086141D">
        <w:rPr>
          <w:rFonts w:ascii="Arial" w:hAnsi="Arial" w:cs="Arial"/>
          <w:sz w:val="24"/>
          <w:szCs w:val="24"/>
        </w:rPr>
        <w:t xml:space="preserve">While it is clear that the BMHT Primrose development has assisted in meeting </w:t>
      </w:r>
      <w:r>
        <w:rPr>
          <w:rFonts w:ascii="Arial" w:hAnsi="Arial" w:cs="Arial"/>
          <w:sz w:val="24"/>
          <w:szCs w:val="24"/>
        </w:rPr>
        <w:t xml:space="preserve">  </w:t>
      </w:r>
      <w:r w:rsidRPr="0086141D">
        <w:rPr>
          <w:rFonts w:ascii="Arial" w:hAnsi="Arial" w:cs="Arial"/>
          <w:sz w:val="24"/>
          <w:szCs w:val="24"/>
        </w:rPr>
        <w:t>local demand there is still an issue with demand locally as can be demonstrated by the need data for the Kings Norton North ward.</w:t>
      </w:r>
    </w:p>
    <w:p w14:paraId="4D385431" w14:textId="77777777" w:rsidR="002A0BD5" w:rsidRDefault="002A0BD5" w:rsidP="002A0BD5">
      <w:pPr>
        <w:pStyle w:val="NoSpacing"/>
        <w:jc w:val="both"/>
        <w:rPr>
          <w:rFonts w:ascii="Arial" w:hAnsi="Arial" w:cs="Arial"/>
          <w:sz w:val="24"/>
          <w:szCs w:val="24"/>
        </w:rPr>
      </w:pPr>
    </w:p>
    <w:p w14:paraId="0502B798" w14:textId="2D541FDE" w:rsidR="002A0BD5" w:rsidRDefault="002A0BD5" w:rsidP="002A0BD5">
      <w:pPr>
        <w:pStyle w:val="NoSpacing"/>
        <w:jc w:val="both"/>
        <w:rPr>
          <w:rFonts w:ascii="Arial" w:hAnsi="Arial" w:cs="Arial"/>
          <w:sz w:val="24"/>
          <w:szCs w:val="24"/>
        </w:rPr>
      </w:pPr>
      <w:r>
        <w:rPr>
          <w:rFonts w:ascii="Arial" w:hAnsi="Arial" w:cs="Arial"/>
          <w:sz w:val="24"/>
          <w:szCs w:val="24"/>
        </w:rPr>
        <w:t xml:space="preserve">            </w:t>
      </w:r>
      <w:r w:rsidRPr="00097F6D">
        <w:rPr>
          <w:rFonts w:ascii="Arial" w:hAnsi="Arial" w:cs="Arial"/>
          <w:b/>
          <w:bCs/>
          <w:sz w:val="24"/>
          <w:szCs w:val="24"/>
        </w:rPr>
        <w:t xml:space="preserve">Table </w:t>
      </w:r>
      <w:r w:rsidR="00097F6D">
        <w:rPr>
          <w:rFonts w:ascii="Arial" w:hAnsi="Arial" w:cs="Arial"/>
          <w:b/>
          <w:bCs/>
          <w:sz w:val="24"/>
          <w:szCs w:val="24"/>
        </w:rPr>
        <w:t>4</w:t>
      </w:r>
      <w:r w:rsidRPr="00097F6D">
        <w:rPr>
          <w:rFonts w:ascii="Arial" w:hAnsi="Arial" w:cs="Arial"/>
          <w:b/>
          <w:bCs/>
          <w:sz w:val="24"/>
          <w:szCs w:val="24"/>
        </w:rPr>
        <w:t xml:space="preserve"> Housing Need</w:t>
      </w:r>
      <w:r>
        <w:rPr>
          <w:rFonts w:ascii="Arial" w:hAnsi="Arial" w:cs="Arial"/>
          <w:sz w:val="24"/>
          <w:szCs w:val="24"/>
        </w:rPr>
        <w:t>:</w:t>
      </w:r>
    </w:p>
    <w:tbl>
      <w:tblPr>
        <w:tblStyle w:val="TableGrid"/>
        <w:tblW w:w="8164" w:type="dxa"/>
        <w:tblInd w:w="860" w:type="dxa"/>
        <w:tblLook w:val="04A0" w:firstRow="1" w:lastRow="0" w:firstColumn="1" w:lastColumn="0" w:noHBand="0" w:noVBand="1"/>
        <w:tblCaption w:val="Housing Need:"/>
        <w:tblDescription w:val="Housing need for differnt property sizes in Birmingham Northfiled and Kings Norton"/>
      </w:tblPr>
      <w:tblGrid>
        <w:gridCol w:w="2200"/>
        <w:gridCol w:w="1403"/>
        <w:gridCol w:w="960"/>
        <w:gridCol w:w="960"/>
        <w:gridCol w:w="960"/>
        <w:gridCol w:w="1040"/>
        <w:gridCol w:w="1084"/>
      </w:tblGrid>
      <w:tr w:rsidR="000625C7" w:rsidRPr="00A233A2" w14:paraId="4ECE3FEF" w14:textId="77777777" w:rsidTr="006B256C">
        <w:trPr>
          <w:trHeight w:val="300"/>
          <w:tblHeader/>
        </w:trPr>
        <w:tc>
          <w:tcPr>
            <w:tcW w:w="2200" w:type="dxa"/>
            <w:noWrap/>
            <w:hideMark/>
          </w:tcPr>
          <w:p w14:paraId="5449E2E3" w14:textId="77777777" w:rsidR="000625C7" w:rsidRPr="00A233A2" w:rsidRDefault="000625C7" w:rsidP="00BC2DE4">
            <w:pPr>
              <w:pStyle w:val="NoSpacing"/>
              <w:jc w:val="both"/>
              <w:rPr>
                <w:rFonts w:ascii="Arial" w:hAnsi="Arial" w:cs="Arial"/>
                <w:sz w:val="24"/>
                <w:szCs w:val="24"/>
              </w:rPr>
            </w:pPr>
          </w:p>
        </w:tc>
        <w:tc>
          <w:tcPr>
            <w:tcW w:w="960" w:type="dxa"/>
            <w:noWrap/>
            <w:hideMark/>
          </w:tcPr>
          <w:p w14:paraId="590DC591"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Bedrooms</w:t>
            </w:r>
          </w:p>
        </w:tc>
        <w:tc>
          <w:tcPr>
            <w:tcW w:w="960" w:type="dxa"/>
          </w:tcPr>
          <w:p w14:paraId="3191FFCC" w14:textId="257372F4" w:rsidR="000625C7" w:rsidRPr="00A233A2" w:rsidRDefault="000625C7" w:rsidP="00BC2DE4">
            <w:pPr>
              <w:pStyle w:val="NoSpacing"/>
              <w:jc w:val="both"/>
              <w:rPr>
                <w:rFonts w:ascii="Arial" w:hAnsi="Arial" w:cs="Arial"/>
                <w:b/>
                <w:bCs/>
                <w:sz w:val="24"/>
                <w:szCs w:val="24"/>
              </w:rPr>
            </w:pPr>
          </w:p>
        </w:tc>
        <w:tc>
          <w:tcPr>
            <w:tcW w:w="960" w:type="dxa"/>
            <w:noWrap/>
            <w:hideMark/>
          </w:tcPr>
          <w:p w14:paraId="490F0D13"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c>
          <w:tcPr>
            <w:tcW w:w="960" w:type="dxa"/>
            <w:noWrap/>
            <w:hideMark/>
          </w:tcPr>
          <w:p w14:paraId="6175752E"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c>
          <w:tcPr>
            <w:tcW w:w="1040" w:type="dxa"/>
            <w:noWrap/>
            <w:hideMark/>
          </w:tcPr>
          <w:p w14:paraId="721D5966"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c>
          <w:tcPr>
            <w:tcW w:w="1084" w:type="dxa"/>
            <w:noWrap/>
            <w:hideMark/>
          </w:tcPr>
          <w:p w14:paraId="6AFB8946"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r>
      <w:tr w:rsidR="002A0BD5" w:rsidRPr="00A233A2" w14:paraId="2C4CB883" w14:textId="77777777" w:rsidTr="006B256C">
        <w:trPr>
          <w:trHeight w:val="315"/>
          <w:tblHeader/>
        </w:trPr>
        <w:tc>
          <w:tcPr>
            <w:tcW w:w="2200" w:type="dxa"/>
            <w:noWrap/>
            <w:hideMark/>
          </w:tcPr>
          <w:p w14:paraId="59779741"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Area</w:t>
            </w:r>
          </w:p>
        </w:tc>
        <w:tc>
          <w:tcPr>
            <w:tcW w:w="960" w:type="dxa"/>
            <w:noWrap/>
            <w:hideMark/>
          </w:tcPr>
          <w:p w14:paraId="5BF273E0"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1</w:t>
            </w:r>
          </w:p>
        </w:tc>
        <w:tc>
          <w:tcPr>
            <w:tcW w:w="960" w:type="dxa"/>
            <w:noWrap/>
            <w:hideMark/>
          </w:tcPr>
          <w:p w14:paraId="7F543B5A"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2</w:t>
            </w:r>
          </w:p>
        </w:tc>
        <w:tc>
          <w:tcPr>
            <w:tcW w:w="960" w:type="dxa"/>
            <w:noWrap/>
            <w:hideMark/>
          </w:tcPr>
          <w:p w14:paraId="5D75E9E0"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3</w:t>
            </w:r>
          </w:p>
        </w:tc>
        <w:tc>
          <w:tcPr>
            <w:tcW w:w="960" w:type="dxa"/>
            <w:noWrap/>
            <w:hideMark/>
          </w:tcPr>
          <w:p w14:paraId="0F9A0BB9"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4</w:t>
            </w:r>
          </w:p>
        </w:tc>
        <w:tc>
          <w:tcPr>
            <w:tcW w:w="1040" w:type="dxa"/>
            <w:noWrap/>
            <w:hideMark/>
          </w:tcPr>
          <w:p w14:paraId="23C0676A"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5+</w:t>
            </w:r>
          </w:p>
        </w:tc>
        <w:tc>
          <w:tcPr>
            <w:tcW w:w="1084" w:type="dxa"/>
            <w:noWrap/>
            <w:hideMark/>
          </w:tcPr>
          <w:p w14:paraId="274C119F"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Total</w:t>
            </w:r>
          </w:p>
        </w:tc>
      </w:tr>
      <w:tr w:rsidR="002A0BD5" w:rsidRPr="00A233A2" w14:paraId="01E098A3" w14:textId="77777777" w:rsidTr="006B256C">
        <w:trPr>
          <w:trHeight w:val="300"/>
          <w:tblHeader/>
        </w:trPr>
        <w:tc>
          <w:tcPr>
            <w:tcW w:w="2200" w:type="dxa"/>
            <w:noWrap/>
            <w:hideMark/>
          </w:tcPr>
          <w:p w14:paraId="164F3277"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Birmingham</w:t>
            </w:r>
          </w:p>
        </w:tc>
        <w:tc>
          <w:tcPr>
            <w:tcW w:w="960" w:type="dxa"/>
            <w:noWrap/>
            <w:hideMark/>
          </w:tcPr>
          <w:p w14:paraId="774FAD88"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3485.9</w:t>
            </w:r>
          </w:p>
        </w:tc>
        <w:tc>
          <w:tcPr>
            <w:tcW w:w="960" w:type="dxa"/>
            <w:noWrap/>
            <w:hideMark/>
          </w:tcPr>
          <w:p w14:paraId="46C14459"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4710.0</w:t>
            </w:r>
          </w:p>
        </w:tc>
        <w:tc>
          <w:tcPr>
            <w:tcW w:w="960" w:type="dxa"/>
            <w:noWrap/>
            <w:hideMark/>
          </w:tcPr>
          <w:p w14:paraId="7F67F39A"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4137.8</w:t>
            </w:r>
          </w:p>
        </w:tc>
        <w:tc>
          <w:tcPr>
            <w:tcW w:w="960" w:type="dxa"/>
            <w:noWrap/>
            <w:hideMark/>
          </w:tcPr>
          <w:p w14:paraId="51F96304"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2107.3</w:t>
            </w:r>
          </w:p>
        </w:tc>
        <w:tc>
          <w:tcPr>
            <w:tcW w:w="1040" w:type="dxa"/>
            <w:noWrap/>
            <w:hideMark/>
          </w:tcPr>
          <w:p w14:paraId="675864E5"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595.2</w:t>
            </w:r>
          </w:p>
        </w:tc>
        <w:tc>
          <w:tcPr>
            <w:tcW w:w="1084" w:type="dxa"/>
            <w:noWrap/>
            <w:hideMark/>
          </w:tcPr>
          <w:p w14:paraId="45239A3B"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15036.2</w:t>
            </w:r>
          </w:p>
        </w:tc>
      </w:tr>
      <w:tr w:rsidR="002A0BD5" w:rsidRPr="00A233A2" w14:paraId="20CBB254" w14:textId="77777777" w:rsidTr="006B256C">
        <w:trPr>
          <w:trHeight w:val="300"/>
          <w:tblHeader/>
        </w:trPr>
        <w:tc>
          <w:tcPr>
            <w:tcW w:w="2200" w:type="dxa"/>
            <w:noWrap/>
            <w:hideMark/>
          </w:tcPr>
          <w:p w14:paraId="204C5878"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Northfield District</w:t>
            </w:r>
          </w:p>
        </w:tc>
        <w:tc>
          <w:tcPr>
            <w:tcW w:w="960" w:type="dxa"/>
            <w:noWrap/>
            <w:hideMark/>
          </w:tcPr>
          <w:p w14:paraId="2BEAB05D"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456.3</w:t>
            </w:r>
          </w:p>
        </w:tc>
        <w:tc>
          <w:tcPr>
            <w:tcW w:w="960" w:type="dxa"/>
            <w:noWrap/>
            <w:hideMark/>
          </w:tcPr>
          <w:p w14:paraId="657CB62D"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437.0</w:t>
            </w:r>
          </w:p>
        </w:tc>
        <w:tc>
          <w:tcPr>
            <w:tcW w:w="960" w:type="dxa"/>
            <w:noWrap/>
            <w:hideMark/>
          </w:tcPr>
          <w:p w14:paraId="7C65C6BE"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332.0</w:t>
            </w:r>
          </w:p>
        </w:tc>
        <w:tc>
          <w:tcPr>
            <w:tcW w:w="960" w:type="dxa"/>
            <w:noWrap/>
            <w:hideMark/>
          </w:tcPr>
          <w:p w14:paraId="67866487"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133.0</w:t>
            </w:r>
          </w:p>
        </w:tc>
        <w:tc>
          <w:tcPr>
            <w:tcW w:w="1040" w:type="dxa"/>
            <w:noWrap/>
            <w:hideMark/>
          </w:tcPr>
          <w:p w14:paraId="29CB7279"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25.6</w:t>
            </w:r>
          </w:p>
        </w:tc>
        <w:tc>
          <w:tcPr>
            <w:tcW w:w="1084" w:type="dxa"/>
            <w:noWrap/>
            <w:hideMark/>
          </w:tcPr>
          <w:p w14:paraId="7CF36737"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1383.8</w:t>
            </w:r>
          </w:p>
        </w:tc>
      </w:tr>
      <w:tr w:rsidR="002A0BD5" w:rsidRPr="00A233A2" w14:paraId="4E8C033E" w14:textId="77777777" w:rsidTr="006B256C">
        <w:trPr>
          <w:trHeight w:val="300"/>
          <w:tblHeader/>
        </w:trPr>
        <w:tc>
          <w:tcPr>
            <w:tcW w:w="2200" w:type="dxa"/>
            <w:noWrap/>
            <w:hideMark/>
          </w:tcPr>
          <w:p w14:paraId="4184F20B"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Kings</w:t>
            </w:r>
            <w:r>
              <w:rPr>
                <w:rFonts w:ascii="Arial" w:hAnsi="Arial" w:cs="Arial"/>
                <w:sz w:val="24"/>
                <w:szCs w:val="24"/>
              </w:rPr>
              <w:t xml:space="preserve"> Norton(</w:t>
            </w:r>
            <w:r w:rsidRPr="00A233A2">
              <w:rPr>
                <w:rFonts w:ascii="Arial" w:hAnsi="Arial" w:cs="Arial"/>
                <w:sz w:val="24"/>
                <w:szCs w:val="24"/>
              </w:rPr>
              <w:t>N</w:t>
            </w:r>
            <w:r>
              <w:rPr>
                <w:rFonts w:ascii="Arial" w:hAnsi="Arial" w:cs="Arial"/>
                <w:sz w:val="24"/>
                <w:szCs w:val="24"/>
              </w:rPr>
              <w:t>)</w:t>
            </w:r>
          </w:p>
        </w:tc>
        <w:tc>
          <w:tcPr>
            <w:tcW w:w="960" w:type="dxa"/>
            <w:noWrap/>
            <w:hideMark/>
          </w:tcPr>
          <w:p w14:paraId="24466C4F"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50.3</w:t>
            </w:r>
          </w:p>
        </w:tc>
        <w:tc>
          <w:tcPr>
            <w:tcW w:w="960" w:type="dxa"/>
            <w:noWrap/>
            <w:hideMark/>
          </w:tcPr>
          <w:p w14:paraId="3CB5E426"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60.5</w:t>
            </w:r>
          </w:p>
        </w:tc>
        <w:tc>
          <w:tcPr>
            <w:tcW w:w="960" w:type="dxa"/>
            <w:noWrap/>
            <w:hideMark/>
          </w:tcPr>
          <w:p w14:paraId="28FE4A4A"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48.6</w:t>
            </w:r>
          </w:p>
        </w:tc>
        <w:tc>
          <w:tcPr>
            <w:tcW w:w="960" w:type="dxa"/>
            <w:noWrap/>
            <w:hideMark/>
          </w:tcPr>
          <w:p w14:paraId="3E74D379"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16.2</w:t>
            </w:r>
          </w:p>
        </w:tc>
        <w:tc>
          <w:tcPr>
            <w:tcW w:w="1040" w:type="dxa"/>
            <w:noWrap/>
            <w:hideMark/>
          </w:tcPr>
          <w:p w14:paraId="22E19396"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3.9</w:t>
            </w:r>
          </w:p>
        </w:tc>
        <w:tc>
          <w:tcPr>
            <w:tcW w:w="1084" w:type="dxa"/>
            <w:noWrap/>
            <w:hideMark/>
          </w:tcPr>
          <w:p w14:paraId="42E7B809"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179.6</w:t>
            </w:r>
          </w:p>
        </w:tc>
      </w:tr>
    </w:tbl>
    <w:p w14:paraId="6C65306C" w14:textId="77777777" w:rsidR="002A0BD5" w:rsidRDefault="002A0BD5" w:rsidP="002A0BD5">
      <w:pPr>
        <w:pStyle w:val="NoSpacing"/>
        <w:jc w:val="both"/>
        <w:rPr>
          <w:rFonts w:ascii="Arial" w:hAnsi="Arial" w:cs="Arial"/>
          <w:sz w:val="24"/>
          <w:szCs w:val="24"/>
        </w:rPr>
      </w:pPr>
    </w:p>
    <w:p w14:paraId="6507588B" w14:textId="77777777" w:rsidR="00F15F58" w:rsidRDefault="00F15F58">
      <w:pPr>
        <w:rPr>
          <w:rFonts w:ascii="Arial" w:hAnsi="Arial" w:cs="Arial"/>
          <w:sz w:val="24"/>
          <w:szCs w:val="24"/>
        </w:rPr>
      </w:pPr>
      <w:r>
        <w:rPr>
          <w:rFonts w:ascii="Arial" w:hAnsi="Arial" w:cs="Arial"/>
          <w:sz w:val="24"/>
          <w:szCs w:val="24"/>
        </w:rPr>
        <w:br w:type="page"/>
      </w:r>
    </w:p>
    <w:p w14:paraId="00FF8358" w14:textId="0A471BEF" w:rsidR="002A0BD5" w:rsidRPr="00475A35" w:rsidRDefault="002A0BD5" w:rsidP="002A0BD5">
      <w:pPr>
        <w:pStyle w:val="NoSpacing"/>
        <w:jc w:val="both"/>
        <w:rPr>
          <w:rFonts w:ascii="Arial" w:hAnsi="Arial" w:cs="Arial"/>
          <w:b/>
          <w:bCs/>
          <w:sz w:val="24"/>
          <w:szCs w:val="24"/>
        </w:rPr>
      </w:pPr>
      <w:r>
        <w:rPr>
          <w:rFonts w:ascii="Arial" w:hAnsi="Arial" w:cs="Arial"/>
          <w:sz w:val="24"/>
          <w:szCs w:val="24"/>
        </w:rPr>
        <w:lastRenderedPageBreak/>
        <w:t xml:space="preserve">              </w:t>
      </w:r>
      <w:r w:rsidRPr="00475A35">
        <w:rPr>
          <w:rFonts w:ascii="Arial" w:hAnsi="Arial" w:cs="Arial"/>
          <w:b/>
          <w:bCs/>
          <w:sz w:val="24"/>
          <w:szCs w:val="24"/>
        </w:rPr>
        <w:t xml:space="preserve">Table </w:t>
      </w:r>
      <w:r w:rsidR="00475A35" w:rsidRPr="00475A35">
        <w:rPr>
          <w:rFonts w:ascii="Arial" w:hAnsi="Arial" w:cs="Arial"/>
          <w:b/>
          <w:bCs/>
          <w:sz w:val="24"/>
          <w:szCs w:val="24"/>
        </w:rPr>
        <w:t>5</w:t>
      </w:r>
      <w:r w:rsidRPr="00475A35">
        <w:rPr>
          <w:rFonts w:ascii="Arial" w:hAnsi="Arial" w:cs="Arial"/>
          <w:b/>
          <w:bCs/>
          <w:sz w:val="24"/>
          <w:szCs w:val="24"/>
        </w:rPr>
        <w:t xml:space="preserve"> Housing Need Met:</w:t>
      </w:r>
    </w:p>
    <w:tbl>
      <w:tblPr>
        <w:tblStyle w:val="TableGrid"/>
        <w:tblW w:w="8040" w:type="dxa"/>
        <w:tblInd w:w="980" w:type="dxa"/>
        <w:tblLook w:val="04A0" w:firstRow="1" w:lastRow="0" w:firstColumn="1" w:lastColumn="0" w:noHBand="0" w:noVBand="1"/>
        <w:tblCaption w:val="Housing Need Met"/>
        <w:tblDescription w:val="Percentages of hosing needs met"/>
      </w:tblPr>
      <w:tblGrid>
        <w:gridCol w:w="2200"/>
        <w:gridCol w:w="1403"/>
        <w:gridCol w:w="960"/>
        <w:gridCol w:w="960"/>
        <w:gridCol w:w="960"/>
        <w:gridCol w:w="1040"/>
        <w:gridCol w:w="960"/>
      </w:tblGrid>
      <w:tr w:rsidR="000625C7" w:rsidRPr="00A233A2" w14:paraId="01DEDB4C" w14:textId="77777777" w:rsidTr="006B256C">
        <w:trPr>
          <w:trHeight w:val="300"/>
          <w:tblHeader/>
        </w:trPr>
        <w:tc>
          <w:tcPr>
            <w:tcW w:w="2200" w:type="dxa"/>
            <w:noWrap/>
            <w:hideMark/>
          </w:tcPr>
          <w:p w14:paraId="655E6DDB" w14:textId="77777777" w:rsidR="000625C7" w:rsidRPr="00A233A2" w:rsidRDefault="000625C7" w:rsidP="00BC2DE4">
            <w:pPr>
              <w:pStyle w:val="NoSpacing"/>
              <w:ind w:left="-244" w:firstLine="244"/>
              <w:jc w:val="both"/>
              <w:rPr>
                <w:rFonts w:ascii="Arial" w:hAnsi="Arial" w:cs="Arial"/>
                <w:sz w:val="24"/>
                <w:szCs w:val="24"/>
              </w:rPr>
            </w:pPr>
          </w:p>
        </w:tc>
        <w:tc>
          <w:tcPr>
            <w:tcW w:w="960" w:type="dxa"/>
            <w:noWrap/>
            <w:hideMark/>
          </w:tcPr>
          <w:p w14:paraId="0A65C488"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Bedrooms</w:t>
            </w:r>
          </w:p>
        </w:tc>
        <w:tc>
          <w:tcPr>
            <w:tcW w:w="960" w:type="dxa"/>
          </w:tcPr>
          <w:p w14:paraId="72A94ED0" w14:textId="5877E3AA" w:rsidR="000625C7" w:rsidRPr="00A233A2" w:rsidRDefault="000625C7" w:rsidP="00BC2DE4">
            <w:pPr>
              <w:pStyle w:val="NoSpacing"/>
              <w:jc w:val="both"/>
              <w:rPr>
                <w:rFonts w:ascii="Arial" w:hAnsi="Arial" w:cs="Arial"/>
                <w:b/>
                <w:bCs/>
                <w:sz w:val="24"/>
                <w:szCs w:val="24"/>
              </w:rPr>
            </w:pPr>
          </w:p>
        </w:tc>
        <w:tc>
          <w:tcPr>
            <w:tcW w:w="960" w:type="dxa"/>
            <w:noWrap/>
            <w:hideMark/>
          </w:tcPr>
          <w:p w14:paraId="64416836"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c>
          <w:tcPr>
            <w:tcW w:w="960" w:type="dxa"/>
            <w:noWrap/>
            <w:hideMark/>
          </w:tcPr>
          <w:p w14:paraId="3C47DA20"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c>
          <w:tcPr>
            <w:tcW w:w="1040" w:type="dxa"/>
            <w:noWrap/>
            <w:hideMark/>
          </w:tcPr>
          <w:p w14:paraId="2B87D6CB"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c>
          <w:tcPr>
            <w:tcW w:w="960" w:type="dxa"/>
            <w:noWrap/>
            <w:hideMark/>
          </w:tcPr>
          <w:p w14:paraId="1547E312"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r>
      <w:tr w:rsidR="002A0BD5" w:rsidRPr="00A233A2" w14:paraId="1A5CBADF" w14:textId="77777777" w:rsidTr="006B256C">
        <w:trPr>
          <w:trHeight w:val="315"/>
          <w:tblHeader/>
        </w:trPr>
        <w:tc>
          <w:tcPr>
            <w:tcW w:w="2200" w:type="dxa"/>
            <w:noWrap/>
            <w:hideMark/>
          </w:tcPr>
          <w:p w14:paraId="5D8F9719" w14:textId="77777777" w:rsidR="002A0BD5" w:rsidRPr="00A233A2" w:rsidRDefault="002A0BD5" w:rsidP="00BC2DE4">
            <w:pPr>
              <w:pStyle w:val="NoSpacing"/>
              <w:ind w:left="-244" w:firstLine="244"/>
              <w:jc w:val="both"/>
              <w:rPr>
                <w:rFonts w:ascii="Arial" w:hAnsi="Arial" w:cs="Arial"/>
                <w:b/>
                <w:bCs/>
                <w:sz w:val="24"/>
                <w:szCs w:val="24"/>
              </w:rPr>
            </w:pPr>
            <w:r w:rsidRPr="00A233A2">
              <w:rPr>
                <w:rFonts w:ascii="Arial" w:hAnsi="Arial" w:cs="Arial"/>
                <w:b/>
                <w:bCs/>
                <w:sz w:val="24"/>
                <w:szCs w:val="24"/>
              </w:rPr>
              <w:t>Area</w:t>
            </w:r>
          </w:p>
        </w:tc>
        <w:tc>
          <w:tcPr>
            <w:tcW w:w="960" w:type="dxa"/>
            <w:noWrap/>
            <w:hideMark/>
          </w:tcPr>
          <w:p w14:paraId="68A48588"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1</w:t>
            </w:r>
          </w:p>
        </w:tc>
        <w:tc>
          <w:tcPr>
            <w:tcW w:w="960" w:type="dxa"/>
            <w:noWrap/>
            <w:hideMark/>
          </w:tcPr>
          <w:p w14:paraId="0AA38F05"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2</w:t>
            </w:r>
          </w:p>
        </w:tc>
        <w:tc>
          <w:tcPr>
            <w:tcW w:w="960" w:type="dxa"/>
            <w:noWrap/>
            <w:hideMark/>
          </w:tcPr>
          <w:p w14:paraId="3FB279C6"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3</w:t>
            </w:r>
          </w:p>
        </w:tc>
        <w:tc>
          <w:tcPr>
            <w:tcW w:w="960" w:type="dxa"/>
            <w:noWrap/>
            <w:hideMark/>
          </w:tcPr>
          <w:p w14:paraId="3CF67B4B"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4</w:t>
            </w:r>
          </w:p>
        </w:tc>
        <w:tc>
          <w:tcPr>
            <w:tcW w:w="1040" w:type="dxa"/>
            <w:noWrap/>
            <w:hideMark/>
          </w:tcPr>
          <w:p w14:paraId="56E4C855"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5+</w:t>
            </w:r>
          </w:p>
        </w:tc>
        <w:tc>
          <w:tcPr>
            <w:tcW w:w="960" w:type="dxa"/>
            <w:noWrap/>
            <w:hideMark/>
          </w:tcPr>
          <w:p w14:paraId="21E647C9"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Total</w:t>
            </w:r>
          </w:p>
        </w:tc>
      </w:tr>
      <w:tr w:rsidR="002A0BD5" w:rsidRPr="00A233A2" w14:paraId="5FFA1CF3" w14:textId="77777777" w:rsidTr="006B256C">
        <w:trPr>
          <w:trHeight w:val="300"/>
          <w:tblHeader/>
        </w:trPr>
        <w:tc>
          <w:tcPr>
            <w:tcW w:w="2200" w:type="dxa"/>
            <w:noWrap/>
            <w:hideMark/>
          </w:tcPr>
          <w:p w14:paraId="7279B01C" w14:textId="77777777" w:rsidR="002A0BD5" w:rsidRPr="00A233A2" w:rsidRDefault="002A0BD5" w:rsidP="00BC2DE4">
            <w:pPr>
              <w:pStyle w:val="NoSpacing"/>
              <w:ind w:left="-244" w:firstLine="244"/>
              <w:jc w:val="both"/>
              <w:rPr>
                <w:rFonts w:ascii="Arial" w:hAnsi="Arial" w:cs="Arial"/>
                <w:sz w:val="24"/>
                <w:szCs w:val="24"/>
              </w:rPr>
            </w:pPr>
            <w:r w:rsidRPr="00A233A2">
              <w:rPr>
                <w:rFonts w:ascii="Arial" w:hAnsi="Arial" w:cs="Arial"/>
                <w:sz w:val="24"/>
                <w:szCs w:val="24"/>
              </w:rPr>
              <w:t>Birmingham</w:t>
            </w:r>
          </w:p>
        </w:tc>
        <w:tc>
          <w:tcPr>
            <w:tcW w:w="960" w:type="dxa"/>
            <w:noWrap/>
            <w:hideMark/>
          </w:tcPr>
          <w:p w14:paraId="41661DBB"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39.1%</w:t>
            </w:r>
          </w:p>
        </w:tc>
        <w:tc>
          <w:tcPr>
            <w:tcW w:w="960" w:type="dxa"/>
            <w:noWrap/>
            <w:hideMark/>
          </w:tcPr>
          <w:p w14:paraId="058F56A5"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22.0%</w:t>
            </w:r>
          </w:p>
        </w:tc>
        <w:tc>
          <w:tcPr>
            <w:tcW w:w="960" w:type="dxa"/>
            <w:noWrap/>
            <w:hideMark/>
          </w:tcPr>
          <w:p w14:paraId="66FBA4E5"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19.4%</w:t>
            </w:r>
          </w:p>
        </w:tc>
        <w:tc>
          <w:tcPr>
            <w:tcW w:w="960" w:type="dxa"/>
            <w:noWrap/>
            <w:hideMark/>
          </w:tcPr>
          <w:p w14:paraId="5EF1E4CB"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3.0%</w:t>
            </w:r>
          </w:p>
        </w:tc>
        <w:tc>
          <w:tcPr>
            <w:tcW w:w="1040" w:type="dxa"/>
            <w:noWrap/>
            <w:hideMark/>
          </w:tcPr>
          <w:p w14:paraId="00E32667"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0.8%</w:t>
            </w:r>
          </w:p>
        </w:tc>
        <w:tc>
          <w:tcPr>
            <w:tcW w:w="960" w:type="dxa"/>
            <w:noWrap/>
            <w:hideMark/>
          </w:tcPr>
          <w:p w14:paraId="2544EB0D"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21.8%</w:t>
            </w:r>
          </w:p>
        </w:tc>
      </w:tr>
      <w:tr w:rsidR="002A0BD5" w:rsidRPr="00A233A2" w14:paraId="64DF2F2F" w14:textId="77777777" w:rsidTr="006B256C">
        <w:trPr>
          <w:trHeight w:val="300"/>
          <w:tblHeader/>
        </w:trPr>
        <w:tc>
          <w:tcPr>
            <w:tcW w:w="2200" w:type="dxa"/>
            <w:noWrap/>
            <w:hideMark/>
          </w:tcPr>
          <w:p w14:paraId="193589B5" w14:textId="77777777" w:rsidR="002A0BD5" w:rsidRPr="00A233A2" w:rsidRDefault="002A0BD5" w:rsidP="00BC2DE4">
            <w:pPr>
              <w:pStyle w:val="NoSpacing"/>
              <w:ind w:left="-244" w:firstLine="244"/>
              <w:jc w:val="both"/>
              <w:rPr>
                <w:rFonts w:ascii="Arial" w:hAnsi="Arial" w:cs="Arial"/>
                <w:sz w:val="24"/>
                <w:szCs w:val="24"/>
              </w:rPr>
            </w:pPr>
            <w:r w:rsidRPr="00A233A2">
              <w:rPr>
                <w:rFonts w:ascii="Arial" w:hAnsi="Arial" w:cs="Arial"/>
                <w:sz w:val="24"/>
                <w:szCs w:val="24"/>
              </w:rPr>
              <w:t>Northfield District</w:t>
            </w:r>
          </w:p>
        </w:tc>
        <w:tc>
          <w:tcPr>
            <w:tcW w:w="960" w:type="dxa"/>
            <w:noWrap/>
            <w:hideMark/>
          </w:tcPr>
          <w:p w14:paraId="35F0A472"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55.7%</w:t>
            </w:r>
          </w:p>
        </w:tc>
        <w:tc>
          <w:tcPr>
            <w:tcW w:w="960" w:type="dxa"/>
            <w:noWrap/>
            <w:hideMark/>
          </w:tcPr>
          <w:p w14:paraId="6BE16C06"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45.8%</w:t>
            </w:r>
          </w:p>
        </w:tc>
        <w:tc>
          <w:tcPr>
            <w:tcW w:w="960" w:type="dxa"/>
            <w:noWrap/>
            <w:hideMark/>
          </w:tcPr>
          <w:p w14:paraId="41FA0E60"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50.6%</w:t>
            </w:r>
          </w:p>
        </w:tc>
        <w:tc>
          <w:tcPr>
            <w:tcW w:w="960" w:type="dxa"/>
            <w:noWrap/>
            <w:hideMark/>
          </w:tcPr>
          <w:p w14:paraId="31065DCE"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8.3%</w:t>
            </w:r>
          </w:p>
        </w:tc>
        <w:tc>
          <w:tcPr>
            <w:tcW w:w="1040" w:type="dxa"/>
            <w:noWrap/>
            <w:hideMark/>
          </w:tcPr>
          <w:p w14:paraId="5C497503"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11.7%</w:t>
            </w:r>
          </w:p>
        </w:tc>
        <w:tc>
          <w:tcPr>
            <w:tcW w:w="960" w:type="dxa"/>
            <w:noWrap/>
            <w:hideMark/>
          </w:tcPr>
          <w:p w14:paraId="091AD161"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46.0%</w:t>
            </w:r>
          </w:p>
        </w:tc>
      </w:tr>
      <w:tr w:rsidR="002A0BD5" w:rsidRPr="00A233A2" w14:paraId="4C53C720" w14:textId="77777777" w:rsidTr="006B256C">
        <w:trPr>
          <w:trHeight w:val="300"/>
          <w:tblHeader/>
        </w:trPr>
        <w:tc>
          <w:tcPr>
            <w:tcW w:w="2200" w:type="dxa"/>
            <w:noWrap/>
            <w:hideMark/>
          </w:tcPr>
          <w:p w14:paraId="6121F9B6" w14:textId="77777777" w:rsidR="002A0BD5" w:rsidRPr="00A233A2" w:rsidRDefault="002A0BD5" w:rsidP="00BC2DE4">
            <w:pPr>
              <w:pStyle w:val="NoSpacing"/>
              <w:ind w:left="-244" w:firstLine="244"/>
              <w:jc w:val="both"/>
              <w:rPr>
                <w:rFonts w:ascii="Arial" w:hAnsi="Arial" w:cs="Arial"/>
                <w:sz w:val="24"/>
                <w:szCs w:val="24"/>
              </w:rPr>
            </w:pPr>
            <w:r w:rsidRPr="00A233A2">
              <w:rPr>
                <w:rFonts w:ascii="Arial" w:hAnsi="Arial" w:cs="Arial"/>
                <w:sz w:val="24"/>
                <w:szCs w:val="24"/>
              </w:rPr>
              <w:t xml:space="preserve">Kings Norton </w:t>
            </w:r>
            <w:r>
              <w:rPr>
                <w:rFonts w:ascii="Arial" w:hAnsi="Arial" w:cs="Arial"/>
                <w:sz w:val="24"/>
                <w:szCs w:val="24"/>
              </w:rPr>
              <w:t>(</w:t>
            </w:r>
            <w:r w:rsidRPr="00A233A2">
              <w:rPr>
                <w:rFonts w:ascii="Arial" w:hAnsi="Arial" w:cs="Arial"/>
                <w:sz w:val="24"/>
                <w:szCs w:val="24"/>
              </w:rPr>
              <w:t>N</w:t>
            </w:r>
            <w:r>
              <w:rPr>
                <w:rFonts w:ascii="Arial" w:hAnsi="Arial" w:cs="Arial"/>
                <w:sz w:val="24"/>
                <w:szCs w:val="24"/>
              </w:rPr>
              <w:t>)</w:t>
            </w:r>
          </w:p>
        </w:tc>
        <w:tc>
          <w:tcPr>
            <w:tcW w:w="960" w:type="dxa"/>
            <w:noWrap/>
            <w:hideMark/>
          </w:tcPr>
          <w:p w14:paraId="6F759A93"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47.7%</w:t>
            </w:r>
          </w:p>
        </w:tc>
        <w:tc>
          <w:tcPr>
            <w:tcW w:w="960" w:type="dxa"/>
            <w:noWrap/>
            <w:hideMark/>
          </w:tcPr>
          <w:p w14:paraId="0DB7E2FB"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11.6%</w:t>
            </w:r>
          </w:p>
        </w:tc>
        <w:tc>
          <w:tcPr>
            <w:tcW w:w="960" w:type="dxa"/>
            <w:noWrap/>
            <w:hideMark/>
          </w:tcPr>
          <w:p w14:paraId="628B681C"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24.7%</w:t>
            </w:r>
          </w:p>
        </w:tc>
        <w:tc>
          <w:tcPr>
            <w:tcW w:w="960" w:type="dxa"/>
            <w:noWrap/>
            <w:hideMark/>
          </w:tcPr>
          <w:p w14:paraId="1925EB77"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0.0%</w:t>
            </w:r>
          </w:p>
        </w:tc>
        <w:tc>
          <w:tcPr>
            <w:tcW w:w="1040" w:type="dxa"/>
            <w:noWrap/>
            <w:hideMark/>
          </w:tcPr>
          <w:p w14:paraId="5EC70048"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0.0%</w:t>
            </w:r>
          </w:p>
        </w:tc>
        <w:tc>
          <w:tcPr>
            <w:tcW w:w="960" w:type="dxa"/>
            <w:noWrap/>
            <w:hideMark/>
          </w:tcPr>
          <w:p w14:paraId="1362B203"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23.9%</w:t>
            </w:r>
          </w:p>
        </w:tc>
      </w:tr>
    </w:tbl>
    <w:p w14:paraId="450AECA5" w14:textId="77777777" w:rsidR="002A0BD5" w:rsidRDefault="002A0BD5" w:rsidP="002A0BD5">
      <w:pPr>
        <w:pStyle w:val="NoSpacing"/>
        <w:jc w:val="both"/>
        <w:rPr>
          <w:rFonts w:ascii="Arial" w:hAnsi="Arial" w:cs="Arial"/>
          <w:sz w:val="24"/>
          <w:szCs w:val="24"/>
        </w:rPr>
      </w:pPr>
    </w:p>
    <w:p w14:paraId="4F253D7F" w14:textId="77777777" w:rsidR="002A0BD5" w:rsidRPr="00851262" w:rsidRDefault="002A0BD5" w:rsidP="002A0BD5">
      <w:pPr>
        <w:pStyle w:val="NoSpacing"/>
        <w:ind w:left="720"/>
        <w:jc w:val="both"/>
        <w:rPr>
          <w:rFonts w:ascii="Arial" w:hAnsi="Arial" w:cs="Arial"/>
          <w:i/>
          <w:iCs/>
          <w:sz w:val="24"/>
          <w:szCs w:val="24"/>
        </w:rPr>
      </w:pPr>
      <w:r w:rsidRPr="00851262">
        <w:rPr>
          <w:rFonts w:ascii="Arial" w:hAnsi="Arial" w:cs="Arial"/>
          <w:i/>
          <w:iCs/>
          <w:sz w:val="24"/>
          <w:szCs w:val="24"/>
        </w:rPr>
        <w:t xml:space="preserve">You will note that unlike Kings Norton South ward the percentage of need met is greatly reduced with none of the need for 4 and 5 bedroom properties met. </w:t>
      </w:r>
    </w:p>
    <w:p w14:paraId="62B51CE2" w14:textId="77777777" w:rsidR="002A0BD5" w:rsidRDefault="002A0BD5" w:rsidP="002A0BD5">
      <w:pPr>
        <w:pStyle w:val="NoSpacing"/>
        <w:ind w:left="720"/>
        <w:jc w:val="both"/>
        <w:rPr>
          <w:rFonts w:ascii="Arial" w:hAnsi="Arial" w:cs="Arial"/>
          <w:sz w:val="24"/>
          <w:szCs w:val="24"/>
        </w:rPr>
      </w:pPr>
    </w:p>
    <w:p w14:paraId="5921EB95" w14:textId="500FCDF9" w:rsidR="002A0BD5" w:rsidRPr="00475A35" w:rsidRDefault="002A0BD5" w:rsidP="002A0BD5">
      <w:pPr>
        <w:pStyle w:val="NoSpacing"/>
        <w:ind w:firstLine="720"/>
        <w:jc w:val="both"/>
        <w:rPr>
          <w:rFonts w:ascii="Arial" w:hAnsi="Arial" w:cs="Arial"/>
          <w:b/>
          <w:bCs/>
          <w:sz w:val="24"/>
          <w:szCs w:val="24"/>
        </w:rPr>
      </w:pPr>
      <w:r>
        <w:rPr>
          <w:rFonts w:ascii="Arial" w:hAnsi="Arial" w:cs="Arial"/>
          <w:sz w:val="24"/>
          <w:szCs w:val="24"/>
        </w:rPr>
        <w:t xml:space="preserve">    </w:t>
      </w:r>
      <w:r w:rsidRPr="00475A35">
        <w:rPr>
          <w:rFonts w:ascii="Arial" w:hAnsi="Arial" w:cs="Arial"/>
          <w:b/>
          <w:bCs/>
          <w:sz w:val="24"/>
          <w:szCs w:val="24"/>
        </w:rPr>
        <w:t xml:space="preserve">Table </w:t>
      </w:r>
      <w:r w:rsidR="00475A35" w:rsidRPr="00475A35">
        <w:rPr>
          <w:rFonts w:ascii="Arial" w:hAnsi="Arial" w:cs="Arial"/>
          <w:b/>
          <w:bCs/>
          <w:sz w:val="24"/>
          <w:szCs w:val="24"/>
        </w:rPr>
        <w:t>6</w:t>
      </w:r>
      <w:r w:rsidRPr="00475A35">
        <w:rPr>
          <w:rFonts w:ascii="Arial" w:hAnsi="Arial" w:cs="Arial"/>
          <w:b/>
          <w:bCs/>
          <w:sz w:val="24"/>
          <w:szCs w:val="24"/>
        </w:rPr>
        <w:t xml:space="preserve"> The notional waiting time for property types:</w:t>
      </w:r>
    </w:p>
    <w:tbl>
      <w:tblPr>
        <w:tblStyle w:val="TableGrid"/>
        <w:tblW w:w="8040" w:type="dxa"/>
        <w:tblInd w:w="980" w:type="dxa"/>
        <w:tblLook w:val="04A0" w:firstRow="1" w:lastRow="0" w:firstColumn="1" w:lastColumn="0" w:noHBand="0" w:noVBand="1"/>
        <w:tblCaption w:val="The notional waiting time for property types"/>
        <w:tblDescription w:val="Notional waiting times for diffrent sized properties "/>
      </w:tblPr>
      <w:tblGrid>
        <w:gridCol w:w="2200"/>
        <w:gridCol w:w="1403"/>
        <w:gridCol w:w="960"/>
        <w:gridCol w:w="960"/>
        <w:gridCol w:w="960"/>
        <w:gridCol w:w="1040"/>
        <w:gridCol w:w="960"/>
      </w:tblGrid>
      <w:tr w:rsidR="000625C7" w:rsidRPr="00A233A2" w14:paraId="18CE2556" w14:textId="77777777" w:rsidTr="006B256C">
        <w:trPr>
          <w:trHeight w:val="300"/>
          <w:tblHeader/>
        </w:trPr>
        <w:tc>
          <w:tcPr>
            <w:tcW w:w="2200" w:type="dxa"/>
            <w:noWrap/>
            <w:hideMark/>
          </w:tcPr>
          <w:p w14:paraId="05579909" w14:textId="77777777" w:rsidR="000625C7" w:rsidRPr="00A233A2" w:rsidRDefault="000625C7" w:rsidP="00BC2DE4">
            <w:pPr>
              <w:pStyle w:val="NoSpacing"/>
              <w:jc w:val="both"/>
              <w:rPr>
                <w:rFonts w:ascii="Arial" w:hAnsi="Arial" w:cs="Arial"/>
                <w:sz w:val="24"/>
                <w:szCs w:val="24"/>
              </w:rPr>
            </w:pPr>
          </w:p>
        </w:tc>
        <w:tc>
          <w:tcPr>
            <w:tcW w:w="960" w:type="dxa"/>
            <w:noWrap/>
            <w:hideMark/>
          </w:tcPr>
          <w:p w14:paraId="05433390"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Bedrooms</w:t>
            </w:r>
          </w:p>
        </w:tc>
        <w:tc>
          <w:tcPr>
            <w:tcW w:w="960" w:type="dxa"/>
          </w:tcPr>
          <w:p w14:paraId="0C96A2F3" w14:textId="4DC4782D" w:rsidR="000625C7" w:rsidRPr="00A233A2" w:rsidRDefault="000625C7" w:rsidP="00BC2DE4">
            <w:pPr>
              <w:pStyle w:val="NoSpacing"/>
              <w:jc w:val="both"/>
              <w:rPr>
                <w:rFonts w:ascii="Arial" w:hAnsi="Arial" w:cs="Arial"/>
                <w:b/>
                <w:bCs/>
                <w:sz w:val="24"/>
                <w:szCs w:val="24"/>
              </w:rPr>
            </w:pPr>
          </w:p>
        </w:tc>
        <w:tc>
          <w:tcPr>
            <w:tcW w:w="960" w:type="dxa"/>
            <w:noWrap/>
            <w:hideMark/>
          </w:tcPr>
          <w:p w14:paraId="09F5EBFE"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c>
          <w:tcPr>
            <w:tcW w:w="960" w:type="dxa"/>
            <w:noWrap/>
            <w:hideMark/>
          </w:tcPr>
          <w:p w14:paraId="3A6B2D17"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c>
          <w:tcPr>
            <w:tcW w:w="1040" w:type="dxa"/>
            <w:noWrap/>
            <w:hideMark/>
          </w:tcPr>
          <w:p w14:paraId="3CAD9F93"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c>
          <w:tcPr>
            <w:tcW w:w="960" w:type="dxa"/>
            <w:noWrap/>
            <w:hideMark/>
          </w:tcPr>
          <w:p w14:paraId="6BCFAA88" w14:textId="77777777" w:rsidR="000625C7" w:rsidRPr="00A233A2" w:rsidRDefault="000625C7" w:rsidP="00BC2DE4">
            <w:pPr>
              <w:pStyle w:val="NoSpacing"/>
              <w:jc w:val="both"/>
              <w:rPr>
                <w:rFonts w:ascii="Arial" w:hAnsi="Arial" w:cs="Arial"/>
                <w:b/>
                <w:bCs/>
                <w:sz w:val="24"/>
                <w:szCs w:val="24"/>
              </w:rPr>
            </w:pPr>
            <w:r w:rsidRPr="00A233A2">
              <w:rPr>
                <w:rFonts w:ascii="Arial" w:hAnsi="Arial" w:cs="Arial"/>
                <w:b/>
                <w:bCs/>
                <w:sz w:val="24"/>
                <w:szCs w:val="24"/>
              </w:rPr>
              <w:t> </w:t>
            </w:r>
          </w:p>
        </w:tc>
      </w:tr>
      <w:tr w:rsidR="002A0BD5" w:rsidRPr="00A233A2" w14:paraId="016EC8BC" w14:textId="77777777" w:rsidTr="006B256C">
        <w:trPr>
          <w:trHeight w:val="315"/>
          <w:tblHeader/>
        </w:trPr>
        <w:tc>
          <w:tcPr>
            <w:tcW w:w="2200" w:type="dxa"/>
            <w:noWrap/>
            <w:hideMark/>
          </w:tcPr>
          <w:p w14:paraId="377B0685"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Area</w:t>
            </w:r>
          </w:p>
        </w:tc>
        <w:tc>
          <w:tcPr>
            <w:tcW w:w="960" w:type="dxa"/>
            <w:noWrap/>
            <w:hideMark/>
          </w:tcPr>
          <w:p w14:paraId="05B5F197"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1</w:t>
            </w:r>
          </w:p>
        </w:tc>
        <w:tc>
          <w:tcPr>
            <w:tcW w:w="960" w:type="dxa"/>
            <w:noWrap/>
            <w:hideMark/>
          </w:tcPr>
          <w:p w14:paraId="3001D618"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2</w:t>
            </w:r>
          </w:p>
        </w:tc>
        <w:tc>
          <w:tcPr>
            <w:tcW w:w="960" w:type="dxa"/>
            <w:noWrap/>
            <w:hideMark/>
          </w:tcPr>
          <w:p w14:paraId="517F1EF3"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3</w:t>
            </w:r>
          </w:p>
        </w:tc>
        <w:tc>
          <w:tcPr>
            <w:tcW w:w="960" w:type="dxa"/>
            <w:noWrap/>
            <w:hideMark/>
          </w:tcPr>
          <w:p w14:paraId="14D32E04"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4</w:t>
            </w:r>
          </w:p>
        </w:tc>
        <w:tc>
          <w:tcPr>
            <w:tcW w:w="1040" w:type="dxa"/>
            <w:noWrap/>
            <w:hideMark/>
          </w:tcPr>
          <w:p w14:paraId="04990BD9"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5+</w:t>
            </w:r>
          </w:p>
        </w:tc>
        <w:tc>
          <w:tcPr>
            <w:tcW w:w="960" w:type="dxa"/>
            <w:noWrap/>
            <w:hideMark/>
          </w:tcPr>
          <w:p w14:paraId="7E6846BD" w14:textId="77777777" w:rsidR="002A0BD5" w:rsidRPr="00A233A2" w:rsidRDefault="002A0BD5" w:rsidP="00BC2DE4">
            <w:pPr>
              <w:pStyle w:val="NoSpacing"/>
              <w:jc w:val="both"/>
              <w:rPr>
                <w:rFonts w:ascii="Arial" w:hAnsi="Arial" w:cs="Arial"/>
                <w:b/>
                <w:bCs/>
                <w:sz w:val="24"/>
                <w:szCs w:val="24"/>
              </w:rPr>
            </w:pPr>
            <w:r w:rsidRPr="00A233A2">
              <w:rPr>
                <w:rFonts w:ascii="Arial" w:hAnsi="Arial" w:cs="Arial"/>
                <w:b/>
                <w:bCs/>
                <w:sz w:val="24"/>
                <w:szCs w:val="24"/>
              </w:rPr>
              <w:t>Total</w:t>
            </w:r>
          </w:p>
        </w:tc>
      </w:tr>
      <w:tr w:rsidR="002A0BD5" w:rsidRPr="00A233A2" w14:paraId="35D01B45" w14:textId="77777777" w:rsidTr="006B256C">
        <w:trPr>
          <w:trHeight w:val="300"/>
          <w:tblHeader/>
        </w:trPr>
        <w:tc>
          <w:tcPr>
            <w:tcW w:w="2200" w:type="dxa"/>
            <w:noWrap/>
            <w:hideMark/>
          </w:tcPr>
          <w:p w14:paraId="12178262"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Birmingham</w:t>
            </w:r>
          </w:p>
        </w:tc>
        <w:tc>
          <w:tcPr>
            <w:tcW w:w="960" w:type="dxa"/>
            <w:noWrap/>
            <w:hideMark/>
          </w:tcPr>
          <w:p w14:paraId="2AF191EA"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2.6</w:t>
            </w:r>
          </w:p>
        </w:tc>
        <w:tc>
          <w:tcPr>
            <w:tcW w:w="960" w:type="dxa"/>
            <w:noWrap/>
            <w:hideMark/>
          </w:tcPr>
          <w:p w14:paraId="107798B6"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4.5</w:t>
            </w:r>
          </w:p>
        </w:tc>
        <w:tc>
          <w:tcPr>
            <w:tcW w:w="960" w:type="dxa"/>
            <w:noWrap/>
            <w:hideMark/>
          </w:tcPr>
          <w:p w14:paraId="572A4004"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5.2</w:t>
            </w:r>
          </w:p>
        </w:tc>
        <w:tc>
          <w:tcPr>
            <w:tcW w:w="960" w:type="dxa"/>
            <w:noWrap/>
            <w:hideMark/>
          </w:tcPr>
          <w:p w14:paraId="0AE6BD00"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33.4</w:t>
            </w:r>
          </w:p>
        </w:tc>
        <w:tc>
          <w:tcPr>
            <w:tcW w:w="1040" w:type="dxa"/>
            <w:noWrap/>
            <w:hideMark/>
          </w:tcPr>
          <w:p w14:paraId="50ED5535"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118.4</w:t>
            </w:r>
          </w:p>
        </w:tc>
        <w:tc>
          <w:tcPr>
            <w:tcW w:w="960" w:type="dxa"/>
            <w:noWrap/>
            <w:hideMark/>
          </w:tcPr>
          <w:p w14:paraId="3BEAB28A"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4.6</w:t>
            </w:r>
          </w:p>
        </w:tc>
      </w:tr>
      <w:tr w:rsidR="002A0BD5" w:rsidRPr="00A233A2" w14:paraId="2AAE74DA" w14:textId="77777777" w:rsidTr="006B256C">
        <w:trPr>
          <w:trHeight w:val="300"/>
          <w:tblHeader/>
        </w:trPr>
        <w:tc>
          <w:tcPr>
            <w:tcW w:w="2200" w:type="dxa"/>
            <w:noWrap/>
            <w:hideMark/>
          </w:tcPr>
          <w:p w14:paraId="0BB2F651"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Northfield District</w:t>
            </w:r>
          </w:p>
        </w:tc>
        <w:tc>
          <w:tcPr>
            <w:tcW w:w="960" w:type="dxa"/>
            <w:noWrap/>
            <w:hideMark/>
          </w:tcPr>
          <w:p w14:paraId="6BA04981"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1.8</w:t>
            </w:r>
          </w:p>
        </w:tc>
        <w:tc>
          <w:tcPr>
            <w:tcW w:w="960" w:type="dxa"/>
            <w:noWrap/>
            <w:hideMark/>
          </w:tcPr>
          <w:p w14:paraId="7F30D006"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2.2</w:t>
            </w:r>
          </w:p>
        </w:tc>
        <w:tc>
          <w:tcPr>
            <w:tcW w:w="960" w:type="dxa"/>
            <w:noWrap/>
            <w:hideMark/>
          </w:tcPr>
          <w:p w14:paraId="0EA96141"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2.0</w:t>
            </w:r>
          </w:p>
        </w:tc>
        <w:tc>
          <w:tcPr>
            <w:tcW w:w="960" w:type="dxa"/>
            <w:noWrap/>
            <w:hideMark/>
          </w:tcPr>
          <w:p w14:paraId="1304C3D2"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12.1</w:t>
            </w:r>
          </w:p>
        </w:tc>
        <w:tc>
          <w:tcPr>
            <w:tcW w:w="1040" w:type="dxa"/>
            <w:noWrap/>
            <w:hideMark/>
          </w:tcPr>
          <w:p w14:paraId="38D91486"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8.5</w:t>
            </w:r>
          </w:p>
        </w:tc>
        <w:tc>
          <w:tcPr>
            <w:tcW w:w="960" w:type="dxa"/>
            <w:noWrap/>
            <w:hideMark/>
          </w:tcPr>
          <w:p w14:paraId="7AF52C39"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2.2</w:t>
            </w:r>
          </w:p>
        </w:tc>
      </w:tr>
      <w:tr w:rsidR="002A0BD5" w:rsidRPr="00A233A2" w14:paraId="3F307FD0" w14:textId="77777777" w:rsidTr="006B256C">
        <w:trPr>
          <w:trHeight w:val="255"/>
          <w:tblHeader/>
        </w:trPr>
        <w:tc>
          <w:tcPr>
            <w:tcW w:w="2200" w:type="dxa"/>
            <w:noWrap/>
            <w:hideMark/>
          </w:tcPr>
          <w:p w14:paraId="01C5A9A3"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 xml:space="preserve">Kings Norton </w:t>
            </w:r>
            <w:r>
              <w:rPr>
                <w:rFonts w:ascii="Arial" w:hAnsi="Arial" w:cs="Arial"/>
                <w:sz w:val="24"/>
                <w:szCs w:val="24"/>
              </w:rPr>
              <w:t>(</w:t>
            </w:r>
            <w:r w:rsidRPr="00A233A2">
              <w:rPr>
                <w:rFonts w:ascii="Arial" w:hAnsi="Arial" w:cs="Arial"/>
                <w:sz w:val="24"/>
                <w:szCs w:val="24"/>
              </w:rPr>
              <w:t>N</w:t>
            </w:r>
            <w:r>
              <w:rPr>
                <w:rFonts w:ascii="Arial" w:hAnsi="Arial" w:cs="Arial"/>
                <w:sz w:val="24"/>
                <w:szCs w:val="24"/>
              </w:rPr>
              <w:t>)</w:t>
            </w:r>
          </w:p>
        </w:tc>
        <w:tc>
          <w:tcPr>
            <w:tcW w:w="960" w:type="dxa"/>
            <w:noWrap/>
            <w:hideMark/>
          </w:tcPr>
          <w:p w14:paraId="17098EE9"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2.1</w:t>
            </w:r>
          </w:p>
        </w:tc>
        <w:tc>
          <w:tcPr>
            <w:tcW w:w="960" w:type="dxa"/>
            <w:noWrap/>
            <w:hideMark/>
          </w:tcPr>
          <w:p w14:paraId="64BC3911"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8.6</w:t>
            </w:r>
          </w:p>
        </w:tc>
        <w:tc>
          <w:tcPr>
            <w:tcW w:w="960" w:type="dxa"/>
            <w:noWrap/>
            <w:hideMark/>
          </w:tcPr>
          <w:p w14:paraId="23E62967"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4.0</w:t>
            </w:r>
          </w:p>
        </w:tc>
        <w:tc>
          <w:tcPr>
            <w:tcW w:w="960" w:type="dxa"/>
            <w:noWrap/>
            <w:hideMark/>
          </w:tcPr>
          <w:p w14:paraId="4FCF214B"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100+</w:t>
            </w:r>
          </w:p>
        </w:tc>
        <w:tc>
          <w:tcPr>
            <w:tcW w:w="1040" w:type="dxa"/>
            <w:noWrap/>
            <w:hideMark/>
          </w:tcPr>
          <w:p w14:paraId="583D2205"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100+</w:t>
            </w:r>
          </w:p>
        </w:tc>
        <w:tc>
          <w:tcPr>
            <w:tcW w:w="960" w:type="dxa"/>
            <w:noWrap/>
            <w:hideMark/>
          </w:tcPr>
          <w:p w14:paraId="3C4F099C" w14:textId="77777777" w:rsidR="002A0BD5" w:rsidRPr="00A233A2" w:rsidRDefault="002A0BD5" w:rsidP="00BC2DE4">
            <w:pPr>
              <w:pStyle w:val="NoSpacing"/>
              <w:jc w:val="both"/>
              <w:rPr>
                <w:rFonts w:ascii="Arial" w:hAnsi="Arial" w:cs="Arial"/>
                <w:sz w:val="24"/>
                <w:szCs w:val="24"/>
              </w:rPr>
            </w:pPr>
            <w:r w:rsidRPr="00A233A2">
              <w:rPr>
                <w:rFonts w:ascii="Arial" w:hAnsi="Arial" w:cs="Arial"/>
                <w:sz w:val="24"/>
                <w:szCs w:val="24"/>
              </w:rPr>
              <w:t>4.2</w:t>
            </w:r>
          </w:p>
        </w:tc>
      </w:tr>
    </w:tbl>
    <w:p w14:paraId="42A415BF" w14:textId="77777777" w:rsidR="002A0BD5" w:rsidRDefault="002A0BD5" w:rsidP="002A0BD5">
      <w:pPr>
        <w:pStyle w:val="NoSpacing"/>
        <w:jc w:val="both"/>
        <w:rPr>
          <w:rFonts w:ascii="Arial" w:hAnsi="Arial" w:cs="Arial"/>
          <w:sz w:val="24"/>
          <w:szCs w:val="24"/>
        </w:rPr>
      </w:pPr>
    </w:p>
    <w:p w14:paraId="2BE3094B" w14:textId="720C2146" w:rsidR="002A0BD5" w:rsidRDefault="002A0BD5" w:rsidP="00BC508C">
      <w:pPr>
        <w:pStyle w:val="NoSpacing"/>
        <w:ind w:left="720" w:hanging="153"/>
        <w:jc w:val="both"/>
        <w:rPr>
          <w:rFonts w:ascii="Arial" w:hAnsi="Arial" w:cs="Arial"/>
          <w:i/>
          <w:iCs/>
          <w:sz w:val="24"/>
          <w:szCs w:val="24"/>
        </w:rPr>
      </w:pPr>
      <w:r w:rsidRPr="00851262">
        <w:rPr>
          <w:rFonts w:ascii="Arial" w:hAnsi="Arial" w:cs="Arial"/>
          <w:i/>
          <w:iCs/>
          <w:sz w:val="24"/>
          <w:szCs w:val="24"/>
        </w:rPr>
        <w:t>Waiting times for properties are also above Kings Norton South ward.</w:t>
      </w:r>
    </w:p>
    <w:p w14:paraId="3FE851F8" w14:textId="77777777" w:rsidR="002A0BD5" w:rsidRDefault="002A0BD5" w:rsidP="002A0BD5">
      <w:pPr>
        <w:pStyle w:val="NoSpacing"/>
        <w:jc w:val="both"/>
        <w:rPr>
          <w:rFonts w:ascii="Arial" w:hAnsi="Arial" w:cs="Arial"/>
          <w:i/>
          <w:iCs/>
          <w:sz w:val="24"/>
          <w:szCs w:val="24"/>
        </w:rPr>
      </w:pPr>
    </w:p>
    <w:p w14:paraId="4E9D7B1F" w14:textId="7C953914" w:rsidR="002A0BD5" w:rsidRDefault="002A0BD5" w:rsidP="00BC508C">
      <w:pPr>
        <w:pStyle w:val="NoSpacing"/>
        <w:numPr>
          <w:ilvl w:val="1"/>
          <w:numId w:val="3"/>
        </w:numPr>
        <w:jc w:val="both"/>
        <w:rPr>
          <w:rFonts w:ascii="Arial" w:hAnsi="Arial" w:cs="Arial"/>
          <w:sz w:val="24"/>
          <w:szCs w:val="24"/>
        </w:rPr>
      </w:pPr>
      <w:r>
        <w:rPr>
          <w:rFonts w:ascii="Arial" w:hAnsi="Arial" w:cs="Arial"/>
          <w:sz w:val="24"/>
          <w:szCs w:val="24"/>
        </w:rPr>
        <w:t>This data demonstrates that while the Primrose development has gone some way to meet local demand the</w:t>
      </w:r>
      <w:r w:rsidR="002F65A4">
        <w:rPr>
          <w:rFonts w:ascii="Arial" w:hAnsi="Arial" w:cs="Arial"/>
          <w:sz w:val="24"/>
          <w:szCs w:val="24"/>
        </w:rPr>
        <w:t>re</w:t>
      </w:r>
      <w:r>
        <w:rPr>
          <w:rFonts w:ascii="Arial" w:hAnsi="Arial" w:cs="Arial"/>
          <w:sz w:val="24"/>
          <w:szCs w:val="24"/>
        </w:rPr>
        <w:t xml:space="preserve"> is still demand in the wider King Norton area for accommodation and in particular large family homes. </w:t>
      </w:r>
    </w:p>
    <w:p w14:paraId="0A8940E9" w14:textId="77777777" w:rsidR="002A0BD5" w:rsidRDefault="002A0BD5" w:rsidP="002A0BD5">
      <w:pPr>
        <w:pStyle w:val="NoSpacing"/>
        <w:jc w:val="both"/>
        <w:rPr>
          <w:rFonts w:ascii="Arial" w:hAnsi="Arial" w:cs="Arial"/>
          <w:sz w:val="24"/>
          <w:szCs w:val="24"/>
        </w:rPr>
      </w:pPr>
    </w:p>
    <w:p w14:paraId="4E8BECA8" w14:textId="7462BDE2" w:rsidR="002A0BD5" w:rsidRPr="00F93042" w:rsidRDefault="002A0BD5" w:rsidP="00BC508C">
      <w:pPr>
        <w:pStyle w:val="NoSpacing"/>
        <w:numPr>
          <w:ilvl w:val="1"/>
          <w:numId w:val="3"/>
        </w:numPr>
        <w:ind w:left="567" w:hanging="567"/>
        <w:jc w:val="both"/>
        <w:rPr>
          <w:rFonts w:ascii="Arial" w:hAnsi="Arial" w:cs="Arial"/>
          <w:sz w:val="24"/>
          <w:szCs w:val="24"/>
        </w:rPr>
      </w:pPr>
      <w:r>
        <w:rPr>
          <w:rFonts w:ascii="Arial" w:hAnsi="Arial" w:cs="Arial"/>
          <w:sz w:val="24"/>
          <w:szCs w:val="24"/>
        </w:rPr>
        <w:t>T</w:t>
      </w:r>
      <w:r w:rsidRPr="00F93042">
        <w:rPr>
          <w:rFonts w:ascii="Arial" w:hAnsi="Arial" w:cs="Arial"/>
          <w:sz w:val="24"/>
          <w:szCs w:val="24"/>
        </w:rPr>
        <w:t xml:space="preserve">o help support the housing need, as stated in </w:t>
      </w:r>
      <w:r>
        <w:rPr>
          <w:rFonts w:ascii="Arial" w:hAnsi="Arial" w:cs="Arial"/>
          <w:sz w:val="24"/>
          <w:szCs w:val="24"/>
        </w:rPr>
        <w:t xml:space="preserve">the above tables </w:t>
      </w:r>
      <w:r w:rsidRPr="00F93042">
        <w:rPr>
          <w:rFonts w:ascii="Arial" w:hAnsi="Arial" w:cs="Arial"/>
          <w:sz w:val="24"/>
          <w:szCs w:val="24"/>
        </w:rPr>
        <w:t xml:space="preserve">the Council (via BMHT) </w:t>
      </w:r>
      <w:r>
        <w:rPr>
          <w:rFonts w:ascii="Arial" w:hAnsi="Arial" w:cs="Arial"/>
          <w:sz w:val="24"/>
          <w:szCs w:val="24"/>
        </w:rPr>
        <w:t xml:space="preserve">has submitted two planning applications consisting of a full application for the Gildas Avenue, Bentmead Grove and Barratts Road area - Planning application reference: 2020/08312/PA and an outline application for the Hillmeads Road and Shannon Road areas - Planning application reference: 2020/08270/PA for </w:t>
      </w:r>
      <w:r w:rsidRPr="00F93042">
        <w:rPr>
          <w:rFonts w:ascii="Arial" w:hAnsi="Arial" w:cs="Arial"/>
          <w:sz w:val="24"/>
          <w:szCs w:val="24"/>
        </w:rPr>
        <w:t xml:space="preserve">new homes </w:t>
      </w:r>
      <w:r>
        <w:rPr>
          <w:rFonts w:ascii="Arial" w:hAnsi="Arial" w:cs="Arial"/>
          <w:sz w:val="24"/>
          <w:szCs w:val="24"/>
        </w:rPr>
        <w:t xml:space="preserve">to be built on the </w:t>
      </w:r>
      <w:r w:rsidRPr="00F93042">
        <w:rPr>
          <w:rFonts w:ascii="Arial" w:hAnsi="Arial" w:cs="Arial"/>
          <w:sz w:val="24"/>
          <w:szCs w:val="24"/>
        </w:rPr>
        <w:t>Order Land</w:t>
      </w:r>
      <w:r>
        <w:rPr>
          <w:rFonts w:ascii="Arial" w:hAnsi="Arial" w:cs="Arial"/>
          <w:sz w:val="24"/>
          <w:szCs w:val="24"/>
        </w:rPr>
        <w:t xml:space="preserve">. The applications were approved by Planning Committee on 4 March 2021. </w:t>
      </w:r>
      <w:r w:rsidRPr="00F93042">
        <w:rPr>
          <w:rFonts w:ascii="Arial" w:hAnsi="Arial" w:cs="Arial"/>
          <w:sz w:val="24"/>
          <w:szCs w:val="24"/>
        </w:rPr>
        <w:t xml:space="preserve">The development is summarised in </w:t>
      </w:r>
      <w:r w:rsidR="00E6124D" w:rsidRPr="00F93042">
        <w:rPr>
          <w:rFonts w:ascii="Arial" w:hAnsi="Arial" w:cs="Arial"/>
          <w:sz w:val="24"/>
          <w:szCs w:val="24"/>
        </w:rPr>
        <w:t xml:space="preserve">the </w:t>
      </w:r>
      <w:r w:rsidR="00E6124D">
        <w:rPr>
          <w:rFonts w:ascii="Arial" w:hAnsi="Arial" w:cs="Arial"/>
          <w:sz w:val="24"/>
          <w:szCs w:val="24"/>
        </w:rPr>
        <w:t>table</w:t>
      </w:r>
      <w:r>
        <w:rPr>
          <w:rFonts w:ascii="Arial" w:hAnsi="Arial" w:cs="Arial"/>
          <w:sz w:val="24"/>
          <w:szCs w:val="24"/>
        </w:rPr>
        <w:t xml:space="preserve"> </w:t>
      </w:r>
      <w:r w:rsidR="00C82C1D" w:rsidRPr="00F93042">
        <w:rPr>
          <w:rFonts w:ascii="Arial" w:hAnsi="Arial" w:cs="Arial"/>
          <w:sz w:val="24"/>
          <w:szCs w:val="24"/>
        </w:rPr>
        <w:t>below and</w:t>
      </w:r>
      <w:r w:rsidRPr="00F93042">
        <w:rPr>
          <w:rFonts w:ascii="Arial" w:hAnsi="Arial" w:cs="Arial"/>
          <w:sz w:val="24"/>
          <w:szCs w:val="24"/>
        </w:rPr>
        <w:t xml:space="preserve"> comprises </w:t>
      </w:r>
      <w:r w:rsidR="00C82C1D">
        <w:rPr>
          <w:rFonts w:ascii="Arial" w:hAnsi="Arial" w:cs="Arial"/>
          <w:sz w:val="24"/>
          <w:szCs w:val="24"/>
        </w:rPr>
        <w:t>a mix of property sizes including l</w:t>
      </w:r>
      <w:r w:rsidRPr="00F93042">
        <w:rPr>
          <w:rFonts w:ascii="Arial" w:hAnsi="Arial" w:cs="Arial"/>
          <w:sz w:val="24"/>
          <w:szCs w:val="24"/>
        </w:rPr>
        <w:t xml:space="preserve">arger family houses to support the need in the local area.  </w:t>
      </w:r>
    </w:p>
    <w:p w14:paraId="6902C3D8" w14:textId="77777777" w:rsidR="002A0BD5" w:rsidRDefault="002A0BD5" w:rsidP="002A0BD5">
      <w:pPr>
        <w:pStyle w:val="NoSpacing"/>
        <w:jc w:val="both"/>
        <w:rPr>
          <w:rFonts w:ascii="Arial" w:hAnsi="Arial" w:cs="Arial"/>
          <w:sz w:val="24"/>
          <w:szCs w:val="24"/>
        </w:rPr>
      </w:pPr>
    </w:p>
    <w:p w14:paraId="2BD2918B" w14:textId="77777777" w:rsidR="002A0BD5" w:rsidRPr="00D17743" w:rsidRDefault="002A0BD5" w:rsidP="002A0BD5">
      <w:pPr>
        <w:pStyle w:val="Default"/>
        <w:ind w:left="540"/>
        <w:jc w:val="both"/>
        <w:rPr>
          <w:u w:val="single"/>
        </w:rPr>
      </w:pPr>
      <w:r w:rsidRPr="00D17743">
        <w:rPr>
          <w:u w:val="single"/>
        </w:rPr>
        <w:t xml:space="preserve">Accommodation Schedule </w:t>
      </w:r>
      <w:r>
        <w:rPr>
          <w:u w:val="single"/>
        </w:rPr>
        <w:t>– Gildas Avenue/Bentmead Grove/Barratts Road for Rent</w:t>
      </w:r>
    </w:p>
    <w:p w14:paraId="48265497" w14:textId="77777777" w:rsidR="002A0BD5" w:rsidRDefault="002A0BD5" w:rsidP="002A0BD5">
      <w:pPr>
        <w:pStyle w:val="Default"/>
        <w:jc w:val="both"/>
        <w:rPr>
          <w:sz w:val="23"/>
          <w:szCs w:val="23"/>
        </w:rPr>
      </w:pPr>
    </w:p>
    <w:tbl>
      <w:tblPr>
        <w:tblpPr w:leftFromText="180" w:rightFromText="180" w:vertAnchor="text" w:horzAnchor="page" w:tblpX="1966"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commodation Schedule – Gildas Avenue/Bentmead Grove/Barratts Road for Rent"/>
        <w:tblDescription w:val="Shows the numbers of 2,3,4 and 5 bed room huoses being provided in the new development for rent"/>
      </w:tblPr>
      <w:tblGrid>
        <w:gridCol w:w="1830"/>
        <w:gridCol w:w="8"/>
        <w:gridCol w:w="2098"/>
        <w:gridCol w:w="28"/>
        <w:gridCol w:w="4536"/>
      </w:tblGrid>
      <w:tr w:rsidR="002A0BD5" w:rsidRPr="003A6590" w14:paraId="4798CE2A" w14:textId="77777777" w:rsidTr="008543EE">
        <w:trPr>
          <w:tblHeader/>
        </w:trPr>
        <w:tc>
          <w:tcPr>
            <w:tcW w:w="1838" w:type="dxa"/>
            <w:gridSpan w:val="2"/>
            <w:shd w:val="clear" w:color="auto" w:fill="auto"/>
          </w:tcPr>
          <w:p w14:paraId="01880F8F" w14:textId="77777777" w:rsidR="002A0BD5" w:rsidRPr="007F1D16" w:rsidRDefault="002A0BD5" w:rsidP="008543EE">
            <w:pPr>
              <w:pStyle w:val="Default"/>
              <w:jc w:val="both"/>
            </w:pPr>
            <w:r w:rsidRPr="007F1D16">
              <w:t>Dwelling Type</w:t>
            </w:r>
          </w:p>
        </w:tc>
        <w:tc>
          <w:tcPr>
            <w:tcW w:w="2098" w:type="dxa"/>
            <w:shd w:val="clear" w:color="auto" w:fill="auto"/>
          </w:tcPr>
          <w:p w14:paraId="5BC9873C" w14:textId="77777777" w:rsidR="002A0BD5" w:rsidRPr="007F1D16" w:rsidRDefault="002A0BD5" w:rsidP="008543EE">
            <w:pPr>
              <w:pStyle w:val="Default"/>
              <w:jc w:val="both"/>
            </w:pPr>
            <w:r w:rsidRPr="007F1D16">
              <w:t>No. of Bedrooms</w:t>
            </w:r>
          </w:p>
        </w:tc>
        <w:tc>
          <w:tcPr>
            <w:tcW w:w="4564" w:type="dxa"/>
            <w:gridSpan w:val="2"/>
            <w:shd w:val="clear" w:color="auto" w:fill="auto"/>
          </w:tcPr>
          <w:p w14:paraId="5D560208" w14:textId="77777777" w:rsidR="002A0BD5" w:rsidRPr="007F1D16" w:rsidRDefault="002A0BD5" w:rsidP="008543EE">
            <w:pPr>
              <w:pStyle w:val="Default"/>
              <w:jc w:val="both"/>
            </w:pPr>
            <w:r w:rsidRPr="007F1D16">
              <w:t>Total Number</w:t>
            </w:r>
          </w:p>
        </w:tc>
      </w:tr>
      <w:tr w:rsidR="002A0BD5" w:rsidRPr="003A6590" w14:paraId="3B98B32A" w14:textId="77777777" w:rsidTr="008543EE">
        <w:tc>
          <w:tcPr>
            <w:tcW w:w="1838" w:type="dxa"/>
            <w:gridSpan w:val="2"/>
            <w:shd w:val="clear" w:color="auto" w:fill="auto"/>
          </w:tcPr>
          <w:p w14:paraId="4C29F241" w14:textId="77777777" w:rsidR="002A0BD5" w:rsidRPr="007F1D16" w:rsidRDefault="002A0BD5" w:rsidP="008543EE">
            <w:pPr>
              <w:pStyle w:val="Default"/>
              <w:jc w:val="both"/>
            </w:pPr>
            <w:r w:rsidRPr="007F1D16">
              <w:t xml:space="preserve">House </w:t>
            </w:r>
          </w:p>
        </w:tc>
        <w:tc>
          <w:tcPr>
            <w:tcW w:w="2098" w:type="dxa"/>
            <w:shd w:val="clear" w:color="auto" w:fill="auto"/>
          </w:tcPr>
          <w:p w14:paraId="003F8F05" w14:textId="77777777" w:rsidR="002A0BD5" w:rsidRPr="007F1D16" w:rsidRDefault="002A0BD5" w:rsidP="008543EE">
            <w:pPr>
              <w:pStyle w:val="Default"/>
              <w:jc w:val="both"/>
            </w:pPr>
            <w:r w:rsidRPr="007F1D16">
              <w:t xml:space="preserve">2 Bed </w:t>
            </w:r>
            <w:r>
              <w:t>(</w:t>
            </w:r>
            <w:r w:rsidRPr="007F1D16">
              <w:t>4 Person</w:t>
            </w:r>
            <w:r>
              <w:t>)</w:t>
            </w:r>
          </w:p>
        </w:tc>
        <w:tc>
          <w:tcPr>
            <w:tcW w:w="4564" w:type="dxa"/>
            <w:gridSpan w:val="2"/>
            <w:shd w:val="clear" w:color="auto" w:fill="auto"/>
          </w:tcPr>
          <w:p w14:paraId="215E5968" w14:textId="77777777" w:rsidR="002A0BD5" w:rsidRPr="007F1D16" w:rsidRDefault="002A0BD5" w:rsidP="008543EE">
            <w:pPr>
              <w:pStyle w:val="Default"/>
              <w:jc w:val="both"/>
            </w:pPr>
            <w:r>
              <w:t>61</w:t>
            </w:r>
          </w:p>
        </w:tc>
      </w:tr>
      <w:tr w:rsidR="002A0BD5" w:rsidRPr="003A6590" w14:paraId="7B60EF75" w14:textId="77777777" w:rsidTr="008543EE">
        <w:tc>
          <w:tcPr>
            <w:tcW w:w="1838" w:type="dxa"/>
            <w:gridSpan w:val="2"/>
            <w:shd w:val="clear" w:color="auto" w:fill="auto"/>
          </w:tcPr>
          <w:p w14:paraId="6C1E25F3" w14:textId="77777777" w:rsidR="002A0BD5" w:rsidRPr="007F1D16" w:rsidRDefault="002A0BD5" w:rsidP="008543EE">
            <w:pPr>
              <w:pStyle w:val="Default"/>
              <w:jc w:val="both"/>
            </w:pPr>
            <w:r w:rsidRPr="007F1D16">
              <w:t>House</w:t>
            </w:r>
          </w:p>
        </w:tc>
        <w:tc>
          <w:tcPr>
            <w:tcW w:w="2098" w:type="dxa"/>
            <w:shd w:val="clear" w:color="auto" w:fill="auto"/>
          </w:tcPr>
          <w:p w14:paraId="5BA2D75B" w14:textId="77777777" w:rsidR="002A0BD5" w:rsidRPr="007F1D16" w:rsidRDefault="002A0BD5" w:rsidP="008543EE">
            <w:pPr>
              <w:pStyle w:val="Default"/>
              <w:jc w:val="both"/>
            </w:pPr>
            <w:r>
              <w:t>3 Bed (</w:t>
            </w:r>
            <w:r w:rsidRPr="007F1D16">
              <w:t>5 Person</w:t>
            </w:r>
            <w:r>
              <w:t>)</w:t>
            </w:r>
          </w:p>
        </w:tc>
        <w:tc>
          <w:tcPr>
            <w:tcW w:w="4564" w:type="dxa"/>
            <w:gridSpan w:val="2"/>
            <w:shd w:val="clear" w:color="auto" w:fill="auto"/>
          </w:tcPr>
          <w:p w14:paraId="112CB679" w14:textId="77777777" w:rsidR="002A0BD5" w:rsidRPr="007F1D16" w:rsidRDefault="002A0BD5" w:rsidP="008543EE">
            <w:pPr>
              <w:pStyle w:val="Default"/>
              <w:jc w:val="both"/>
            </w:pPr>
            <w:r>
              <w:t>25</w:t>
            </w:r>
          </w:p>
        </w:tc>
      </w:tr>
      <w:tr w:rsidR="002A0BD5" w:rsidRPr="003A6590" w14:paraId="78C688A6" w14:textId="77777777" w:rsidTr="008543EE">
        <w:tc>
          <w:tcPr>
            <w:tcW w:w="1838" w:type="dxa"/>
            <w:gridSpan w:val="2"/>
            <w:shd w:val="clear" w:color="auto" w:fill="auto"/>
          </w:tcPr>
          <w:p w14:paraId="50CF61DA" w14:textId="77777777" w:rsidR="002A0BD5" w:rsidRPr="007F1D16" w:rsidRDefault="002A0BD5" w:rsidP="008543EE">
            <w:pPr>
              <w:pStyle w:val="Default"/>
              <w:jc w:val="both"/>
            </w:pPr>
            <w:r w:rsidRPr="007F1D16">
              <w:t>House</w:t>
            </w:r>
          </w:p>
        </w:tc>
        <w:tc>
          <w:tcPr>
            <w:tcW w:w="2098" w:type="dxa"/>
            <w:shd w:val="clear" w:color="auto" w:fill="auto"/>
          </w:tcPr>
          <w:p w14:paraId="3EE9B5E5" w14:textId="77777777" w:rsidR="002A0BD5" w:rsidRPr="007F1D16" w:rsidRDefault="002A0BD5" w:rsidP="008543EE">
            <w:pPr>
              <w:pStyle w:val="Default"/>
              <w:jc w:val="both"/>
            </w:pPr>
            <w:r w:rsidRPr="007F1D16">
              <w:t xml:space="preserve">4 Bed </w:t>
            </w:r>
            <w:r>
              <w:t>(</w:t>
            </w:r>
            <w:r w:rsidRPr="007F1D16">
              <w:t>7 Person</w:t>
            </w:r>
            <w:r>
              <w:t>)</w:t>
            </w:r>
          </w:p>
        </w:tc>
        <w:tc>
          <w:tcPr>
            <w:tcW w:w="4564" w:type="dxa"/>
            <w:gridSpan w:val="2"/>
            <w:shd w:val="clear" w:color="auto" w:fill="auto"/>
          </w:tcPr>
          <w:p w14:paraId="26F3F9E5" w14:textId="77777777" w:rsidR="002A0BD5" w:rsidRPr="007F1D16" w:rsidRDefault="002A0BD5" w:rsidP="008543EE">
            <w:pPr>
              <w:pStyle w:val="Default"/>
              <w:jc w:val="both"/>
            </w:pPr>
            <w:r>
              <w:t>24</w:t>
            </w:r>
          </w:p>
        </w:tc>
      </w:tr>
      <w:tr w:rsidR="002A0BD5" w:rsidRPr="003A6590" w14:paraId="326965D5" w14:textId="77777777" w:rsidTr="008543EE">
        <w:tc>
          <w:tcPr>
            <w:tcW w:w="1838" w:type="dxa"/>
            <w:gridSpan w:val="2"/>
            <w:shd w:val="clear" w:color="auto" w:fill="auto"/>
          </w:tcPr>
          <w:p w14:paraId="73754CED" w14:textId="77777777" w:rsidR="002A0BD5" w:rsidRPr="007F1D16" w:rsidRDefault="002A0BD5" w:rsidP="008543EE">
            <w:pPr>
              <w:pStyle w:val="Default"/>
              <w:jc w:val="both"/>
            </w:pPr>
            <w:r w:rsidRPr="007F1D16">
              <w:t>House</w:t>
            </w:r>
          </w:p>
        </w:tc>
        <w:tc>
          <w:tcPr>
            <w:tcW w:w="2098" w:type="dxa"/>
            <w:shd w:val="clear" w:color="auto" w:fill="auto"/>
          </w:tcPr>
          <w:p w14:paraId="76150D6A" w14:textId="77777777" w:rsidR="002A0BD5" w:rsidRPr="007F1D16" w:rsidRDefault="002A0BD5" w:rsidP="008543EE">
            <w:pPr>
              <w:pStyle w:val="Default"/>
              <w:jc w:val="both"/>
            </w:pPr>
            <w:r w:rsidRPr="007F1D16">
              <w:t xml:space="preserve">5 Bed </w:t>
            </w:r>
            <w:r>
              <w:t>(</w:t>
            </w:r>
            <w:r w:rsidRPr="007F1D16">
              <w:t>8 Person</w:t>
            </w:r>
            <w:r>
              <w:t>)</w:t>
            </w:r>
          </w:p>
        </w:tc>
        <w:tc>
          <w:tcPr>
            <w:tcW w:w="4564" w:type="dxa"/>
            <w:gridSpan w:val="2"/>
            <w:shd w:val="clear" w:color="auto" w:fill="auto"/>
          </w:tcPr>
          <w:p w14:paraId="20B09C50" w14:textId="77777777" w:rsidR="002A0BD5" w:rsidRPr="007F1D16" w:rsidRDefault="002A0BD5" w:rsidP="008543EE">
            <w:pPr>
              <w:pStyle w:val="Default"/>
              <w:jc w:val="both"/>
            </w:pPr>
            <w:r w:rsidRPr="007F1D16">
              <w:t>07</w:t>
            </w:r>
          </w:p>
        </w:tc>
      </w:tr>
      <w:tr w:rsidR="008543EE" w:rsidRPr="003A6590" w14:paraId="793CB36F" w14:textId="77777777" w:rsidTr="008543EE">
        <w:tc>
          <w:tcPr>
            <w:tcW w:w="1830" w:type="dxa"/>
            <w:shd w:val="clear" w:color="auto" w:fill="auto"/>
          </w:tcPr>
          <w:p w14:paraId="6085828F" w14:textId="77777777" w:rsidR="00B957B9" w:rsidRDefault="008543EE" w:rsidP="008543EE">
            <w:pPr>
              <w:pStyle w:val="Default"/>
              <w:jc w:val="both"/>
            </w:pPr>
            <w:r>
              <w:t>Houses</w:t>
            </w:r>
          </w:p>
          <w:p w14:paraId="4D2DE38E" w14:textId="747FA90E" w:rsidR="008543EE" w:rsidRDefault="008543EE" w:rsidP="008543EE">
            <w:pPr>
              <w:pStyle w:val="Default"/>
              <w:jc w:val="both"/>
            </w:pPr>
            <w:r w:rsidRPr="007F1D16">
              <w:t>Total</w:t>
            </w:r>
          </w:p>
          <w:p w14:paraId="10745BC5" w14:textId="5512CC21" w:rsidR="00B957B9" w:rsidRPr="007F1D16" w:rsidRDefault="00B957B9" w:rsidP="008543EE">
            <w:pPr>
              <w:pStyle w:val="Default"/>
              <w:jc w:val="both"/>
            </w:pPr>
          </w:p>
        </w:tc>
        <w:tc>
          <w:tcPr>
            <w:tcW w:w="2134" w:type="dxa"/>
            <w:gridSpan w:val="3"/>
            <w:shd w:val="clear" w:color="auto" w:fill="auto"/>
          </w:tcPr>
          <w:p w14:paraId="2DB521EB" w14:textId="77777777" w:rsidR="008543EE" w:rsidRPr="007F1D16" w:rsidRDefault="008543EE" w:rsidP="008543EE">
            <w:pPr>
              <w:pStyle w:val="Default"/>
              <w:jc w:val="both"/>
            </w:pPr>
          </w:p>
        </w:tc>
        <w:tc>
          <w:tcPr>
            <w:tcW w:w="4536" w:type="dxa"/>
            <w:shd w:val="clear" w:color="auto" w:fill="auto"/>
          </w:tcPr>
          <w:p w14:paraId="5AF161AB" w14:textId="72F7F669" w:rsidR="008543EE" w:rsidRPr="007F1D16" w:rsidRDefault="008543EE" w:rsidP="008543EE">
            <w:pPr>
              <w:pStyle w:val="Default"/>
              <w:ind w:right="-103" w:hanging="111"/>
              <w:jc w:val="both"/>
            </w:pPr>
            <w:r>
              <w:t>117</w:t>
            </w:r>
          </w:p>
        </w:tc>
      </w:tr>
    </w:tbl>
    <w:p w14:paraId="28BCB31E" w14:textId="2DA380B1" w:rsidR="00F15F58" w:rsidRDefault="00F15F58" w:rsidP="002A0BD5">
      <w:pPr>
        <w:pStyle w:val="Default"/>
        <w:jc w:val="both"/>
        <w:rPr>
          <w:sz w:val="23"/>
          <w:szCs w:val="23"/>
        </w:rPr>
      </w:pPr>
    </w:p>
    <w:p w14:paraId="748CC277" w14:textId="77777777" w:rsidR="00F15F58" w:rsidRDefault="00F15F58">
      <w:pPr>
        <w:rPr>
          <w:rFonts w:ascii="Arial" w:hAnsi="Arial" w:cs="Arial"/>
          <w:color w:val="000000"/>
          <w:sz w:val="23"/>
          <w:szCs w:val="23"/>
          <w:lang w:eastAsia="en-GB"/>
        </w:rPr>
      </w:pPr>
      <w:r>
        <w:rPr>
          <w:sz w:val="23"/>
          <w:szCs w:val="23"/>
        </w:rPr>
        <w:br w:type="page"/>
      </w:r>
    </w:p>
    <w:p w14:paraId="5D0F24BE" w14:textId="77777777" w:rsidR="002A0BD5" w:rsidRDefault="002A0BD5" w:rsidP="002A0BD5">
      <w:pPr>
        <w:pStyle w:val="NoSpacing"/>
        <w:jc w:val="both"/>
        <w:rPr>
          <w:sz w:val="23"/>
          <w:szCs w:val="23"/>
        </w:rPr>
      </w:pPr>
    </w:p>
    <w:p w14:paraId="1A35663F" w14:textId="77777777" w:rsidR="002A0BD5" w:rsidRPr="005150AC" w:rsidRDefault="002A0BD5" w:rsidP="002A0BD5">
      <w:pPr>
        <w:pStyle w:val="Default"/>
        <w:ind w:left="-284"/>
        <w:jc w:val="both"/>
        <w:rPr>
          <w:u w:val="single"/>
        </w:rPr>
      </w:pPr>
      <w:r>
        <w:rPr>
          <w:sz w:val="23"/>
          <w:szCs w:val="23"/>
        </w:rPr>
        <w:tab/>
        <w:t xml:space="preserve">       </w:t>
      </w:r>
      <w:r w:rsidRPr="005150AC">
        <w:rPr>
          <w:u w:val="single"/>
        </w:rPr>
        <w:t xml:space="preserve">Accommodation Schedule – Hillmeads Road/Shannon Road for Rent </w:t>
      </w:r>
    </w:p>
    <w:p w14:paraId="0DA0458C" w14:textId="77777777" w:rsidR="002A0BD5" w:rsidRDefault="002A0BD5" w:rsidP="002A0BD5">
      <w:pPr>
        <w:pStyle w:val="Default"/>
        <w:jc w:val="both"/>
        <w:rPr>
          <w:sz w:val="23"/>
          <w:szCs w:val="23"/>
        </w:rPr>
      </w:pPr>
    </w:p>
    <w:tbl>
      <w:tblPr>
        <w:tblpPr w:leftFromText="180" w:rightFromText="180" w:vertAnchor="text" w:horzAnchor="page" w:tblpX="1966"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Accommodation Schedule – Hillmeads Road/Shannon Road for Rent "/>
        <w:tblDescription w:val="Mix of housing types to be provided for rent "/>
      </w:tblPr>
      <w:tblGrid>
        <w:gridCol w:w="1840"/>
        <w:gridCol w:w="2098"/>
        <w:gridCol w:w="26"/>
        <w:gridCol w:w="4113"/>
      </w:tblGrid>
      <w:tr w:rsidR="002A0BD5" w:rsidRPr="003A6590" w14:paraId="07583617" w14:textId="77777777" w:rsidTr="008543EE">
        <w:trPr>
          <w:tblHeader/>
        </w:trPr>
        <w:tc>
          <w:tcPr>
            <w:tcW w:w="1840" w:type="dxa"/>
            <w:shd w:val="clear" w:color="auto" w:fill="auto"/>
          </w:tcPr>
          <w:p w14:paraId="5898CA59" w14:textId="77777777" w:rsidR="002A0BD5" w:rsidRPr="007F1D16" w:rsidRDefault="002A0BD5" w:rsidP="008543EE">
            <w:pPr>
              <w:pStyle w:val="Default"/>
              <w:jc w:val="both"/>
            </w:pPr>
            <w:r w:rsidRPr="007F1D16">
              <w:t>Dwelling Type</w:t>
            </w:r>
          </w:p>
        </w:tc>
        <w:tc>
          <w:tcPr>
            <w:tcW w:w="2098" w:type="dxa"/>
            <w:shd w:val="clear" w:color="auto" w:fill="auto"/>
          </w:tcPr>
          <w:p w14:paraId="7897A4E6" w14:textId="77777777" w:rsidR="002A0BD5" w:rsidRPr="007F1D16" w:rsidRDefault="002A0BD5" w:rsidP="008543EE">
            <w:pPr>
              <w:pStyle w:val="Default"/>
              <w:jc w:val="both"/>
            </w:pPr>
            <w:r w:rsidRPr="007F1D16">
              <w:t>No. of Bedrooms</w:t>
            </w:r>
          </w:p>
        </w:tc>
        <w:tc>
          <w:tcPr>
            <w:tcW w:w="4139" w:type="dxa"/>
            <w:gridSpan w:val="2"/>
            <w:shd w:val="clear" w:color="auto" w:fill="auto"/>
          </w:tcPr>
          <w:p w14:paraId="6C9E1353" w14:textId="77777777" w:rsidR="002A0BD5" w:rsidRPr="007F1D16" w:rsidRDefault="002A0BD5" w:rsidP="008543EE">
            <w:pPr>
              <w:pStyle w:val="Default"/>
              <w:jc w:val="both"/>
            </w:pPr>
            <w:r w:rsidRPr="007F1D16">
              <w:t>Total Number</w:t>
            </w:r>
          </w:p>
        </w:tc>
      </w:tr>
      <w:tr w:rsidR="002A0BD5" w:rsidRPr="003A6590" w14:paraId="4FD0055C" w14:textId="77777777" w:rsidTr="008543EE">
        <w:trPr>
          <w:tblHeader/>
        </w:trPr>
        <w:tc>
          <w:tcPr>
            <w:tcW w:w="1840" w:type="dxa"/>
            <w:shd w:val="clear" w:color="auto" w:fill="auto"/>
          </w:tcPr>
          <w:p w14:paraId="5E1FC939" w14:textId="77777777" w:rsidR="002A0BD5" w:rsidRPr="007F1D16" w:rsidRDefault="002A0BD5" w:rsidP="008543EE">
            <w:pPr>
              <w:pStyle w:val="Default"/>
              <w:jc w:val="both"/>
            </w:pPr>
            <w:r w:rsidRPr="007F1D16">
              <w:t xml:space="preserve">House </w:t>
            </w:r>
          </w:p>
        </w:tc>
        <w:tc>
          <w:tcPr>
            <w:tcW w:w="2098" w:type="dxa"/>
            <w:shd w:val="clear" w:color="auto" w:fill="auto"/>
          </w:tcPr>
          <w:p w14:paraId="04778ABE" w14:textId="77777777" w:rsidR="002A0BD5" w:rsidRPr="007F1D16" w:rsidRDefault="002A0BD5" w:rsidP="008543EE">
            <w:pPr>
              <w:pStyle w:val="Default"/>
              <w:jc w:val="both"/>
            </w:pPr>
            <w:r w:rsidRPr="007F1D16">
              <w:t xml:space="preserve">2 Bed </w:t>
            </w:r>
            <w:r>
              <w:t>(</w:t>
            </w:r>
            <w:r w:rsidRPr="007F1D16">
              <w:t>4 Person</w:t>
            </w:r>
            <w:r>
              <w:t>)</w:t>
            </w:r>
          </w:p>
        </w:tc>
        <w:tc>
          <w:tcPr>
            <w:tcW w:w="4139" w:type="dxa"/>
            <w:gridSpan w:val="2"/>
            <w:shd w:val="clear" w:color="auto" w:fill="auto"/>
          </w:tcPr>
          <w:p w14:paraId="7912583D" w14:textId="77777777" w:rsidR="002A0BD5" w:rsidRPr="007F1D16" w:rsidRDefault="002A0BD5" w:rsidP="008543EE">
            <w:pPr>
              <w:pStyle w:val="Default"/>
              <w:jc w:val="both"/>
            </w:pPr>
            <w:r>
              <w:t>5</w:t>
            </w:r>
          </w:p>
        </w:tc>
      </w:tr>
      <w:tr w:rsidR="002A0BD5" w:rsidRPr="003A6590" w14:paraId="03E85B16" w14:textId="77777777" w:rsidTr="008543EE">
        <w:trPr>
          <w:tblHeader/>
        </w:trPr>
        <w:tc>
          <w:tcPr>
            <w:tcW w:w="1840" w:type="dxa"/>
            <w:shd w:val="clear" w:color="auto" w:fill="auto"/>
          </w:tcPr>
          <w:p w14:paraId="7A6A7528" w14:textId="77777777" w:rsidR="002A0BD5" w:rsidRPr="007F1D16" w:rsidRDefault="002A0BD5" w:rsidP="008543EE">
            <w:pPr>
              <w:pStyle w:val="Default"/>
              <w:jc w:val="both"/>
            </w:pPr>
            <w:r w:rsidRPr="007F1D16">
              <w:t>House</w:t>
            </w:r>
          </w:p>
        </w:tc>
        <w:tc>
          <w:tcPr>
            <w:tcW w:w="2098" w:type="dxa"/>
            <w:shd w:val="clear" w:color="auto" w:fill="auto"/>
          </w:tcPr>
          <w:p w14:paraId="611D7E75" w14:textId="77777777" w:rsidR="002A0BD5" w:rsidRPr="007F1D16" w:rsidRDefault="002A0BD5" w:rsidP="008543EE">
            <w:pPr>
              <w:pStyle w:val="Default"/>
              <w:jc w:val="both"/>
            </w:pPr>
            <w:r>
              <w:t>5 Bed (8</w:t>
            </w:r>
            <w:r w:rsidRPr="007F1D16">
              <w:t xml:space="preserve"> Person</w:t>
            </w:r>
            <w:r>
              <w:t>)</w:t>
            </w:r>
          </w:p>
        </w:tc>
        <w:tc>
          <w:tcPr>
            <w:tcW w:w="4139" w:type="dxa"/>
            <w:gridSpan w:val="2"/>
            <w:shd w:val="clear" w:color="auto" w:fill="auto"/>
          </w:tcPr>
          <w:p w14:paraId="43894351" w14:textId="77777777" w:rsidR="002A0BD5" w:rsidRPr="007F1D16" w:rsidRDefault="002A0BD5" w:rsidP="008543EE">
            <w:pPr>
              <w:pStyle w:val="Default"/>
              <w:jc w:val="both"/>
            </w:pPr>
            <w:r>
              <w:t>1</w:t>
            </w:r>
          </w:p>
        </w:tc>
      </w:tr>
      <w:tr w:rsidR="002A0BD5" w:rsidRPr="003A6590" w14:paraId="309504CB" w14:textId="77777777" w:rsidTr="008543EE">
        <w:trPr>
          <w:tblHeader/>
        </w:trPr>
        <w:tc>
          <w:tcPr>
            <w:tcW w:w="1840" w:type="dxa"/>
            <w:shd w:val="clear" w:color="auto" w:fill="auto"/>
          </w:tcPr>
          <w:p w14:paraId="03FB1A9C" w14:textId="77777777" w:rsidR="002A0BD5" w:rsidRPr="007F1D16" w:rsidRDefault="002A0BD5" w:rsidP="008543EE">
            <w:pPr>
              <w:pStyle w:val="Default"/>
              <w:jc w:val="both"/>
            </w:pPr>
            <w:r>
              <w:t>Apartment</w:t>
            </w:r>
          </w:p>
        </w:tc>
        <w:tc>
          <w:tcPr>
            <w:tcW w:w="2098" w:type="dxa"/>
            <w:shd w:val="clear" w:color="auto" w:fill="auto"/>
          </w:tcPr>
          <w:p w14:paraId="53388E50" w14:textId="77777777" w:rsidR="002A0BD5" w:rsidRPr="007F1D16" w:rsidRDefault="002A0BD5" w:rsidP="008543EE">
            <w:pPr>
              <w:pStyle w:val="Default"/>
              <w:jc w:val="both"/>
            </w:pPr>
            <w:r>
              <w:t>1</w:t>
            </w:r>
            <w:r w:rsidRPr="007F1D16">
              <w:t xml:space="preserve"> Bed </w:t>
            </w:r>
            <w:r>
              <w:t>(2</w:t>
            </w:r>
            <w:r w:rsidRPr="007F1D16">
              <w:t xml:space="preserve"> Person</w:t>
            </w:r>
            <w:r>
              <w:t>)</w:t>
            </w:r>
          </w:p>
        </w:tc>
        <w:tc>
          <w:tcPr>
            <w:tcW w:w="4139" w:type="dxa"/>
            <w:gridSpan w:val="2"/>
            <w:shd w:val="clear" w:color="auto" w:fill="auto"/>
          </w:tcPr>
          <w:p w14:paraId="3BB88361" w14:textId="77777777" w:rsidR="002A0BD5" w:rsidRPr="007F1D16" w:rsidRDefault="002A0BD5" w:rsidP="008543EE">
            <w:pPr>
              <w:pStyle w:val="Default"/>
              <w:jc w:val="both"/>
            </w:pPr>
            <w:r>
              <w:t>16</w:t>
            </w:r>
          </w:p>
        </w:tc>
      </w:tr>
      <w:tr w:rsidR="002A0BD5" w:rsidRPr="003A6590" w14:paraId="1AEAD2CB" w14:textId="77777777" w:rsidTr="008543EE">
        <w:trPr>
          <w:tblHeader/>
        </w:trPr>
        <w:tc>
          <w:tcPr>
            <w:tcW w:w="1840" w:type="dxa"/>
            <w:shd w:val="clear" w:color="auto" w:fill="auto"/>
          </w:tcPr>
          <w:p w14:paraId="5FE5B071" w14:textId="77777777" w:rsidR="002A0BD5" w:rsidRPr="007F1D16" w:rsidRDefault="002A0BD5" w:rsidP="008543EE">
            <w:pPr>
              <w:pStyle w:val="Default"/>
              <w:jc w:val="both"/>
            </w:pPr>
            <w:r>
              <w:t>Apartment</w:t>
            </w:r>
          </w:p>
        </w:tc>
        <w:tc>
          <w:tcPr>
            <w:tcW w:w="2098" w:type="dxa"/>
            <w:shd w:val="clear" w:color="auto" w:fill="auto"/>
          </w:tcPr>
          <w:p w14:paraId="09AED0F2" w14:textId="77777777" w:rsidR="002A0BD5" w:rsidRPr="007F1D16" w:rsidRDefault="002A0BD5" w:rsidP="008543EE">
            <w:pPr>
              <w:pStyle w:val="Default"/>
              <w:jc w:val="both"/>
            </w:pPr>
            <w:r>
              <w:t>2</w:t>
            </w:r>
            <w:r w:rsidRPr="007F1D16">
              <w:t xml:space="preserve"> Bed </w:t>
            </w:r>
            <w:r>
              <w:t>(3</w:t>
            </w:r>
            <w:r w:rsidRPr="007F1D16">
              <w:t xml:space="preserve"> Person</w:t>
            </w:r>
            <w:r>
              <w:t>)</w:t>
            </w:r>
          </w:p>
        </w:tc>
        <w:tc>
          <w:tcPr>
            <w:tcW w:w="4139" w:type="dxa"/>
            <w:gridSpan w:val="2"/>
            <w:shd w:val="clear" w:color="auto" w:fill="auto"/>
          </w:tcPr>
          <w:p w14:paraId="12928AFD" w14:textId="77777777" w:rsidR="002A0BD5" w:rsidRPr="007F1D16" w:rsidRDefault="002A0BD5" w:rsidP="008543EE">
            <w:pPr>
              <w:pStyle w:val="Default"/>
              <w:jc w:val="both"/>
            </w:pPr>
            <w:r>
              <w:t>8</w:t>
            </w:r>
          </w:p>
        </w:tc>
      </w:tr>
      <w:tr w:rsidR="002A0BD5" w:rsidRPr="003A6590" w14:paraId="27954818" w14:textId="77777777" w:rsidTr="008543EE">
        <w:trPr>
          <w:tblHeader/>
        </w:trPr>
        <w:tc>
          <w:tcPr>
            <w:tcW w:w="1840" w:type="dxa"/>
            <w:shd w:val="clear" w:color="auto" w:fill="auto"/>
          </w:tcPr>
          <w:p w14:paraId="3DA58924" w14:textId="77777777" w:rsidR="002A0BD5" w:rsidRDefault="002A0BD5" w:rsidP="008543EE">
            <w:pPr>
              <w:pStyle w:val="Default"/>
              <w:jc w:val="both"/>
            </w:pPr>
            <w:r>
              <w:t>Apartment</w:t>
            </w:r>
          </w:p>
        </w:tc>
        <w:tc>
          <w:tcPr>
            <w:tcW w:w="2098" w:type="dxa"/>
            <w:shd w:val="clear" w:color="auto" w:fill="auto"/>
          </w:tcPr>
          <w:p w14:paraId="128B0A4A" w14:textId="174DDDEA" w:rsidR="002A0BD5" w:rsidRDefault="008543EE" w:rsidP="008543EE">
            <w:pPr>
              <w:pStyle w:val="Default"/>
              <w:jc w:val="both"/>
            </w:pPr>
            <w:r>
              <w:t>2 Bed (4 Person)</w:t>
            </w:r>
          </w:p>
        </w:tc>
        <w:tc>
          <w:tcPr>
            <w:tcW w:w="4139" w:type="dxa"/>
            <w:gridSpan w:val="2"/>
            <w:shd w:val="clear" w:color="auto" w:fill="auto"/>
          </w:tcPr>
          <w:p w14:paraId="7B16750C" w14:textId="77777777" w:rsidR="002A0BD5" w:rsidRDefault="002A0BD5" w:rsidP="008543EE">
            <w:pPr>
              <w:pStyle w:val="Default"/>
              <w:jc w:val="both"/>
            </w:pPr>
            <w:r>
              <w:t>16</w:t>
            </w:r>
          </w:p>
        </w:tc>
      </w:tr>
      <w:tr w:rsidR="008543EE" w:rsidRPr="003A6590" w14:paraId="5A2A3464" w14:textId="77777777" w:rsidTr="008543EE">
        <w:trPr>
          <w:tblHeader/>
        </w:trPr>
        <w:tc>
          <w:tcPr>
            <w:tcW w:w="1840" w:type="dxa"/>
            <w:shd w:val="clear" w:color="auto" w:fill="auto"/>
          </w:tcPr>
          <w:p w14:paraId="24FB8894" w14:textId="79287900" w:rsidR="008543EE" w:rsidRPr="007F1D16" w:rsidRDefault="008543EE" w:rsidP="008543EE">
            <w:pPr>
              <w:pStyle w:val="Default"/>
              <w:jc w:val="both"/>
            </w:pPr>
            <w:r w:rsidRPr="007F1D16">
              <w:t>Total</w:t>
            </w:r>
            <w:r>
              <w:t xml:space="preserve"> dwellings</w:t>
            </w:r>
          </w:p>
        </w:tc>
        <w:tc>
          <w:tcPr>
            <w:tcW w:w="2124" w:type="dxa"/>
            <w:gridSpan w:val="2"/>
            <w:shd w:val="clear" w:color="auto" w:fill="auto"/>
          </w:tcPr>
          <w:p w14:paraId="5E1EA43F" w14:textId="5C6B3144" w:rsidR="008543EE" w:rsidRPr="007F1D16" w:rsidRDefault="008543EE" w:rsidP="008543EE">
            <w:pPr>
              <w:pStyle w:val="Default"/>
              <w:jc w:val="both"/>
            </w:pPr>
          </w:p>
        </w:tc>
        <w:tc>
          <w:tcPr>
            <w:tcW w:w="4113" w:type="dxa"/>
            <w:shd w:val="clear" w:color="auto" w:fill="auto"/>
          </w:tcPr>
          <w:p w14:paraId="60B350A8" w14:textId="4DF22913" w:rsidR="008543EE" w:rsidRPr="007F1D16" w:rsidRDefault="008543EE" w:rsidP="008543EE">
            <w:pPr>
              <w:pStyle w:val="Default"/>
              <w:jc w:val="both"/>
            </w:pPr>
            <w:r>
              <w:t>46</w:t>
            </w:r>
          </w:p>
        </w:tc>
      </w:tr>
    </w:tbl>
    <w:p w14:paraId="33E46596" w14:textId="77777777" w:rsidR="002A0BD5" w:rsidRPr="005150AC" w:rsidRDefault="002A0BD5" w:rsidP="002A0BD5">
      <w:pPr>
        <w:pStyle w:val="Default"/>
        <w:ind w:left="-284"/>
        <w:jc w:val="both"/>
        <w:rPr>
          <w:u w:val="single"/>
        </w:rPr>
      </w:pPr>
      <w:r w:rsidRPr="008340C6">
        <w:t xml:space="preserve">           </w:t>
      </w:r>
      <w:r w:rsidRPr="005150AC">
        <w:rPr>
          <w:u w:val="single"/>
        </w:rPr>
        <w:t xml:space="preserve">Accommodation Schedule – Hillmeads Road/Shannon Road for </w:t>
      </w:r>
      <w:r>
        <w:rPr>
          <w:u w:val="single"/>
        </w:rPr>
        <w:t>Sale</w:t>
      </w:r>
      <w:r w:rsidRPr="005150AC">
        <w:rPr>
          <w:u w:val="single"/>
        </w:rPr>
        <w:t xml:space="preserve"> </w:t>
      </w:r>
    </w:p>
    <w:p w14:paraId="5C19FAFD" w14:textId="77777777" w:rsidR="002A0BD5" w:rsidRDefault="002A0BD5" w:rsidP="002A0BD5">
      <w:pPr>
        <w:pStyle w:val="Default"/>
        <w:jc w:val="both"/>
        <w:rPr>
          <w:sz w:val="23"/>
          <w:szCs w:val="23"/>
        </w:rPr>
      </w:pPr>
    </w:p>
    <w:tbl>
      <w:tblPr>
        <w:tblpPr w:leftFromText="180" w:rightFromText="180" w:vertAnchor="text" w:horzAnchor="page" w:tblpX="1966"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commodation Schedule – Hillmeads Road/Shannon Road for Sale "/>
        <w:tblDescription w:val="Mix of new houses being built for sale"/>
      </w:tblPr>
      <w:tblGrid>
        <w:gridCol w:w="1670"/>
        <w:gridCol w:w="2268"/>
        <w:gridCol w:w="26"/>
        <w:gridCol w:w="4113"/>
      </w:tblGrid>
      <w:tr w:rsidR="002A0BD5" w:rsidRPr="003A6590" w14:paraId="0426A30C" w14:textId="77777777" w:rsidTr="008543EE">
        <w:trPr>
          <w:tblHeader/>
        </w:trPr>
        <w:tc>
          <w:tcPr>
            <w:tcW w:w="1670" w:type="dxa"/>
            <w:shd w:val="clear" w:color="auto" w:fill="auto"/>
          </w:tcPr>
          <w:p w14:paraId="6BBEB165" w14:textId="77777777" w:rsidR="002A0BD5" w:rsidRPr="007F1D16" w:rsidRDefault="002A0BD5" w:rsidP="008543EE">
            <w:pPr>
              <w:pStyle w:val="Default"/>
              <w:jc w:val="both"/>
            </w:pPr>
            <w:r w:rsidRPr="007F1D16">
              <w:t>Dwelling Type</w:t>
            </w:r>
          </w:p>
        </w:tc>
        <w:tc>
          <w:tcPr>
            <w:tcW w:w="2268" w:type="dxa"/>
            <w:shd w:val="clear" w:color="auto" w:fill="auto"/>
          </w:tcPr>
          <w:p w14:paraId="0DA868B4" w14:textId="77777777" w:rsidR="002A0BD5" w:rsidRPr="007F1D16" w:rsidRDefault="002A0BD5" w:rsidP="008543EE">
            <w:pPr>
              <w:pStyle w:val="Default"/>
              <w:jc w:val="both"/>
            </w:pPr>
            <w:r w:rsidRPr="007F1D16">
              <w:t>No. of Bedrooms</w:t>
            </w:r>
          </w:p>
        </w:tc>
        <w:tc>
          <w:tcPr>
            <w:tcW w:w="4139" w:type="dxa"/>
            <w:gridSpan w:val="2"/>
            <w:shd w:val="clear" w:color="auto" w:fill="auto"/>
          </w:tcPr>
          <w:p w14:paraId="10C5825B" w14:textId="77777777" w:rsidR="002A0BD5" w:rsidRPr="007F1D16" w:rsidRDefault="002A0BD5" w:rsidP="008543EE">
            <w:pPr>
              <w:pStyle w:val="Default"/>
              <w:jc w:val="both"/>
            </w:pPr>
            <w:r w:rsidRPr="007F1D16">
              <w:t>Total Number</w:t>
            </w:r>
          </w:p>
        </w:tc>
      </w:tr>
      <w:tr w:rsidR="002A0BD5" w:rsidRPr="003A6590" w14:paraId="1AC739C4" w14:textId="77777777" w:rsidTr="008543EE">
        <w:trPr>
          <w:tblHeader/>
        </w:trPr>
        <w:tc>
          <w:tcPr>
            <w:tcW w:w="1670" w:type="dxa"/>
            <w:shd w:val="clear" w:color="auto" w:fill="auto"/>
          </w:tcPr>
          <w:p w14:paraId="5949A97F" w14:textId="77777777" w:rsidR="002A0BD5" w:rsidRPr="007F1D16" w:rsidRDefault="002A0BD5" w:rsidP="008543EE">
            <w:pPr>
              <w:pStyle w:val="Default"/>
              <w:jc w:val="both"/>
            </w:pPr>
            <w:r w:rsidRPr="007F1D16">
              <w:t xml:space="preserve">House </w:t>
            </w:r>
          </w:p>
        </w:tc>
        <w:tc>
          <w:tcPr>
            <w:tcW w:w="2268" w:type="dxa"/>
            <w:shd w:val="clear" w:color="auto" w:fill="auto"/>
          </w:tcPr>
          <w:p w14:paraId="79F8586E" w14:textId="77777777" w:rsidR="002A0BD5" w:rsidRPr="007F1D16" w:rsidRDefault="002A0BD5" w:rsidP="008543EE">
            <w:pPr>
              <w:pStyle w:val="Default"/>
              <w:jc w:val="both"/>
            </w:pPr>
            <w:r w:rsidRPr="007F1D16">
              <w:t xml:space="preserve">2 Bed </w:t>
            </w:r>
            <w:r>
              <w:t>(3</w:t>
            </w:r>
            <w:r w:rsidRPr="007F1D16">
              <w:t xml:space="preserve"> Person</w:t>
            </w:r>
            <w:r>
              <w:t>)</w:t>
            </w:r>
          </w:p>
        </w:tc>
        <w:tc>
          <w:tcPr>
            <w:tcW w:w="4139" w:type="dxa"/>
            <w:gridSpan w:val="2"/>
            <w:shd w:val="clear" w:color="auto" w:fill="auto"/>
          </w:tcPr>
          <w:p w14:paraId="4765785C" w14:textId="77777777" w:rsidR="002A0BD5" w:rsidRPr="007F1D16" w:rsidRDefault="002A0BD5" w:rsidP="008543EE">
            <w:pPr>
              <w:pStyle w:val="Default"/>
              <w:jc w:val="both"/>
            </w:pPr>
            <w:r>
              <w:t>46</w:t>
            </w:r>
          </w:p>
        </w:tc>
      </w:tr>
      <w:tr w:rsidR="002A0BD5" w:rsidRPr="003A6590" w14:paraId="7322D204" w14:textId="77777777" w:rsidTr="008543EE">
        <w:trPr>
          <w:tblHeader/>
        </w:trPr>
        <w:tc>
          <w:tcPr>
            <w:tcW w:w="1670" w:type="dxa"/>
            <w:shd w:val="clear" w:color="auto" w:fill="auto"/>
          </w:tcPr>
          <w:p w14:paraId="67FFCD99" w14:textId="77777777" w:rsidR="002A0BD5" w:rsidRPr="007F1D16" w:rsidRDefault="002A0BD5" w:rsidP="008543EE">
            <w:pPr>
              <w:pStyle w:val="Default"/>
              <w:jc w:val="both"/>
            </w:pPr>
            <w:r w:rsidRPr="007F1D16">
              <w:t>House</w:t>
            </w:r>
          </w:p>
        </w:tc>
        <w:tc>
          <w:tcPr>
            <w:tcW w:w="2268" w:type="dxa"/>
            <w:shd w:val="clear" w:color="auto" w:fill="auto"/>
          </w:tcPr>
          <w:p w14:paraId="5B7F45AA" w14:textId="77777777" w:rsidR="002A0BD5" w:rsidRPr="007F1D16" w:rsidRDefault="002A0BD5" w:rsidP="008543EE">
            <w:pPr>
              <w:pStyle w:val="Default"/>
              <w:jc w:val="both"/>
            </w:pPr>
            <w:r>
              <w:t>3 Bed (5</w:t>
            </w:r>
            <w:r w:rsidRPr="007F1D16">
              <w:t xml:space="preserve"> Person</w:t>
            </w:r>
            <w:r>
              <w:t>)</w:t>
            </w:r>
          </w:p>
        </w:tc>
        <w:tc>
          <w:tcPr>
            <w:tcW w:w="4139" w:type="dxa"/>
            <w:gridSpan w:val="2"/>
            <w:shd w:val="clear" w:color="auto" w:fill="auto"/>
          </w:tcPr>
          <w:p w14:paraId="3CA077DB" w14:textId="77777777" w:rsidR="002A0BD5" w:rsidRPr="007F1D16" w:rsidRDefault="002A0BD5" w:rsidP="008543EE">
            <w:pPr>
              <w:pStyle w:val="Default"/>
              <w:jc w:val="both"/>
            </w:pPr>
            <w:r>
              <w:t>45</w:t>
            </w:r>
          </w:p>
        </w:tc>
      </w:tr>
      <w:tr w:rsidR="002A0BD5" w:rsidRPr="003A6590" w14:paraId="0BED7164" w14:textId="77777777" w:rsidTr="008543EE">
        <w:trPr>
          <w:tblHeader/>
        </w:trPr>
        <w:tc>
          <w:tcPr>
            <w:tcW w:w="1670" w:type="dxa"/>
            <w:shd w:val="clear" w:color="auto" w:fill="auto"/>
          </w:tcPr>
          <w:p w14:paraId="19DFCBE8" w14:textId="77777777" w:rsidR="002A0BD5" w:rsidRPr="007F1D16" w:rsidRDefault="002A0BD5" w:rsidP="008543EE">
            <w:pPr>
              <w:pStyle w:val="Default"/>
              <w:jc w:val="both"/>
            </w:pPr>
            <w:r>
              <w:t>House</w:t>
            </w:r>
          </w:p>
        </w:tc>
        <w:tc>
          <w:tcPr>
            <w:tcW w:w="2268" w:type="dxa"/>
            <w:shd w:val="clear" w:color="auto" w:fill="auto"/>
          </w:tcPr>
          <w:p w14:paraId="399E3EDA" w14:textId="77777777" w:rsidR="002A0BD5" w:rsidRPr="007F1D16" w:rsidRDefault="002A0BD5" w:rsidP="008543EE">
            <w:pPr>
              <w:pStyle w:val="Default"/>
              <w:jc w:val="both"/>
            </w:pPr>
            <w:r>
              <w:t>3</w:t>
            </w:r>
            <w:r w:rsidRPr="007F1D16">
              <w:t xml:space="preserve"> Bed </w:t>
            </w:r>
            <w:r>
              <w:t>(6</w:t>
            </w:r>
            <w:r w:rsidRPr="007F1D16">
              <w:t xml:space="preserve"> Person</w:t>
            </w:r>
            <w:r>
              <w:t>)</w:t>
            </w:r>
          </w:p>
        </w:tc>
        <w:tc>
          <w:tcPr>
            <w:tcW w:w="4139" w:type="dxa"/>
            <w:gridSpan w:val="2"/>
            <w:shd w:val="clear" w:color="auto" w:fill="auto"/>
          </w:tcPr>
          <w:p w14:paraId="06DDF42F" w14:textId="77777777" w:rsidR="002A0BD5" w:rsidRPr="007F1D16" w:rsidRDefault="002A0BD5" w:rsidP="008543EE">
            <w:pPr>
              <w:pStyle w:val="Default"/>
              <w:jc w:val="both"/>
            </w:pPr>
            <w:r>
              <w:t>9</w:t>
            </w:r>
          </w:p>
        </w:tc>
      </w:tr>
      <w:tr w:rsidR="002A0BD5" w:rsidRPr="003A6590" w14:paraId="504F11DF" w14:textId="77777777" w:rsidTr="008543EE">
        <w:trPr>
          <w:tblHeader/>
        </w:trPr>
        <w:tc>
          <w:tcPr>
            <w:tcW w:w="1670" w:type="dxa"/>
            <w:shd w:val="clear" w:color="auto" w:fill="auto"/>
          </w:tcPr>
          <w:p w14:paraId="2F23B34A" w14:textId="77777777" w:rsidR="002A0BD5" w:rsidRPr="007F1D16" w:rsidRDefault="002A0BD5" w:rsidP="008543EE">
            <w:pPr>
              <w:pStyle w:val="Default"/>
              <w:jc w:val="both"/>
            </w:pPr>
            <w:r>
              <w:t>House</w:t>
            </w:r>
          </w:p>
        </w:tc>
        <w:tc>
          <w:tcPr>
            <w:tcW w:w="2268" w:type="dxa"/>
            <w:shd w:val="clear" w:color="auto" w:fill="auto"/>
          </w:tcPr>
          <w:p w14:paraId="07A1ECF0" w14:textId="6D730C0C" w:rsidR="002A0BD5" w:rsidRPr="007F1D16" w:rsidRDefault="008543EE" w:rsidP="008543EE">
            <w:pPr>
              <w:pStyle w:val="Default"/>
              <w:jc w:val="both"/>
            </w:pPr>
            <w:r>
              <w:t>4</w:t>
            </w:r>
            <w:r w:rsidRPr="007F1D16">
              <w:t xml:space="preserve"> Bed </w:t>
            </w:r>
            <w:r>
              <w:t>(8</w:t>
            </w:r>
            <w:r w:rsidRPr="007F1D16">
              <w:t xml:space="preserve"> Person</w:t>
            </w:r>
            <w:r>
              <w:t>)</w:t>
            </w:r>
          </w:p>
        </w:tc>
        <w:tc>
          <w:tcPr>
            <w:tcW w:w="4139" w:type="dxa"/>
            <w:gridSpan w:val="2"/>
            <w:shd w:val="clear" w:color="auto" w:fill="auto"/>
          </w:tcPr>
          <w:p w14:paraId="6A0B5880" w14:textId="77777777" w:rsidR="002A0BD5" w:rsidRPr="007F1D16" w:rsidRDefault="002A0BD5" w:rsidP="008543EE">
            <w:pPr>
              <w:pStyle w:val="Default"/>
              <w:jc w:val="both"/>
            </w:pPr>
            <w:r>
              <w:t>4</w:t>
            </w:r>
          </w:p>
        </w:tc>
      </w:tr>
      <w:tr w:rsidR="008543EE" w:rsidRPr="003A6590" w14:paraId="7F7284BE" w14:textId="77777777" w:rsidTr="008543EE">
        <w:trPr>
          <w:tblHeader/>
        </w:trPr>
        <w:tc>
          <w:tcPr>
            <w:tcW w:w="1670" w:type="dxa"/>
            <w:shd w:val="clear" w:color="auto" w:fill="auto"/>
          </w:tcPr>
          <w:p w14:paraId="046D7D05" w14:textId="77777777" w:rsidR="008543EE" w:rsidRPr="007F1D16" w:rsidRDefault="008543EE" w:rsidP="008543EE">
            <w:pPr>
              <w:pStyle w:val="Default"/>
              <w:jc w:val="both"/>
            </w:pPr>
            <w:r w:rsidRPr="007F1D16">
              <w:t>Total</w:t>
            </w:r>
          </w:p>
        </w:tc>
        <w:tc>
          <w:tcPr>
            <w:tcW w:w="2294" w:type="dxa"/>
            <w:gridSpan w:val="2"/>
            <w:shd w:val="clear" w:color="auto" w:fill="auto"/>
          </w:tcPr>
          <w:p w14:paraId="53F9CC28" w14:textId="6E206FEF" w:rsidR="008543EE" w:rsidRPr="007F1D16" w:rsidRDefault="008543EE" w:rsidP="008543EE">
            <w:pPr>
              <w:pStyle w:val="Default"/>
              <w:jc w:val="both"/>
            </w:pPr>
          </w:p>
        </w:tc>
        <w:tc>
          <w:tcPr>
            <w:tcW w:w="4113" w:type="dxa"/>
            <w:shd w:val="clear" w:color="auto" w:fill="auto"/>
          </w:tcPr>
          <w:p w14:paraId="7761D698" w14:textId="3A0459E7" w:rsidR="008543EE" w:rsidRPr="007F1D16" w:rsidRDefault="008543EE" w:rsidP="008543EE">
            <w:pPr>
              <w:pStyle w:val="Default"/>
              <w:jc w:val="both"/>
            </w:pPr>
            <w:r>
              <w:t>104</w:t>
            </w:r>
          </w:p>
        </w:tc>
      </w:tr>
    </w:tbl>
    <w:p w14:paraId="675B7338" w14:textId="77777777" w:rsidR="002A0BD5" w:rsidRDefault="002A0BD5" w:rsidP="002A0BD5">
      <w:pPr>
        <w:pStyle w:val="Default"/>
        <w:jc w:val="both"/>
        <w:rPr>
          <w:sz w:val="23"/>
          <w:szCs w:val="23"/>
        </w:rPr>
      </w:pPr>
    </w:p>
    <w:p w14:paraId="3E28C2AB" w14:textId="1DF2583C" w:rsidR="002A0BD5" w:rsidRDefault="002A0BD5" w:rsidP="00BC508C">
      <w:pPr>
        <w:pStyle w:val="NoSpacing"/>
        <w:numPr>
          <w:ilvl w:val="1"/>
          <w:numId w:val="3"/>
        </w:numPr>
        <w:ind w:left="567" w:hanging="567"/>
        <w:jc w:val="both"/>
        <w:rPr>
          <w:rFonts w:ascii="Arial" w:hAnsi="Arial" w:cs="Arial"/>
          <w:sz w:val="24"/>
          <w:szCs w:val="24"/>
        </w:rPr>
      </w:pPr>
      <w:r w:rsidRPr="00EE35E5">
        <w:rPr>
          <w:rFonts w:ascii="Arial" w:hAnsi="Arial" w:cs="Arial"/>
          <w:sz w:val="24"/>
          <w:szCs w:val="24"/>
        </w:rPr>
        <w:t xml:space="preserve">Although the planning application shows a net reduction in the number of units </w:t>
      </w:r>
      <w:r>
        <w:rPr>
          <w:rFonts w:ascii="Arial" w:hAnsi="Arial" w:cs="Arial"/>
          <w:sz w:val="24"/>
          <w:szCs w:val="24"/>
        </w:rPr>
        <w:t xml:space="preserve">   </w:t>
      </w:r>
      <w:r w:rsidRPr="00EE35E5">
        <w:rPr>
          <w:rFonts w:ascii="Arial" w:hAnsi="Arial" w:cs="Arial"/>
          <w:sz w:val="24"/>
          <w:szCs w:val="24"/>
        </w:rPr>
        <w:t>being put back as compared to those that are proposed to be demolished, there will be a significant qualitative</w:t>
      </w:r>
      <w:r>
        <w:rPr>
          <w:rFonts w:ascii="Arial" w:hAnsi="Arial" w:cs="Arial"/>
          <w:sz w:val="24"/>
          <w:szCs w:val="24"/>
        </w:rPr>
        <w:t xml:space="preserve"> housing</w:t>
      </w:r>
      <w:r w:rsidRPr="00EE35E5">
        <w:rPr>
          <w:rFonts w:ascii="Arial" w:hAnsi="Arial" w:cs="Arial"/>
          <w:sz w:val="24"/>
          <w:szCs w:val="24"/>
        </w:rPr>
        <w:t xml:space="preserve"> gain with the development of new, </w:t>
      </w:r>
      <w:r w:rsidR="00453356">
        <w:rPr>
          <w:rFonts w:ascii="Arial" w:hAnsi="Arial" w:cs="Arial"/>
          <w:sz w:val="24"/>
          <w:szCs w:val="24"/>
        </w:rPr>
        <w:t xml:space="preserve">modern, </w:t>
      </w:r>
      <w:r w:rsidRPr="00EE35E5">
        <w:rPr>
          <w:rFonts w:ascii="Arial" w:hAnsi="Arial" w:cs="Arial"/>
          <w:sz w:val="24"/>
          <w:szCs w:val="24"/>
        </w:rPr>
        <w:t>high quality housing provision.</w:t>
      </w:r>
    </w:p>
    <w:p w14:paraId="3CC0ECFE" w14:textId="77777777" w:rsidR="002A0BD5" w:rsidRDefault="002A0BD5" w:rsidP="002A0BD5">
      <w:pPr>
        <w:pStyle w:val="NoSpacing"/>
        <w:ind w:left="540"/>
        <w:jc w:val="both"/>
        <w:rPr>
          <w:rFonts w:ascii="Arial" w:hAnsi="Arial" w:cs="Arial"/>
          <w:sz w:val="24"/>
          <w:szCs w:val="24"/>
        </w:rPr>
      </w:pPr>
    </w:p>
    <w:p w14:paraId="6597BFD4" w14:textId="358AD5D7" w:rsidR="002A0BD5" w:rsidRDefault="002A0BD5" w:rsidP="00BC508C">
      <w:pPr>
        <w:pStyle w:val="NoSpacing"/>
        <w:numPr>
          <w:ilvl w:val="1"/>
          <w:numId w:val="3"/>
        </w:numPr>
        <w:ind w:left="567" w:hanging="567"/>
        <w:jc w:val="both"/>
        <w:rPr>
          <w:rFonts w:ascii="Arial" w:hAnsi="Arial" w:cs="Arial"/>
          <w:sz w:val="24"/>
          <w:szCs w:val="24"/>
        </w:rPr>
      </w:pPr>
      <w:r w:rsidRPr="002A0BD5">
        <w:rPr>
          <w:rFonts w:ascii="Arial" w:hAnsi="Arial" w:cs="Arial"/>
          <w:sz w:val="24"/>
          <w:szCs w:val="24"/>
        </w:rPr>
        <w:t>No alternative proposals for the area have come forward and the Council is not aware of any alternative means to secure the proposed development. The Council is in the best position to facilitate and promote any new development and has a proven track record of house building across the City.</w:t>
      </w:r>
    </w:p>
    <w:p w14:paraId="2A3A62C3" w14:textId="77777777" w:rsidR="006B256C" w:rsidRPr="002A0BD5" w:rsidRDefault="006B256C" w:rsidP="006B256C">
      <w:pPr>
        <w:pStyle w:val="NoSpacing"/>
        <w:ind w:left="567"/>
        <w:jc w:val="both"/>
        <w:rPr>
          <w:rFonts w:ascii="Arial" w:hAnsi="Arial" w:cs="Arial"/>
          <w:sz w:val="24"/>
          <w:szCs w:val="24"/>
        </w:rPr>
      </w:pPr>
    </w:p>
    <w:p w14:paraId="4C25143A" w14:textId="5F664A83" w:rsidR="007F1A06" w:rsidRDefault="0027612F" w:rsidP="00BC508C">
      <w:pPr>
        <w:pStyle w:val="NoSpacing"/>
        <w:numPr>
          <w:ilvl w:val="0"/>
          <w:numId w:val="3"/>
        </w:numPr>
        <w:ind w:left="567" w:hanging="567"/>
        <w:jc w:val="both"/>
        <w:outlineLvl w:val="0"/>
        <w:rPr>
          <w:rFonts w:ascii="Arial" w:hAnsi="Arial" w:cs="Arial"/>
          <w:sz w:val="24"/>
          <w:szCs w:val="24"/>
        </w:rPr>
      </w:pPr>
      <w:bookmarkStart w:id="9" w:name="_Toc68772048"/>
      <w:r>
        <w:rPr>
          <w:rFonts w:ascii="Arial" w:hAnsi="Arial" w:cs="Arial"/>
          <w:b/>
          <w:sz w:val="24"/>
          <w:szCs w:val="24"/>
          <w:u w:val="single"/>
        </w:rPr>
        <w:t>P</w:t>
      </w:r>
      <w:r w:rsidRPr="007F1A06">
        <w:rPr>
          <w:rFonts w:ascii="Arial" w:hAnsi="Arial" w:cs="Arial"/>
          <w:b/>
          <w:sz w:val="24"/>
          <w:szCs w:val="24"/>
          <w:u w:val="single"/>
        </w:rPr>
        <w:t>lanning</w:t>
      </w:r>
      <w:r w:rsidR="007F1A06" w:rsidRPr="007F1A06">
        <w:rPr>
          <w:rFonts w:ascii="Arial" w:hAnsi="Arial" w:cs="Arial"/>
          <w:b/>
          <w:sz w:val="24"/>
          <w:szCs w:val="24"/>
          <w:u w:val="single"/>
        </w:rPr>
        <w:t xml:space="preserve"> and other policy considerations</w:t>
      </w:r>
      <w:r w:rsidR="007F1A06">
        <w:rPr>
          <w:rFonts w:ascii="Arial" w:hAnsi="Arial" w:cs="Arial"/>
          <w:sz w:val="24"/>
          <w:szCs w:val="24"/>
        </w:rPr>
        <w:t>.</w:t>
      </w:r>
      <w:bookmarkEnd w:id="9"/>
    </w:p>
    <w:p w14:paraId="4585C8D7" w14:textId="77777777" w:rsidR="007F1A06" w:rsidRDefault="007F1A06" w:rsidP="007F1A06">
      <w:pPr>
        <w:pStyle w:val="NoSpacing"/>
        <w:jc w:val="both"/>
        <w:rPr>
          <w:rFonts w:ascii="Arial" w:hAnsi="Arial" w:cs="Arial"/>
          <w:sz w:val="24"/>
          <w:szCs w:val="24"/>
        </w:rPr>
      </w:pPr>
    </w:p>
    <w:p w14:paraId="3876BCCB" w14:textId="3DCBE036" w:rsidR="007F1A06" w:rsidRPr="006C7C3D" w:rsidRDefault="007F1A06" w:rsidP="007F1A06">
      <w:pPr>
        <w:autoSpaceDE w:val="0"/>
        <w:autoSpaceDN w:val="0"/>
        <w:adjustRightInd w:val="0"/>
        <w:spacing w:after="0" w:line="240" w:lineRule="auto"/>
        <w:ind w:left="360" w:firstLine="207"/>
        <w:jc w:val="both"/>
        <w:rPr>
          <w:rFonts w:ascii="Arial" w:hAnsi="Arial" w:cs="Arial"/>
          <w:sz w:val="24"/>
          <w:szCs w:val="24"/>
          <w:lang w:eastAsia="en-GB"/>
        </w:rPr>
      </w:pPr>
      <w:r w:rsidRPr="0098018C">
        <w:rPr>
          <w:rFonts w:ascii="Arial" w:hAnsi="Arial" w:cs="Arial"/>
          <w:b/>
          <w:bCs/>
          <w:sz w:val="24"/>
          <w:szCs w:val="24"/>
          <w:lang w:eastAsia="en-GB"/>
        </w:rPr>
        <w:t xml:space="preserve">National Planning Policy </w:t>
      </w:r>
      <w:r w:rsidR="00C82C1D" w:rsidRPr="0098018C">
        <w:rPr>
          <w:rFonts w:ascii="Arial" w:hAnsi="Arial" w:cs="Arial"/>
          <w:b/>
          <w:bCs/>
          <w:sz w:val="24"/>
          <w:szCs w:val="24"/>
          <w:lang w:eastAsia="en-GB"/>
        </w:rPr>
        <w:t>Framework</w:t>
      </w:r>
      <w:r w:rsidR="00C82C1D">
        <w:rPr>
          <w:rFonts w:ascii="Arial" w:hAnsi="Arial" w:cs="Arial"/>
          <w:sz w:val="24"/>
          <w:szCs w:val="24"/>
          <w:lang w:eastAsia="en-GB"/>
        </w:rPr>
        <w:t xml:space="preserve">. </w:t>
      </w:r>
      <w:r w:rsidR="00C82C1D" w:rsidRPr="00020D99">
        <w:rPr>
          <w:rFonts w:ascii="Arial" w:hAnsi="Arial" w:cs="Arial"/>
          <w:sz w:val="24"/>
          <w:szCs w:val="24"/>
          <w:lang w:eastAsia="en-GB"/>
        </w:rPr>
        <w:t>(</w:t>
      </w:r>
      <w:r w:rsidR="00D1063A" w:rsidRPr="00020D99">
        <w:rPr>
          <w:rFonts w:ascii="Arial" w:hAnsi="Arial" w:cs="Arial"/>
          <w:sz w:val="24"/>
          <w:szCs w:val="24"/>
          <w:lang w:eastAsia="en-GB"/>
        </w:rPr>
        <w:t>BCC</w:t>
      </w:r>
      <w:r w:rsidR="00544DC5" w:rsidRPr="00020D99">
        <w:rPr>
          <w:rFonts w:ascii="Arial" w:hAnsi="Arial" w:cs="Arial"/>
          <w:sz w:val="24"/>
          <w:szCs w:val="24"/>
          <w:lang w:eastAsia="en-GB"/>
        </w:rPr>
        <w:t xml:space="preserve"> </w:t>
      </w:r>
      <w:r w:rsidR="00251FC1" w:rsidRPr="00020D99">
        <w:rPr>
          <w:rFonts w:ascii="Arial" w:hAnsi="Arial" w:cs="Arial"/>
          <w:sz w:val="24"/>
          <w:szCs w:val="24"/>
          <w:lang w:eastAsia="en-GB"/>
        </w:rPr>
        <w:t>1</w:t>
      </w:r>
      <w:r w:rsidR="00544DC5" w:rsidRPr="00020D99">
        <w:rPr>
          <w:rFonts w:ascii="Arial" w:hAnsi="Arial" w:cs="Arial"/>
          <w:sz w:val="24"/>
          <w:szCs w:val="24"/>
          <w:lang w:eastAsia="en-GB"/>
        </w:rPr>
        <w:t>3</w:t>
      </w:r>
      <w:r w:rsidR="00D1063A" w:rsidRPr="00020D99">
        <w:rPr>
          <w:rFonts w:ascii="Arial" w:hAnsi="Arial" w:cs="Arial"/>
          <w:sz w:val="24"/>
          <w:szCs w:val="24"/>
          <w:lang w:eastAsia="en-GB"/>
        </w:rPr>
        <w:t>)</w:t>
      </w:r>
    </w:p>
    <w:p w14:paraId="3E3585AC" w14:textId="77777777" w:rsidR="007F1A06" w:rsidRPr="006C7C3D" w:rsidRDefault="007F1A06" w:rsidP="007F1A06">
      <w:pPr>
        <w:autoSpaceDE w:val="0"/>
        <w:autoSpaceDN w:val="0"/>
        <w:adjustRightInd w:val="0"/>
        <w:spacing w:after="0" w:line="240" w:lineRule="auto"/>
        <w:jc w:val="both"/>
        <w:rPr>
          <w:rFonts w:ascii="Arial" w:hAnsi="Arial" w:cs="Arial"/>
          <w:sz w:val="24"/>
          <w:szCs w:val="24"/>
          <w:lang w:eastAsia="en-GB"/>
        </w:rPr>
      </w:pPr>
    </w:p>
    <w:p w14:paraId="2655EDBB" w14:textId="65C4CF2D" w:rsidR="007F1A06" w:rsidRDefault="007F1A06" w:rsidP="00BC508C">
      <w:pPr>
        <w:pStyle w:val="NoSpacing"/>
        <w:numPr>
          <w:ilvl w:val="1"/>
          <w:numId w:val="3"/>
        </w:numPr>
        <w:ind w:left="567" w:hanging="567"/>
        <w:jc w:val="both"/>
        <w:rPr>
          <w:rFonts w:ascii="Arial" w:hAnsi="Arial" w:cs="Arial"/>
          <w:sz w:val="24"/>
          <w:szCs w:val="24"/>
          <w:lang w:eastAsia="en-GB"/>
        </w:rPr>
      </w:pPr>
      <w:bookmarkStart w:id="10" w:name="LastEdit"/>
      <w:bookmarkEnd w:id="10"/>
      <w:r w:rsidRPr="0098018C">
        <w:rPr>
          <w:rFonts w:ascii="Arial" w:hAnsi="Arial" w:cs="Arial"/>
          <w:sz w:val="24"/>
          <w:szCs w:val="24"/>
          <w:lang w:eastAsia="en-GB"/>
        </w:rPr>
        <w:t xml:space="preserve">The National Planning Policy Framework (NPPF) </w:t>
      </w:r>
      <w:r>
        <w:rPr>
          <w:rFonts w:ascii="Arial" w:hAnsi="Arial" w:cs="Arial"/>
          <w:sz w:val="24"/>
          <w:szCs w:val="24"/>
          <w:lang w:eastAsia="en-GB"/>
        </w:rPr>
        <w:t xml:space="preserve">was published on </w:t>
      </w:r>
      <w:r w:rsidRPr="0098018C">
        <w:rPr>
          <w:rFonts w:ascii="Arial" w:hAnsi="Arial" w:cs="Arial"/>
          <w:sz w:val="24"/>
          <w:szCs w:val="24"/>
          <w:lang w:eastAsia="en-GB"/>
        </w:rPr>
        <w:t>27th March 2012</w:t>
      </w:r>
      <w:r>
        <w:rPr>
          <w:rFonts w:ascii="Arial" w:hAnsi="Arial" w:cs="Arial"/>
          <w:sz w:val="24"/>
          <w:szCs w:val="24"/>
          <w:lang w:eastAsia="en-GB"/>
        </w:rPr>
        <w:t xml:space="preserve"> and the latest revised version was published in </w:t>
      </w:r>
      <w:r w:rsidR="004B60F2">
        <w:rPr>
          <w:rFonts w:ascii="Arial" w:hAnsi="Arial" w:cs="Arial"/>
          <w:sz w:val="24"/>
          <w:szCs w:val="24"/>
          <w:lang w:eastAsia="en-GB"/>
        </w:rPr>
        <w:t xml:space="preserve"> July 2021.</w:t>
      </w:r>
    </w:p>
    <w:p w14:paraId="498DD508" w14:textId="77777777" w:rsidR="007F1A06" w:rsidRDefault="007F1A06" w:rsidP="007F1A06">
      <w:pPr>
        <w:pStyle w:val="NoSpacing"/>
        <w:ind w:left="540"/>
        <w:jc w:val="both"/>
        <w:rPr>
          <w:rFonts w:ascii="Arial" w:hAnsi="Arial" w:cs="Arial"/>
          <w:sz w:val="24"/>
          <w:szCs w:val="24"/>
          <w:lang w:eastAsia="en-GB"/>
        </w:rPr>
      </w:pPr>
    </w:p>
    <w:p w14:paraId="4E3C6E25" w14:textId="75FA0560" w:rsidR="00214A0D" w:rsidRDefault="007F1A06" w:rsidP="00BC508C">
      <w:pPr>
        <w:pStyle w:val="NoSpacing"/>
        <w:numPr>
          <w:ilvl w:val="1"/>
          <w:numId w:val="3"/>
        </w:numPr>
        <w:ind w:left="567" w:hanging="567"/>
        <w:jc w:val="both"/>
        <w:rPr>
          <w:rFonts w:ascii="Arial" w:hAnsi="Arial" w:cs="Arial"/>
          <w:sz w:val="24"/>
          <w:szCs w:val="24"/>
          <w:lang w:eastAsia="en-GB"/>
        </w:rPr>
      </w:pPr>
      <w:r w:rsidRPr="0061214E">
        <w:rPr>
          <w:rFonts w:ascii="Arial" w:hAnsi="Arial" w:cs="Arial"/>
          <w:sz w:val="24"/>
          <w:szCs w:val="24"/>
          <w:lang w:eastAsia="en-GB"/>
        </w:rPr>
        <w:t xml:space="preserve">Section 2 of the Framework sets out that the purpose of the planning system is to contribute to the achievement of sustainable development, and that in doing this the planning system has three overriding interdependent objectives relating to economic, social and environmental matters. </w:t>
      </w:r>
    </w:p>
    <w:p w14:paraId="13AD228C" w14:textId="77777777" w:rsidR="00214A0D" w:rsidRPr="00214A0D" w:rsidRDefault="00214A0D" w:rsidP="00214A0D">
      <w:pPr>
        <w:pStyle w:val="NoSpacing"/>
        <w:jc w:val="both"/>
        <w:rPr>
          <w:rFonts w:ascii="Arial" w:hAnsi="Arial" w:cs="Arial"/>
          <w:sz w:val="24"/>
          <w:szCs w:val="24"/>
          <w:lang w:eastAsia="en-GB"/>
        </w:rPr>
      </w:pPr>
    </w:p>
    <w:p w14:paraId="56C263C1" w14:textId="439C367B" w:rsidR="002C0E78" w:rsidRPr="00214A0D" w:rsidRDefault="002C0E78" w:rsidP="00BC508C">
      <w:pPr>
        <w:pStyle w:val="NoSpacing"/>
        <w:numPr>
          <w:ilvl w:val="1"/>
          <w:numId w:val="3"/>
        </w:numPr>
        <w:ind w:left="567" w:hanging="567"/>
        <w:jc w:val="both"/>
        <w:rPr>
          <w:rFonts w:ascii="Arial" w:hAnsi="Arial" w:cs="Arial"/>
          <w:sz w:val="24"/>
          <w:szCs w:val="24"/>
          <w:lang w:eastAsia="en-GB"/>
        </w:rPr>
      </w:pPr>
      <w:r w:rsidRPr="00214A0D">
        <w:rPr>
          <w:rFonts w:ascii="Arial" w:hAnsi="Arial" w:cs="Arial"/>
          <w:sz w:val="24"/>
          <w:szCs w:val="24"/>
          <w:lang w:eastAsia="en-GB"/>
        </w:rPr>
        <w:t>The redevelopment of the Three Estates is considered to be a sustainable approach to development in that the majority of development will take place on previously developed land. The proposals will deliver a number of economic, social and environmental benefits including the delivery of an improved housing stock and environment along with additional community facilities.</w:t>
      </w:r>
    </w:p>
    <w:p w14:paraId="677DC07D" w14:textId="77777777" w:rsidR="007F1A06" w:rsidRDefault="007F1A06" w:rsidP="00701D30">
      <w:pPr>
        <w:autoSpaceDE w:val="0"/>
        <w:autoSpaceDN w:val="0"/>
        <w:adjustRightInd w:val="0"/>
        <w:spacing w:after="0" w:line="240" w:lineRule="auto"/>
        <w:ind w:left="540"/>
        <w:jc w:val="both"/>
        <w:rPr>
          <w:rFonts w:ascii="Arial" w:hAnsi="Arial" w:cs="Arial"/>
          <w:sz w:val="24"/>
          <w:szCs w:val="24"/>
          <w:lang w:eastAsia="en-GB"/>
        </w:rPr>
      </w:pPr>
    </w:p>
    <w:p w14:paraId="5B61ECE8" w14:textId="77777777" w:rsidR="001836C1" w:rsidRDefault="007F1A06" w:rsidP="00BC508C">
      <w:pPr>
        <w:pStyle w:val="NoSpacing"/>
        <w:numPr>
          <w:ilvl w:val="1"/>
          <w:numId w:val="3"/>
        </w:numPr>
        <w:ind w:left="567" w:hanging="567"/>
        <w:jc w:val="both"/>
        <w:rPr>
          <w:rFonts w:ascii="Arial" w:hAnsi="Arial" w:cs="Arial"/>
          <w:iCs/>
          <w:sz w:val="24"/>
          <w:szCs w:val="24"/>
          <w:lang w:eastAsia="en-GB"/>
        </w:rPr>
      </w:pPr>
      <w:r>
        <w:rPr>
          <w:rFonts w:ascii="Arial" w:hAnsi="Arial" w:cs="Arial"/>
          <w:iCs/>
          <w:sz w:val="24"/>
          <w:szCs w:val="24"/>
          <w:lang w:eastAsia="en-GB"/>
        </w:rPr>
        <w:t>Section 5 of the Framework sets out policies with respect to delivering a sufficient supply of homes. This includes ensuring that a sufficient amount and variety of land can come forward where it is needed</w:t>
      </w:r>
      <w:r w:rsidR="009D612A">
        <w:rPr>
          <w:rFonts w:ascii="Arial" w:hAnsi="Arial" w:cs="Arial"/>
          <w:iCs/>
          <w:sz w:val="24"/>
          <w:szCs w:val="24"/>
          <w:lang w:eastAsia="en-GB"/>
        </w:rPr>
        <w:t>, that the needs of groups with specific housing requirements are addressed and that land with permission is developed without unnecessary delay</w:t>
      </w:r>
      <w:r>
        <w:rPr>
          <w:rFonts w:ascii="Arial" w:hAnsi="Arial" w:cs="Arial"/>
          <w:iCs/>
          <w:sz w:val="24"/>
          <w:szCs w:val="24"/>
          <w:lang w:eastAsia="en-GB"/>
        </w:rPr>
        <w:t xml:space="preserve">. </w:t>
      </w:r>
    </w:p>
    <w:p w14:paraId="56CA6535" w14:textId="77777777" w:rsidR="001836C1" w:rsidRDefault="001836C1" w:rsidP="00337185">
      <w:pPr>
        <w:pStyle w:val="ListParagraph"/>
        <w:spacing w:after="0" w:line="240" w:lineRule="auto"/>
        <w:rPr>
          <w:rFonts w:ascii="Arial" w:hAnsi="Arial" w:cs="Arial"/>
          <w:iCs/>
          <w:sz w:val="24"/>
          <w:szCs w:val="24"/>
          <w:lang w:eastAsia="en-GB"/>
        </w:rPr>
      </w:pPr>
    </w:p>
    <w:p w14:paraId="5BAE1B17" w14:textId="2D9995CB" w:rsidR="002C0E78" w:rsidRPr="001836C1" w:rsidRDefault="002C0E78" w:rsidP="00BC508C">
      <w:pPr>
        <w:pStyle w:val="NoSpacing"/>
        <w:numPr>
          <w:ilvl w:val="1"/>
          <w:numId w:val="3"/>
        </w:numPr>
        <w:ind w:left="567" w:hanging="567"/>
        <w:jc w:val="both"/>
        <w:rPr>
          <w:rFonts w:ascii="Arial" w:hAnsi="Arial" w:cs="Arial"/>
          <w:iCs/>
          <w:sz w:val="24"/>
          <w:szCs w:val="24"/>
          <w:lang w:eastAsia="en-GB"/>
        </w:rPr>
      </w:pPr>
      <w:r w:rsidRPr="001836C1">
        <w:rPr>
          <w:rFonts w:ascii="Arial" w:hAnsi="Arial" w:cs="Arial"/>
          <w:iCs/>
          <w:sz w:val="24"/>
          <w:szCs w:val="24"/>
          <w:lang w:eastAsia="en-GB"/>
        </w:rPr>
        <w:t>The Council’s programme of estate regeneration contributes to the ongoing provision of quality new houses across the city. A particular focus of the development at Pool Farm is the diversification of housing m</w:t>
      </w:r>
      <w:r w:rsidR="001836C1">
        <w:rPr>
          <w:rFonts w:ascii="Arial" w:hAnsi="Arial" w:cs="Arial"/>
          <w:iCs/>
          <w:sz w:val="24"/>
          <w:szCs w:val="24"/>
          <w:lang w:eastAsia="en-GB"/>
        </w:rPr>
        <w:t>i</w:t>
      </w:r>
      <w:r w:rsidRPr="001836C1">
        <w:rPr>
          <w:rFonts w:ascii="Arial" w:hAnsi="Arial" w:cs="Arial"/>
          <w:iCs/>
          <w:sz w:val="24"/>
          <w:szCs w:val="24"/>
          <w:lang w:eastAsia="en-GB"/>
        </w:rPr>
        <w:t>x from flats to family housing.</w:t>
      </w:r>
    </w:p>
    <w:p w14:paraId="6E68393C" w14:textId="77777777" w:rsidR="002C0E78" w:rsidRDefault="002C0E78" w:rsidP="007F1A06">
      <w:pPr>
        <w:autoSpaceDE w:val="0"/>
        <w:autoSpaceDN w:val="0"/>
        <w:adjustRightInd w:val="0"/>
        <w:spacing w:after="0" w:line="240" w:lineRule="auto"/>
        <w:jc w:val="both"/>
        <w:rPr>
          <w:rFonts w:ascii="Arial" w:hAnsi="Arial" w:cs="Arial"/>
          <w:iCs/>
          <w:sz w:val="24"/>
          <w:szCs w:val="24"/>
          <w:lang w:eastAsia="en-GB"/>
        </w:rPr>
      </w:pPr>
    </w:p>
    <w:p w14:paraId="6258BFFF" w14:textId="01CA8E87" w:rsidR="00A5492A" w:rsidRDefault="007F1A06" w:rsidP="00BC508C">
      <w:pPr>
        <w:pStyle w:val="NoSpacing"/>
        <w:numPr>
          <w:ilvl w:val="1"/>
          <w:numId w:val="3"/>
        </w:numPr>
        <w:ind w:left="567" w:hanging="567"/>
        <w:jc w:val="both"/>
        <w:rPr>
          <w:rFonts w:ascii="Arial" w:hAnsi="Arial" w:cs="Arial"/>
          <w:iCs/>
          <w:sz w:val="24"/>
          <w:szCs w:val="24"/>
          <w:lang w:eastAsia="en-GB"/>
        </w:rPr>
      </w:pPr>
      <w:r>
        <w:rPr>
          <w:rFonts w:ascii="Arial" w:hAnsi="Arial" w:cs="Arial"/>
          <w:iCs/>
          <w:sz w:val="24"/>
          <w:szCs w:val="24"/>
          <w:lang w:eastAsia="en-GB"/>
        </w:rPr>
        <w:t>Section 8 of the Framework deals with promoting healthy and safe communities and outlines that planning policies and decisions, amongst other things, should aim to achieve places that are safe and accessible.</w:t>
      </w:r>
      <w:r w:rsidR="009D612A" w:rsidRPr="009D612A">
        <w:rPr>
          <w:rFonts w:ascii="Arial" w:hAnsi="Arial" w:cs="Arial"/>
          <w:iCs/>
          <w:sz w:val="24"/>
          <w:szCs w:val="24"/>
          <w:lang w:eastAsia="en-GB"/>
        </w:rPr>
        <w:t xml:space="preserve"> </w:t>
      </w:r>
      <w:r w:rsidR="009D612A" w:rsidRPr="00CB2725">
        <w:rPr>
          <w:rFonts w:ascii="Arial" w:hAnsi="Arial" w:cs="Arial"/>
          <w:iCs/>
          <w:sz w:val="24"/>
          <w:szCs w:val="24"/>
          <w:lang w:eastAsia="en-GB"/>
        </w:rPr>
        <w:t xml:space="preserve">The planning framework also sets out the need to plan positively for the provision and use of shared spaces community facilities and other services. It also aims to guard against the unnecessary loss of valued facilities and services. Paragraph 93 sets out that planning policies and decisions should consider the social, economic and environmental benefits of estate regeneration. Local planning authorities should use their planning powers to help deliver </w:t>
      </w:r>
      <w:r w:rsidR="009D612A">
        <w:rPr>
          <w:rFonts w:ascii="Arial" w:hAnsi="Arial" w:cs="Arial"/>
          <w:iCs/>
          <w:sz w:val="24"/>
          <w:szCs w:val="24"/>
          <w:lang w:eastAsia="en-GB"/>
        </w:rPr>
        <w:t>e</w:t>
      </w:r>
      <w:r w:rsidR="009D612A" w:rsidRPr="00CB2725">
        <w:rPr>
          <w:rFonts w:ascii="Arial" w:hAnsi="Arial" w:cs="Arial"/>
          <w:iCs/>
          <w:sz w:val="24"/>
          <w:szCs w:val="24"/>
          <w:lang w:eastAsia="en-GB"/>
        </w:rPr>
        <w:t>state regeneration to a high standard.</w:t>
      </w:r>
    </w:p>
    <w:p w14:paraId="52CA924E" w14:textId="77777777" w:rsidR="00A5492A" w:rsidRDefault="00A5492A" w:rsidP="00A5492A">
      <w:pPr>
        <w:pStyle w:val="NoSpacing"/>
        <w:ind w:left="792"/>
        <w:jc w:val="both"/>
        <w:rPr>
          <w:rFonts w:ascii="Arial" w:hAnsi="Arial" w:cs="Arial"/>
          <w:iCs/>
          <w:sz w:val="24"/>
          <w:szCs w:val="24"/>
          <w:lang w:eastAsia="en-GB"/>
        </w:rPr>
      </w:pPr>
    </w:p>
    <w:p w14:paraId="4FB63BF6" w14:textId="117C2309" w:rsidR="002C0E78" w:rsidRPr="00A5492A" w:rsidRDefault="002C0E78" w:rsidP="00BC508C">
      <w:pPr>
        <w:pStyle w:val="NoSpacing"/>
        <w:numPr>
          <w:ilvl w:val="1"/>
          <w:numId w:val="3"/>
        </w:numPr>
        <w:ind w:left="567" w:hanging="567"/>
        <w:jc w:val="both"/>
        <w:rPr>
          <w:rFonts w:ascii="Arial" w:hAnsi="Arial" w:cs="Arial"/>
          <w:iCs/>
          <w:sz w:val="24"/>
          <w:szCs w:val="24"/>
          <w:lang w:eastAsia="en-GB"/>
        </w:rPr>
      </w:pPr>
      <w:r w:rsidRPr="00A5492A">
        <w:rPr>
          <w:rFonts w:ascii="Arial" w:hAnsi="Arial" w:cs="Arial"/>
          <w:iCs/>
          <w:sz w:val="24"/>
          <w:szCs w:val="24"/>
          <w:lang w:eastAsia="en-GB"/>
        </w:rPr>
        <w:t xml:space="preserve">As well as delivering new housing a key element of the regeneration of the Three Estates has been the improvement of the design and layout of the estates and the creation of improved living environments that address community safety and design against crime issues. </w:t>
      </w:r>
    </w:p>
    <w:p w14:paraId="6A241889" w14:textId="77777777" w:rsidR="002C0E78" w:rsidRDefault="002C0E78" w:rsidP="00701D30">
      <w:pPr>
        <w:autoSpaceDE w:val="0"/>
        <w:autoSpaceDN w:val="0"/>
        <w:adjustRightInd w:val="0"/>
        <w:spacing w:after="0" w:line="240" w:lineRule="auto"/>
        <w:ind w:left="540"/>
        <w:jc w:val="both"/>
        <w:rPr>
          <w:rFonts w:ascii="Arial" w:hAnsi="Arial" w:cs="Arial"/>
          <w:iCs/>
          <w:sz w:val="24"/>
          <w:szCs w:val="24"/>
          <w:lang w:eastAsia="en-GB"/>
        </w:rPr>
      </w:pPr>
    </w:p>
    <w:p w14:paraId="11C2B5AD" w14:textId="77777777" w:rsidR="005731C9" w:rsidRDefault="007F1A06" w:rsidP="00BC508C">
      <w:pPr>
        <w:pStyle w:val="NoSpacing"/>
        <w:numPr>
          <w:ilvl w:val="1"/>
          <w:numId w:val="3"/>
        </w:numPr>
        <w:ind w:left="567" w:hanging="567"/>
        <w:jc w:val="both"/>
        <w:rPr>
          <w:rFonts w:ascii="Arial" w:hAnsi="Arial" w:cs="Arial"/>
          <w:iCs/>
          <w:sz w:val="24"/>
          <w:szCs w:val="24"/>
          <w:lang w:eastAsia="en-GB"/>
        </w:rPr>
      </w:pPr>
      <w:r>
        <w:rPr>
          <w:rFonts w:ascii="Arial" w:hAnsi="Arial" w:cs="Arial"/>
          <w:iCs/>
          <w:sz w:val="24"/>
          <w:szCs w:val="24"/>
          <w:lang w:eastAsia="en-GB"/>
        </w:rPr>
        <w:t>Section 11 deals with making effective use of land, which includes the promotion of the development of underutilised land and buildings.</w:t>
      </w:r>
    </w:p>
    <w:p w14:paraId="75C05A0D" w14:textId="77777777" w:rsidR="005731C9" w:rsidRDefault="005731C9" w:rsidP="00A37D03">
      <w:pPr>
        <w:pStyle w:val="ListParagraph"/>
        <w:spacing w:after="0" w:line="240" w:lineRule="auto"/>
        <w:rPr>
          <w:rFonts w:ascii="Arial" w:hAnsi="Arial" w:cs="Arial"/>
          <w:iCs/>
          <w:sz w:val="24"/>
          <w:szCs w:val="24"/>
          <w:lang w:eastAsia="en-GB"/>
        </w:rPr>
      </w:pPr>
    </w:p>
    <w:p w14:paraId="26381E81" w14:textId="05FE8F0E" w:rsidR="002C0E78" w:rsidRPr="005731C9" w:rsidRDefault="002C0E78" w:rsidP="00BC508C">
      <w:pPr>
        <w:pStyle w:val="NoSpacing"/>
        <w:numPr>
          <w:ilvl w:val="1"/>
          <w:numId w:val="3"/>
        </w:numPr>
        <w:ind w:left="567" w:hanging="567"/>
        <w:jc w:val="both"/>
        <w:rPr>
          <w:rFonts w:ascii="Arial" w:hAnsi="Arial" w:cs="Arial"/>
          <w:iCs/>
          <w:sz w:val="24"/>
          <w:szCs w:val="24"/>
          <w:lang w:eastAsia="en-GB"/>
        </w:rPr>
      </w:pPr>
      <w:r w:rsidRPr="005731C9">
        <w:rPr>
          <w:rFonts w:ascii="Arial" w:hAnsi="Arial" w:cs="Arial"/>
          <w:iCs/>
          <w:sz w:val="24"/>
          <w:szCs w:val="24"/>
          <w:lang w:eastAsia="en-GB"/>
        </w:rPr>
        <w:t xml:space="preserve">The estate regeneration primarily utilises previously developed land, providing a mix of tenures and property sizes that reflect the needs of local people. </w:t>
      </w:r>
    </w:p>
    <w:p w14:paraId="0522DC84" w14:textId="77777777" w:rsidR="002C0E78" w:rsidRDefault="002C0E78" w:rsidP="007F1A06">
      <w:pPr>
        <w:autoSpaceDE w:val="0"/>
        <w:autoSpaceDN w:val="0"/>
        <w:adjustRightInd w:val="0"/>
        <w:spacing w:after="0" w:line="240" w:lineRule="auto"/>
        <w:jc w:val="both"/>
        <w:rPr>
          <w:rFonts w:ascii="Arial" w:hAnsi="Arial" w:cs="Arial"/>
          <w:iCs/>
          <w:sz w:val="24"/>
          <w:szCs w:val="24"/>
          <w:lang w:eastAsia="en-GB"/>
        </w:rPr>
      </w:pPr>
    </w:p>
    <w:p w14:paraId="10A06773" w14:textId="74AD626B" w:rsidR="005731C9" w:rsidRDefault="007F1A06" w:rsidP="00BC508C">
      <w:pPr>
        <w:pStyle w:val="NoSpacing"/>
        <w:numPr>
          <w:ilvl w:val="1"/>
          <w:numId w:val="3"/>
        </w:numPr>
        <w:ind w:left="567" w:hanging="567"/>
        <w:jc w:val="both"/>
        <w:rPr>
          <w:rFonts w:ascii="Arial" w:hAnsi="Arial" w:cs="Arial"/>
          <w:iCs/>
          <w:sz w:val="24"/>
          <w:szCs w:val="24"/>
          <w:lang w:eastAsia="en-GB"/>
        </w:rPr>
      </w:pPr>
      <w:r>
        <w:rPr>
          <w:rFonts w:ascii="Arial" w:hAnsi="Arial" w:cs="Arial"/>
          <w:iCs/>
          <w:sz w:val="24"/>
          <w:szCs w:val="24"/>
          <w:lang w:eastAsia="en-GB"/>
        </w:rPr>
        <w:t>Section 12 deals with achieving well-designed places. This includes ensuring that developments function well and add to the overall quality of the area, are visually attractive as a result of good architecture and layout, are sympathetic to local character, establish a strong sense of place, and create places that are safe, inclusive and accessible.</w:t>
      </w:r>
    </w:p>
    <w:p w14:paraId="3AA59330" w14:textId="77777777" w:rsidR="005731C9" w:rsidRDefault="005731C9" w:rsidP="005731C9">
      <w:pPr>
        <w:pStyle w:val="NoSpacing"/>
        <w:ind w:left="792"/>
        <w:jc w:val="both"/>
        <w:rPr>
          <w:rFonts w:ascii="Arial" w:hAnsi="Arial" w:cs="Arial"/>
          <w:iCs/>
          <w:sz w:val="24"/>
          <w:szCs w:val="24"/>
          <w:lang w:eastAsia="en-GB"/>
        </w:rPr>
      </w:pPr>
    </w:p>
    <w:p w14:paraId="0467430E" w14:textId="0F677FD9" w:rsidR="002C0E78" w:rsidRPr="005731C9" w:rsidRDefault="002C0E78" w:rsidP="00BC508C">
      <w:pPr>
        <w:pStyle w:val="NoSpacing"/>
        <w:numPr>
          <w:ilvl w:val="1"/>
          <w:numId w:val="3"/>
        </w:numPr>
        <w:ind w:left="567" w:hanging="567"/>
        <w:jc w:val="both"/>
        <w:rPr>
          <w:rFonts w:ascii="Arial" w:hAnsi="Arial" w:cs="Arial"/>
          <w:iCs/>
          <w:sz w:val="24"/>
          <w:szCs w:val="24"/>
          <w:lang w:eastAsia="en-GB"/>
        </w:rPr>
      </w:pPr>
      <w:r w:rsidRPr="005731C9">
        <w:rPr>
          <w:rFonts w:ascii="Arial" w:hAnsi="Arial" w:cs="Arial"/>
          <w:iCs/>
          <w:sz w:val="24"/>
          <w:szCs w:val="24"/>
          <w:lang w:eastAsia="en-GB"/>
        </w:rPr>
        <w:t xml:space="preserve">The Kings Norton Planning Framework set out land use and design principles for the regeneration and development of the Three Estates and these have, along with other adopted Council design guidance has helped shape the detailed proposals for the area. Key features of the Pool Farm redevelopment </w:t>
      </w:r>
      <w:r w:rsidR="00701D30" w:rsidRPr="005731C9">
        <w:rPr>
          <w:rFonts w:ascii="Arial" w:hAnsi="Arial" w:cs="Arial"/>
          <w:iCs/>
          <w:sz w:val="24"/>
          <w:szCs w:val="24"/>
          <w:lang w:eastAsia="en-GB"/>
        </w:rPr>
        <w:t>include</w:t>
      </w:r>
      <w:r w:rsidRPr="005731C9">
        <w:rPr>
          <w:rFonts w:ascii="Arial" w:hAnsi="Arial" w:cs="Arial"/>
          <w:iCs/>
          <w:sz w:val="24"/>
          <w:szCs w:val="24"/>
          <w:lang w:eastAsia="en-GB"/>
        </w:rPr>
        <w:t xml:space="preserve"> the creation of more secure perimeter blocks, stronger building lines with improved street surveillance, a more positive creation of a sense of place through house groupings and treatment of corner plots and improved pedestrian routes. Particula</w:t>
      </w:r>
      <w:r w:rsidR="00EE54A2" w:rsidRPr="005731C9">
        <w:rPr>
          <w:rFonts w:ascii="Arial" w:hAnsi="Arial" w:cs="Arial"/>
          <w:iCs/>
          <w:sz w:val="24"/>
          <w:szCs w:val="24"/>
          <w:lang w:eastAsia="en-GB"/>
        </w:rPr>
        <w:t xml:space="preserve">r </w:t>
      </w:r>
      <w:r w:rsidRPr="005731C9">
        <w:rPr>
          <w:rFonts w:ascii="Arial" w:hAnsi="Arial" w:cs="Arial"/>
          <w:iCs/>
          <w:sz w:val="24"/>
          <w:szCs w:val="24"/>
          <w:lang w:eastAsia="en-GB"/>
        </w:rPr>
        <w:t xml:space="preserve">regard has been given to the importance of topography, trees and landscaping. </w:t>
      </w:r>
    </w:p>
    <w:p w14:paraId="206FF131" w14:textId="77777777" w:rsidR="002C0E78" w:rsidRDefault="002C0E78" w:rsidP="007F1A06">
      <w:pPr>
        <w:autoSpaceDE w:val="0"/>
        <w:autoSpaceDN w:val="0"/>
        <w:adjustRightInd w:val="0"/>
        <w:spacing w:after="0" w:line="240" w:lineRule="auto"/>
        <w:jc w:val="both"/>
        <w:rPr>
          <w:rFonts w:ascii="Arial" w:hAnsi="Arial" w:cs="Arial"/>
          <w:iCs/>
          <w:sz w:val="24"/>
          <w:szCs w:val="24"/>
          <w:lang w:eastAsia="en-GB"/>
        </w:rPr>
      </w:pPr>
    </w:p>
    <w:p w14:paraId="566DE25F" w14:textId="77777777" w:rsidR="007F1A06" w:rsidRPr="0061214E" w:rsidRDefault="007F1A06" w:rsidP="007F1A06">
      <w:pPr>
        <w:autoSpaceDE w:val="0"/>
        <w:autoSpaceDN w:val="0"/>
        <w:adjustRightInd w:val="0"/>
        <w:spacing w:after="0" w:line="240" w:lineRule="auto"/>
        <w:ind w:left="360" w:firstLine="207"/>
        <w:jc w:val="both"/>
        <w:rPr>
          <w:rFonts w:ascii="Arial" w:hAnsi="Arial" w:cs="Arial"/>
          <w:bCs/>
          <w:sz w:val="24"/>
          <w:szCs w:val="24"/>
          <w:lang w:eastAsia="en-GB"/>
        </w:rPr>
      </w:pPr>
      <w:r>
        <w:rPr>
          <w:rFonts w:ascii="Arial" w:hAnsi="Arial" w:cs="Arial"/>
          <w:b/>
          <w:bCs/>
          <w:sz w:val="24"/>
          <w:szCs w:val="24"/>
          <w:lang w:eastAsia="en-GB"/>
        </w:rPr>
        <w:lastRenderedPageBreak/>
        <w:t>L</w:t>
      </w:r>
      <w:r w:rsidRPr="0098018C">
        <w:rPr>
          <w:rFonts w:ascii="Arial" w:hAnsi="Arial" w:cs="Arial"/>
          <w:b/>
          <w:bCs/>
          <w:sz w:val="24"/>
          <w:szCs w:val="24"/>
          <w:lang w:eastAsia="en-GB"/>
        </w:rPr>
        <w:t>ocal Planning Policy</w:t>
      </w:r>
    </w:p>
    <w:p w14:paraId="5092488D" w14:textId="77777777" w:rsidR="007F1A06" w:rsidRPr="0061214E" w:rsidRDefault="007F1A06" w:rsidP="007F1A06">
      <w:pPr>
        <w:autoSpaceDE w:val="0"/>
        <w:autoSpaceDN w:val="0"/>
        <w:adjustRightInd w:val="0"/>
        <w:spacing w:after="0" w:line="240" w:lineRule="auto"/>
        <w:ind w:left="540"/>
        <w:jc w:val="both"/>
        <w:rPr>
          <w:rFonts w:ascii="Arial" w:hAnsi="Arial" w:cs="Arial"/>
          <w:bCs/>
          <w:sz w:val="24"/>
          <w:szCs w:val="24"/>
          <w:lang w:eastAsia="en-GB"/>
        </w:rPr>
      </w:pPr>
    </w:p>
    <w:p w14:paraId="16F63499" w14:textId="33B12CAE" w:rsidR="007F1A06" w:rsidRPr="00706739" w:rsidRDefault="007F1A06" w:rsidP="007F1A06">
      <w:pPr>
        <w:autoSpaceDE w:val="0"/>
        <w:autoSpaceDN w:val="0"/>
        <w:adjustRightInd w:val="0"/>
        <w:spacing w:after="0" w:line="240" w:lineRule="auto"/>
        <w:ind w:left="360" w:firstLine="207"/>
        <w:jc w:val="both"/>
        <w:rPr>
          <w:rFonts w:ascii="Arial" w:hAnsi="Arial" w:cs="Arial"/>
          <w:bCs/>
          <w:sz w:val="24"/>
          <w:szCs w:val="24"/>
          <w:u w:val="single"/>
          <w:lang w:eastAsia="en-GB"/>
        </w:rPr>
      </w:pPr>
      <w:r w:rsidRPr="00706739">
        <w:rPr>
          <w:rFonts w:ascii="Arial" w:hAnsi="Arial" w:cs="Arial"/>
          <w:bCs/>
          <w:sz w:val="24"/>
          <w:szCs w:val="24"/>
          <w:u w:val="single"/>
          <w:lang w:eastAsia="en-GB"/>
        </w:rPr>
        <w:t>Birmingham Development Plan 2031.</w:t>
      </w:r>
      <w:r w:rsidR="00D1063A">
        <w:rPr>
          <w:rFonts w:ascii="Arial" w:hAnsi="Arial" w:cs="Arial"/>
          <w:bCs/>
          <w:sz w:val="24"/>
          <w:szCs w:val="24"/>
          <w:u w:val="single"/>
          <w:lang w:eastAsia="en-GB"/>
        </w:rPr>
        <w:t xml:space="preserve"> (</w:t>
      </w:r>
      <w:r w:rsidR="00D1063A" w:rsidRPr="00020D99">
        <w:rPr>
          <w:rFonts w:ascii="Arial" w:hAnsi="Arial" w:cs="Arial"/>
          <w:bCs/>
          <w:sz w:val="24"/>
          <w:szCs w:val="24"/>
          <w:u w:val="single"/>
          <w:lang w:eastAsia="en-GB"/>
        </w:rPr>
        <w:t>BCC</w:t>
      </w:r>
      <w:r w:rsidR="00544DC5" w:rsidRPr="00020D99">
        <w:rPr>
          <w:rFonts w:ascii="Arial" w:hAnsi="Arial" w:cs="Arial"/>
          <w:bCs/>
          <w:sz w:val="24"/>
          <w:szCs w:val="24"/>
          <w:u w:val="single"/>
          <w:lang w:eastAsia="en-GB"/>
        </w:rPr>
        <w:t xml:space="preserve"> 14 and BCC </w:t>
      </w:r>
      <w:r w:rsidR="008C7001" w:rsidRPr="00020D99">
        <w:rPr>
          <w:rFonts w:ascii="Arial" w:hAnsi="Arial" w:cs="Arial"/>
          <w:bCs/>
          <w:sz w:val="24"/>
          <w:szCs w:val="24"/>
          <w:u w:val="single"/>
          <w:lang w:eastAsia="en-GB"/>
        </w:rPr>
        <w:t>15</w:t>
      </w:r>
      <w:r w:rsidR="00D1063A" w:rsidRPr="00020D99">
        <w:rPr>
          <w:rFonts w:ascii="Arial" w:hAnsi="Arial" w:cs="Arial"/>
          <w:bCs/>
          <w:sz w:val="24"/>
          <w:szCs w:val="24"/>
          <w:u w:val="single"/>
          <w:lang w:eastAsia="en-GB"/>
        </w:rPr>
        <w:t>)</w:t>
      </w:r>
    </w:p>
    <w:p w14:paraId="7E4C9038" w14:textId="77777777" w:rsidR="007F1A06" w:rsidRPr="0098018C" w:rsidRDefault="007F1A06" w:rsidP="007F1A06">
      <w:pPr>
        <w:autoSpaceDE w:val="0"/>
        <w:autoSpaceDN w:val="0"/>
        <w:adjustRightInd w:val="0"/>
        <w:spacing w:after="0" w:line="240" w:lineRule="auto"/>
        <w:jc w:val="both"/>
        <w:rPr>
          <w:rFonts w:ascii="Arial" w:hAnsi="Arial" w:cs="Arial"/>
          <w:b/>
          <w:bCs/>
          <w:sz w:val="24"/>
          <w:szCs w:val="24"/>
          <w:lang w:eastAsia="en-GB"/>
        </w:rPr>
      </w:pPr>
    </w:p>
    <w:p w14:paraId="5A45AEDA" w14:textId="2F0BEE72" w:rsidR="007F1A06" w:rsidRPr="0098018C" w:rsidRDefault="007F1A06" w:rsidP="00BC508C">
      <w:pPr>
        <w:pStyle w:val="NoSpacing"/>
        <w:numPr>
          <w:ilvl w:val="1"/>
          <w:numId w:val="3"/>
        </w:numPr>
        <w:ind w:left="567" w:hanging="567"/>
        <w:jc w:val="both"/>
        <w:rPr>
          <w:rFonts w:ascii="Arial" w:hAnsi="Arial" w:cs="Arial"/>
          <w:sz w:val="24"/>
          <w:szCs w:val="24"/>
          <w:lang w:eastAsia="en-GB"/>
        </w:rPr>
      </w:pPr>
      <w:r w:rsidRPr="0061214E">
        <w:rPr>
          <w:rFonts w:ascii="Arial" w:hAnsi="Arial" w:cs="Arial"/>
          <w:iCs/>
          <w:sz w:val="24"/>
          <w:szCs w:val="24"/>
          <w:lang w:eastAsia="en-GB"/>
        </w:rPr>
        <w:t>The</w:t>
      </w:r>
      <w:r w:rsidRPr="0098018C">
        <w:rPr>
          <w:rFonts w:ascii="Arial" w:hAnsi="Arial" w:cs="Arial"/>
          <w:sz w:val="24"/>
          <w:szCs w:val="24"/>
          <w:lang w:eastAsia="en-GB"/>
        </w:rPr>
        <w:t xml:space="preserve"> Birmingham Development Plan (BDP) 2031 was adopted by </w:t>
      </w:r>
      <w:r w:rsidR="0083100C">
        <w:rPr>
          <w:rFonts w:ascii="Arial" w:hAnsi="Arial" w:cs="Arial"/>
          <w:sz w:val="24"/>
          <w:szCs w:val="24"/>
          <w:lang w:eastAsia="en-GB"/>
        </w:rPr>
        <w:t>the</w:t>
      </w:r>
      <w:r w:rsidRPr="0098018C">
        <w:rPr>
          <w:rFonts w:ascii="Arial" w:hAnsi="Arial" w:cs="Arial"/>
          <w:sz w:val="24"/>
          <w:szCs w:val="24"/>
          <w:lang w:eastAsia="en-GB"/>
        </w:rPr>
        <w:t xml:space="preserve"> Council on</w:t>
      </w:r>
      <w:r>
        <w:rPr>
          <w:rFonts w:ascii="Arial" w:hAnsi="Arial" w:cs="Arial"/>
          <w:sz w:val="24"/>
          <w:szCs w:val="24"/>
          <w:lang w:eastAsia="en-GB"/>
        </w:rPr>
        <w:t xml:space="preserve"> </w:t>
      </w:r>
      <w:r w:rsidRPr="0098018C">
        <w:rPr>
          <w:rFonts w:ascii="Arial" w:hAnsi="Arial" w:cs="Arial"/>
          <w:sz w:val="24"/>
          <w:szCs w:val="24"/>
          <w:lang w:eastAsia="en-GB"/>
        </w:rPr>
        <w:t>10 January 2017. The BDP sets out a spatial vision and strategy for the sustainable growth</w:t>
      </w:r>
      <w:r>
        <w:rPr>
          <w:rFonts w:ascii="Arial" w:hAnsi="Arial" w:cs="Arial"/>
          <w:sz w:val="24"/>
          <w:szCs w:val="24"/>
          <w:lang w:eastAsia="en-GB"/>
        </w:rPr>
        <w:t xml:space="preserve"> </w:t>
      </w:r>
      <w:r w:rsidRPr="0098018C">
        <w:rPr>
          <w:rFonts w:ascii="Arial" w:hAnsi="Arial" w:cs="Arial"/>
          <w:sz w:val="24"/>
          <w:szCs w:val="24"/>
          <w:lang w:eastAsia="en-GB"/>
        </w:rPr>
        <w:t>of Birmingham for the period 2011 to 2031, and will be used to guide decisions on planning,</w:t>
      </w:r>
      <w:r>
        <w:rPr>
          <w:rFonts w:ascii="Arial" w:hAnsi="Arial" w:cs="Arial"/>
          <w:sz w:val="24"/>
          <w:szCs w:val="24"/>
          <w:lang w:eastAsia="en-GB"/>
        </w:rPr>
        <w:t xml:space="preserve"> </w:t>
      </w:r>
      <w:r w:rsidRPr="0098018C">
        <w:rPr>
          <w:rFonts w:ascii="Arial" w:hAnsi="Arial" w:cs="Arial"/>
          <w:sz w:val="24"/>
          <w:szCs w:val="24"/>
          <w:lang w:eastAsia="en-GB"/>
        </w:rPr>
        <w:t>development and regeneration.</w:t>
      </w:r>
    </w:p>
    <w:p w14:paraId="3E51BA6F" w14:textId="77777777" w:rsidR="007F1A06" w:rsidRDefault="007F1A06" w:rsidP="007F1A06">
      <w:pPr>
        <w:autoSpaceDE w:val="0"/>
        <w:autoSpaceDN w:val="0"/>
        <w:adjustRightInd w:val="0"/>
        <w:spacing w:after="0" w:line="240" w:lineRule="auto"/>
        <w:jc w:val="both"/>
        <w:rPr>
          <w:rFonts w:ascii="Arial" w:hAnsi="Arial" w:cs="Arial"/>
          <w:sz w:val="24"/>
          <w:szCs w:val="24"/>
          <w:lang w:eastAsia="en-GB"/>
        </w:rPr>
      </w:pPr>
    </w:p>
    <w:p w14:paraId="606A1AF9" w14:textId="2EA87F88" w:rsidR="007F1A06" w:rsidRDefault="007F1A06" w:rsidP="00BC508C">
      <w:pPr>
        <w:pStyle w:val="NoSpacing"/>
        <w:numPr>
          <w:ilvl w:val="1"/>
          <w:numId w:val="3"/>
        </w:numPr>
        <w:ind w:left="567" w:hanging="567"/>
        <w:jc w:val="both"/>
        <w:rPr>
          <w:rFonts w:ascii="Arial" w:hAnsi="Arial" w:cs="Arial"/>
          <w:sz w:val="24"/>
          <w:szCs w:val="24"/>
          <w:lang w:eastAsia="en-GB"/>
        </w:rPr>
      </w:pPr>
      <w:r w:rsidRPr="0061214E">
        <w:rPr>
          <w:rFonts w:ascii="Arial" w:hAnsi="Arial" w:cs="Arial"/>
          <w:iCs/>
          <w:sz w:val="24"/>
          <w:szCs w:val="24"/>
          <w:lang w:eastAsia="en-GB"/>
        </w:rPr>
        <w:t>The</w:t>
      </w:r>
      <w:r w:rsidRPr="0098018C">
        <w:rPr>
          <w:rFonts w:ascii="Arial" w:hAnsi="Arial" w:cs="Arial"/>
          <w:sz w:val="24"/>
          <w:szCs w:val="24"/>
          <w:lang w:eastAsia="en-GB"/>
        </w:rPr>
        <w:t xml:space="preserve"> BDP replac</w:t>
      </w:r>
      <w:r>
        <w:rPr>
          <w:rFonts w:ascii="Arial" w:hAnsi="Arial" w:cs="Arial"/>
          <w:sz w:val="24"/>
          <w:szCs w:val="24"/>
          <w:lang w:eastAsia="en-GB"/>
        </w:rPr>
        <w:t>es</w:t>
      </w:r>
      <w:r w:rsidRPr="0098018C">
        <w:rPr>
          <w:rFonts w:ascii="Arial" w:hAnsi="Arial" w:cs="Arial"/>
          <w:sz w:val="24"/>
          <w:szCs w:val="24"/>
          <w:lang w:eastAsia="en-GB"/>
        </w:rPr>
        <w:t xml:space="preserve"> the policies in the </w:t>
      </w:r>
      <w:r>
        <w:rPr>
          <w:rFonts w:ascii="Arial" w:hAnsi="Arial" w:cs="Arial"/>
          <w:sz w:val="24"/>
          <w:szCs w:val="24"/>
          <w:lang w:eastAsia="en-GB"/>
        </w:rPr>
        <w:t xml:space="preserve">former </w:t>
      </w:r>
      <w:r w:rsidRPr="0098018C">
        <w:rPr>
          <w:rFonts w:ascii="Arial" w:hAnsi="Arial" w:cs="Arial"/>
          <w:sz w:val="24"/>
          <w:szCs w:val="24"/>
          <w:lang w:eastAsia="en-GB"/>
        </w:rPr>
        <w:t>Birmingham Unitary Development Plan 2005, with the exception</w:t>
      </w:r>
      <w:r>
        <w:rPr>
          <w:rFonts w:ascii="Arial" w:hAnsi="Arial" w:cs="Arial"/>
          <w:sz w:val="24"/>
          <w:szCs w:val="24"/>
          <w:lang w:eastAsia="en-GB"/>
        </w:rPr>
        <w:t xml:space="preserve"> </w:t>
      </w:r>
      <w:r w:rsidRPr="0098018C">
        <w:rPr>
          <w:rFonts w:ascii="Arial" w:hAnsi="Arial" w:cs="Arial"/>
          <w:sz w:val="24"/>
          <w:szCs w:val="24"/>
          <w:lang w:eastAsia="en-GB"/>
        </w:rPr>
        <w:t xml:space="preserve">of policies contained in chapter 8 </w:t>
      </w:r>
      <w:r>
        <w:rPr>
          <w:rFonts w:ascii="Arial" w:hAnsi="Arial" w:cs="Arial"/>
          <w:sz w:val="24"/>
          <w:szCs w:val="24"/>
          <w:lang w:eastAsia="en-GB"/>
        </w:rPr>
        <w:t xml:space="preserve">(Additional City Wide Policies) </w:t>
      </w:r>
      <w:r w:rsidRPr="0098018C">
        <w:rPr>
          <w:rFonts w:ascii="Arial" w:hAnsi="Arial" w:cs="Arial"/>
          <w:sz w:val="24"/>
          <w:szCs w:val="24"/>
          <w:lang w:eastAsia="en-GB"/>
        </w:rPr>
        <w:t xml:space="preserve">and paragraphs 3.14 to 3.14D </w:t>
      </w:r>
      <w:r>
        <w:rPr>
          <w:rFonts w:ascii="Arial" w:hAnsi="Arial" w:cs="Arial"/>
          <w:sz w:val="24"/>
          <w:szCs w:val="24"/>
          <w:lang w:eastAsia="en-GB"/>
        </w:rPr>
        <w:t xml:space="preserve">(The Design of New Development) </w:t>
      </w:r>
      <w:r w:rsidRPr="0098018C">
        <w:rPr>
          <w:rFonts w:ascii="Arial" w:hAnsi="Arial" w:cs="Arial"/>
          <w:sz w:val="24"/>
          <w:szCs w:val="24"/>
          <w:lang w:eastAsia="en-GB"/>
        </w:rPr>
        <w:t>of that plan, which will</w:t>
      </w:r>
      <w:r>
        <w:rPr>
          <w:rFonts w:ascii="Arial" w:hAnsi="Arial" w:cs="Arial"/>
          <w:sz w:val="24"/>
          <w:szCs w:val="24"/>
          <w:lang w:eastAsia="en-GB"/>
        </w:rPr>
        <w:t xml:space="preserve"> </w:t>
      </w:r>
      <w:r w:rsidRPr="0098018C">
        <w:rPr>
          <w:rFonts w:ascii="Arial" w:hAnsi="Arial" w:cs="Arial"/>
          <w:sz w:val="24"/>
          <w:szCs w:val="24"/>
          <w:lang w:eastAsia="en-GB"/>
        </w:rPr>
        <w:t xml:space="preserve">continue in force until the adoption of the council’s proposed </w:t>
      </w:r>
      <w:r>
        <w:rPr>
          <w:rFonts w:ascii="Arial" w:hAnsi="Arial" w:cs="Arial"/>
          <w:sz w:val="24"/>
          <w:szCs w:val="24"/>
          <w:lang w:eastAsia="en-GB"/>
        </w:rPr>
        <w:t>D</w:t>
      </w:r>
      <w:r w:rsidRPr="0098018C">
        <w:rPr>
          <w:rFonts w:ascii="Arial" w:hAnsi="Arial" w:cs="Arial"/>
          <w:sz w:val="24"/>
          <w:szCs w:val="24"/>
          <w:lang w:eastAsia="en-GB"/>
        </w:rPr>
        <w:t xml:space="preserve">evelopment </w:t>
      </w:r>
      <w:r>
        <w:rPr>
          <w:rFonts w:ascii="Arial" w:hAnsi="Arial" w:cs="Arial"/>
          <w:sz w:val="24"/>
          <w:szCs w:val="24"/>
          <w:lang w:eastAsia="en-GB"/>
        </w:rPr>
        <w:t>M</w:t>
      </w:r>
      <w:r w:rsidRPr="0098018C">
        <w:rPr>
          <w:rFonts w:ascii="Arial" w:hAnsi="Arial" w:cs="Arial"/>
          <w:sz w:val="24"/>
          <w:szCs w:val="24"/>
          <w:lang w:eastAsia="en-GB"/>
        </w:rPr>
        <w:t>anagement</w:t>
      </w:r>
      <w:r>
        <w:rPr>
          <w:rFonts w:ascii="Arial" w:hAnsi="Arial" w:cs="Arial"/>
          <w:sz w:val="24"/>
          <w:szCs w:val="24"/>
          <w:lang w:eastAsia="en-GB"/>
        </w:rPr>
        <w:t xml:space="preserve"> </w:t>
      </w:r>
      <w:r w:rsidR="00FF6768">
        <w:rPr>
          <w:rFonts w:ascii="Arial" w:hAnsi="Arial" w:cs="Arial"/>
          <w:sz w:val="24"/>
          <w:szCs w:val="24"/>
          <w:lang w:eastAsia="en-GB"/>
        </w:rPr>
        <w:t xml:space="preserve">in Birmingham </w:t>
      </w:r>
      <w:r>
        <w:rPr>
          <w:rFonts w:ascii="Arial" w:hAnsi="Arial" w:cs="Arial"/>
          <w:sz w:val="24"/>
          <w:szCs w:val="24"/>
          <w:lang w:eastAsia="en-GB"/>
        </w:rPr>
        <w:t>D</w:t>
      </w:r>
      <w:r w:rsidRPr="0098018C">
        <w:rPr>
          <w:rFonts w:ascii="Arial" w:hAnsi="Arial" w:cs="Arial"/>
          <w:sz w:val="24"/>
          <w:szCs w:val="24"/>
          <w:lang w:eastAsia="en-GB"/>
        </w:rPr>
        <w:t xml:space="preserve">evelopment </w:t>
      </w:r>
      <w:r>
        <w:rPr>
          <w:rFonts w:ascii="Arial" w:hAnsi="Arial" w:cs="Arial"/>
          <w:sz w:val="24"/>
          <w:szCs w:val="24"/>
          <w:lang w:eastAsia="en-GB"/>
        </w:rPr>
        <w:t>P</w:t>
      </w:r>
      <w:r w:rsidRPr="0098018C">
        <w:rPr>
          <w:rFonts w:ascii="Arial" w:hAnsi="Arial" w:cs="Arial"/>
          <w:sz w:val="24"/>
          <w:szCs w:val="24"/>
          <w:lang w:eastAsia="en-GB"/>
        </w:rPr>
        <w:t xml:space="preserve">lan </w:t>
      </w:r>
      <w:r>
        <w:rPr>
          <w:rFonts w:ascii="Arial" w:hAnsi="Arial" w:cs="Arial"/>
          <w:sz w:val="24"/>
          <w:szCs w:val="24"/>
          <w:lang w:eastAsia="en-GB"/>
        </w:rPr>
        <w:t>D</w:t>
      </w:r>
      <w:r w:rsidRPr="0098018C">
        <w:rPr>
          <w:rFonts w:ascii="Arial" w:hAnsi="Arial" w:cs="Arial"/>
          <w:sz w:val="24"/>
          <w:szCs w:val="24"/>
          <w:lang w:eastAsia="en-GB"/>
        </w:rPr>
        <w:t>ocument</w:t>
      </w:r>
      <w:r>
        <w:rPr>
          <w:rFonts w:ascii="Arial" w:hAnsi="Arial" w:cs="Arial"/>
          <w:sz w:val="24"/>
          <w:szCs w:val="24"/>
          <w:lang w:eastAsia="en-GB"/>
        </w:rPr>
        <w:t>.</w:t>
      </w:r>
      <w:r w:rsidR="00B4570E">
        <w:rPr>
          <w:rFonts w:ascii="Arial" w:hAnsi="Arial" w:cs="Arial"/>
          <w:sz w:val="24"/>
          <w:szCs w:val="24"/>
          <w:lang w:eastAsia="en-GB"/>
        </w:rPr>
        <w:t xml:space="preserve"> The f</w:t>
      </w:r>
      <w:r w:rsidR="00B4570E" w:rsidRPr="00B4570E">
        <w:rPr>
          <w:rFonts w:ascii="Arial" w:hAnsi="Arial" w:cs="Arial"/>
          <w:sz w:val="24"/>
          <w:szCs w:val="24"/>
          <w:lang w:eastAsia="en-GB"/>
        </w:rPr>
        <w:t xml:space="preserve">ormer </w:t>
      </w:r>
      <w:r w:rsidR="00B4570E">
        <w:rPr>
          <w:rFonts w:ascii="Arial" w:hAnsi="Arial" w:cs="Arial"/>
          <w:sz w:val="24"/>
          <w:szCs w:val="24"/>
          <w:lang w:eastAsia="en-GB"/>
        </w:rPr>
        <w:t>U</w:t>
      </w:r>
      <w:r w:rsidR="00B4570E" w:rsidRPr="00B4570E">
        <w:rPr>
          <w:rFonts w:ascii="Arial" w:hAnsi="Arial" w:cs="Arial"/>
          <w:sz w:val="24"/>
          <w:szCs w:val="24"/>
          <w:lang w:eastAsia="en-GB"/>
        </w:rPr>
        <w:t>nit</w:t>
      </w:r>
      <w:r w:rsidR="00B4570E">
        <w:rPr>
          <w:rFonts w:ascii="Arial" w:hAnsi="Arial" w:cs="Arial"/>
          <w:sz w:val="24"/>
          <w:szCs w:val="24"/>
          <w:lang w:eastAsia="en-GB"/>
        </w:rPr>
        <w:t xml:space="preserve">ary </w:t>
      </w:r>
      <w:r w:rsidR="00B4570E" w:rsidRPr="00B4570E">
        <w:rPr>
          <w:rFonts w:ascii="Arial" w:hAnsi="Arial" w:cs="Arial"/>
          <w:sz w:val="24"/>
          <w:szCs w:val="24"/>
          <w:lang w:eastAsia="en-GB"/>
        </w:rPr>
        <w:t>Development plan made reference to the area having poor housing conditions</w:t>
      </w:r>
      <w:r w:rsidR="00B4570E">
        <w:rPr>
          <w:rFonts w:ascii="Arial" w:hAnsi="Arial" w:cs="Arial"/>
          <w:sz w:val="24"/>
          <w:szCs w:val="24"/>
          <w:lang w:eastAsia="en-GB"/>
        </w:rPr>
        <w:t>,</w:t>
      </w:r>
      <w:r w:rsidR="00B4570E" w:rsidRPr="00B4570E">
        <w:rPr>
          <w:rFonts w:ascii="Arial" w:hAnsi="Arial" w:cs="Arial"/>
          <w:sz w:val="24"/>
          <w:szCs w:val="24"/>
          <w:lang w:eastAsia="en-GB"/>
        </w:rPr>
        <w:t xml:space="preserve"> a poor environment and shortages of local open space. A specific development proposal for housing regeneration</w:t>
      </w:r>
      <w:r w:rsidR="00B4570E">
        <w:rPr>
          <w:rFonts w:ascii="Arial" w:hAnsi="Arial" w:cs="Arial"/>
          <w:sz w:val="24"/>
          <w:szCs w:val="24"/>
          <w:lang w:eastAsia="en-GB"/>
        </w:rPr>
        <w:t xml:space="preserve"> (HR</w:t>
      </w:r>
      <w:r w:rsidR="00B4570E" w:rsidRPr="00B4570E">
        <w:rPr>
          <w:rFonts w:ascii="Arial" w:hAnsi="Arial" w:cs="Arial"/>
          <w:sz w:val="24"/>
          <w:szCs w:val="24"/>
          <w:lang w:eastAsia="en-GB"/>
        </w:rPr>
        <w:t xml:space="preserve"> 21</w:t>
      </w:r>
      <w:r w:rsidR="00B4570E">
        <w:rPr>
          <w:rFonts w:ascii="Arial" w:hAnsi="Arial" w:cs="Arial"/>
          <w:sz w:val="24"/>
          <w:szCs w:val="24"/>
          <w:lang w:eastAsia="en-GB"/>
        </w:rPr>
        <w:t>)</w:t>
      </w:r>
      <w:r w:rsidR="00B4570E" w:rsidRPr="00B4570E">
        <w:rPr>
          <w:rFonts w:ascii="Arial" w:hAnsi="Arial" w:cs="Arial"/>
          <w:sz w:val="24"/>
          <w:szCs w:val="24"/>
          <w:lang w:eastAsia="en-GB"/>
        </w:rPr>
        <w:t xml:space="preserve"> and paragraphs 5.15 </w:t>
      </w:r>
      <w:r w:rsidR="00B4570E">
        <w:rPr>
          <w:rFonts w:ascii="Arial" w:hAnsi="Arial" w:cs="Arial"/>
          <w:sz w:val="24"/>
          <w:szCs w:val="24"/>
          <w:lang w:eastAsia="en-GB"/>
        </w:rPr>
        <w:t xml:space="preserve">- </w:t>
      </w:r>
      <w:r w:rsidR="00B4570E" w:rsidRPr="00B4570E">
        <w:rPr>
          <w:rFonts w:ascii="Arial" w:hAnsi="Arial" w:cs="Arial"/>
          <w:sz w:val="24"/>
          <w:szCs w:val="24"/>
          <w:lang w:eastAsia="en-GB"/>
        </w:rPr>
        <w:t xml:space="preserve">5.19 sought to improve the local environment, including land for open space, community, health, education, training and new housing and identified the </w:t>
      </w:r>
      <w:r w:rsidR="00482F71">
        <w:rPr>
          <w:rFonts w:ascii="Arial" w:hAnsi="Arial" w:cs="Arial"/>
          <w:sz w:val="24"/>
          <w:szCs w:val="24"/>
          <w:lang w:eastAsia="en-GB"/>
        </w:rPr>
        <w:t>T</w:t>
      </w:r>
      <w:r w:rsidR="00B4570E" w:rsidRPr="00B4570E">
        <w:rPr>
          <w:rFonts w:ascii="Arial" w:hAnsi="Arial" w:cs="Arial"/>
          <w:sz w:val="24"/>
          <w:szCs w:val="24"/>
          <w:lang w:eastAsia="en-GB"/>
        </w:rPr>
        <w:t xml:space="preserve">hree </w:t>
      </w:r>
      <w:r w:rsidR="00482F71">
        <w:rPr>
          <w:rFonts w:ascii="Arial" w:hAnsi="Arial" w:cs="Arial"/>
          <w:sz w:val="24"/>
          <w:szCs w:val="24"/>
          <w:lang w:eastAsia="en-GB"/>
        </w:rPr>
        <w:t>E</w:t>
      </w:r>
      <w:r w:rsidR="00B4570E" w:rsidRPr="00B4570E">
        <w:rPr>
          <w:rFonts w:ascii="Arial" w:hAnsi="Arial" w:cs="Arial"/>
          <w:sz w:val="24"/>
          <w:szCs w:val="24"/>
          <w:lang w:eastAsia="en-GB"/>
        </w:rPr>
        <w:t xml:space="preserve">states </w:t>
      </w:r>
      <w:r w:rsidR="00B4570E">
        <w:rPr>
          <w:rFonts w:ascii="Arial" w:hAnsi="Arial" w:cs="Arial"/>
          <w:sz w:val="24"/>
          <w:szCs w:val="24"/>
          <w:lang w:eastAsia="en-GB"/>
        </w:rPr>
        <w:t>as one</w:t>
      </w:r>
      <w:r w:rsidR="00B4570E" w:rsidRPr="00B4570E">
        <w:rPr>
          <w:rFonts w:ascii="Arial" w:hAnsi="Arial" w:cs="Arial"/>
          <w:sz w:val="24"/>
          <w:szCs w:val="24"/>
          <w:lang w:eastAsia="en-GB"/>
        </w:rPr>
        <w:t xml:space="preserve"> s</w:t>
      </w:r>
      <w:r w:rsidR="00B4570E">
        <w:rPr>
          <w:rFonts w:ascii="Arial" w:hAnsi="Arial" w:cs="Arial"/>
          <w:sz w:val="24"/>
          <w:szCs w:val="24"/>
          <w:lang w:eastAsia="en-GB"/>
        </w:rPr>
        <w:t>u</w:t>
      </w:r>
      <w:r w:rsidR="00B4570E" w:rsidRPr="00B4570E">
        <w:rPr>
          <w:rFonts w:ascii="Arial" w:hAnsi="Arial" w:cs="Arial"/>
          <w:sz w:val="24"/>
          <w:szCs w:val="24"/>
          <w:lang w:eastAsia="en-GB"/>
        </w:rPr>
        <w:t xml:space="preserve">ch area. Paragraph </w:t>
      </w:r>
      <w:r w:rsidR="00B4570E">
        <w:rPr>
          <w:rFonts w:ascii="Arial" w:hAnsi="Arial" w:cs="Arial"/>
          <w:sz w:val="24"/>
          <w:szCs w:val="24"/>
          <w:lang w:eastAsia="en-GB"/>
        </w:rPr>
        <w:t>2</w:t>
      </w:r>
      <w:r w:rsidR="00B4570E" w:rsidRPr="00B4570E">
        <w:rPr>
          <w:rFonts w:ascii="Arial" w:hAnsi="Arial" w:cs="Arial"/>
          <w:sz w:val="24"/>
          <w:szCs w:val="24"/>
          <w:lang w:eastAsia="en-GB"/>
        </w:rPr>
        <w:t xml:space="preserve">0.29 set out that the </w:t>
      </w:r>
      <w:r w:rsidR="00482F71">
        <w:rPr>
          <w:rFonts w:ascii="Arial" w:hAnsi="Arial" w:cs="Arial"/>
          <w:sz w:val="24"/>
          <w:szCs w:val="24"/>
          <w:lang w:eastAsia="en-GB"/>
        </w:rPr>
        <w:t>T</w:t>
      </w:r>
      <w:r w:rsidR="00B4570E" w:rsidRPr="00B4570E">
        <w:rPr>
          <w:rFonts w:ascii="Arial" w:hAnsi="Arial" w:cs="Arial"/>
          <w:sz w:val="24"/>
          <w:szCs w:val="24"/>
          <w:lang w:eastAsia="en-GB"/>
        </w:rPr>
        <w:t xml:space="preserve">hree Estates </w:t>
      </w:r>
      <w:r w:rsidR="00B4570E">
        <w:rPr>
          <w:rFonts w:ascii="Arial" w:hAnsi="Arial" w:cs="Arial"/>
          <w:sz w:val="24"/>
          <w:szCs w:val="24"/>
          <w:lang w:eastAsia="en-GB"/>
        </w:rPr>
        <w:t xml:space="preserve">would </w:t>
      </w:r>
      <w:r w:rsidR="00B4570E" w:rsidRPr="00B4570E">
        <w:rPr>
          <w:rFonts w:ascii="Arial" w:hAnsi="Arial" w:cs="Arial"/>
          <w:sz w:val="24"/>
          <w:szCs w:val="24"/>
          <w:lang w:eastAsia="en-GB"/>
        </w:rPr>
        <w:t xml:space="preserve">be the focus of attention to improve housing conditions and local employment opportunities </w:t>
      </w:r>
    </w:p>
    <w:p w14:paraId="6199BCD0" w14:textId="77777777" w:rsidR="007F1A06" w:rsidRDefault="007F1A06" w:rsidP="007F1A06">
      <w:pPr>
        <w:autoSpaceDE w:val="0"/>
        <w:autoSpaceDN w:val="0"/>
        <w:adjustRightInd w:val="0"/>
        <w:spacing w:after="0" w:line="240" w:lineRule="auto"/>
        <w:jc w:val="both"/>
        <w:rPr>
          <w:rFonts w:ascii="Arial" w:hAnsi="Arial" w:cs="Arial"/>
          <w:sz w:val="24"/>
          <w:szCs w:val="24"/>
          <w:lang w:eastAsia="en-GB"/>
        </w:rPr>
      </w:pPr>
    </w:p>
    <w:p w14:paraId="63AD707E" w14:textId="77777777" w:rsidR="002C5B59" w:rsidRDefault="007F1A06" w:rsidP="00BC508C">
      <w:pPr>
        <w:pStyle w:val="NoSpacing"/>
        <w:numPr>
          <w:ilvl w:val="1"/>
          <w:numId w:val="3"/>
        </w:numPr>
        <w:ind w:left="567" w:hanging="567"/>
        <w:jc w:val="both"/>
        <w:rPr>
          <w:rFonts w:ascii="Arial" w:hAnsi="Arial" w:cs="Arial"/>
          <w:sz w:val="24"/>
          <w:szCs w:val="24"/>
          <w:lang w:eastAsia="en-GB"/>
        </w:rPr>
      </w:pPr>
      <w:r w:rsidRPr="0061214E">
        <w:rPr>
          <w:rFonts w:ascii="Arial" w:hAnsi="Arial" w:cs="Arial"/>
          <w:iCs/>
          <w:sz w:val="24"/>
          <w:szCs w:val="24"/>
          <w:lang w:eastAsia="en-GB"/>
        </w:rPr>
        <w:t>The</w:t>
      </w:r>
      <w:r>
        <w:rPr>
          <w:rFonts w:ascii="Arial" w:hAnsi="Arial" w:cs="Arial"/>
          <w:sz w:val="24"/>
          <w:szCs w:val="24"/>
          <w:lang w:eastAsia="en-GB"/>
        </w:rPr>
        <w:t xml:space="preserve"> following BDP policies are of particular relevance to the Order and the proposed development.</w:t>
      </w:r>
    </w:p>
    <w:p w14:paraId="0FC18D69" w14:textId="77777777" w:rsidR="002C5B59" w:rsidRDefault="002C5B59" w:rsidP="00020869">
      <w:pPr>
        <w:pStyle w:val="ListParagraph"/>
        <w:spacing w:after="0" w:line="240" w:lineRule="auto"/>
        <w:rPr>
          <w:rFonts w:ascii="Arial" w:hAnsi="Arial" w:cs="Arial"/>
          <w:sz w:val="24"/>
          <w:szCs w:val="24"/>
          <w:lang w:eastAsia="en-GB"/>
        </w:rPr>
      </w:pPr>
    </w:p>
    <w:p w14:paraId="2E8F66CF" w14:textId="2406C1F2" w:rsidR="009D612A" w:rsidRPr="002C5B59" w:rsidRDefault="009D612A" w:rsidP="00BC508C">
      <w:pPr>
        <w:pStyle w:val="NoSpacing"/>
        <w:numPr>
          <w:ilvl w:val="1"/>
          <w:numId w:val="3"/>
        </w:numPr>
        <w:ind w:left="567" w:hanging="567"/>
        <w:jc w:val="both"/>
        <w:rPr>
          <w:rFonts w:ascii="Arial" w:hAnsi="Arial" w:cs="Arial"/>
          <w:sz w:val="24"/>
          <w:szCs w:val="24"/>
          <w:lang w:eastAsia="en-GB"/>
        </w:rPr>
      </w:pPr>
      <w:r w:rsidRPr="00020869">
        <w:rPr>
          <w:rFonts w:ascii="Arial" w:hAnsi="Arial" w:cs="Arial"/>
          <w:iCs/>
          <w:sz w:val="24"/>
          <w:szCs w:val="24"/>
          <w:lang w:eastAsia="en-GB"/>
        </w:rPr>
        <w:t>Chapter</w:t>
      </w:r>
      <w:r w:rsidRPr="002C5B59">
        <w:rPr>
          <w:rFonts w:ascii="Arial" w:hAnsi="Arial" w:cs="Arial"/>
          <w:sz w:val="24"/>
          <w:szCs w:val="24"/>
          <w:lang w:eastAsia="en-GB"/>
        </w:rPr>
        <w:t xml:space="preserve"> 3 of the Birmingham </w:t>
      </w:r>
      <w:r w:rsidR="00B4570E" w:rsidRPr="002C5B59">
        <w:rPr>
          <w:rFonts w:ascii="Arial" w:hAnsi="Arial" w:cs="Arial"/>
          <w:sz w:val="24"/>
          <w:szCs w:val="24"/>
          <w:lang w:eastAsia="en-GB"/>
        </w:rPr>
        <w:t>P</w:t>
      </w:r>
      <w:r w:rsidRPr="002C5B59">
        <w:rPr>
          <w:rFonts w:ascii="Arial" w:hAnsi="Arial" w:cs="Arial"/>
          <w:sz w:val="24"/>
          <w:szCs w:val="24"/>
          <w:lang w:eastAsia="en-GB"/>
        </w:rPr>
        <w:t xml:space="preserve">lan sets out the vision for Birmingham in 2031. It also sets out a number of objectives including to develop Birmingham as a city of sustainable neighbourhoods that are safe, diverse and inclusive with locally distinctive character, to make provision for a significant increase in the city’s population and to create a prosperous, successful and enterprising economy with benefits felt by all. The Plan sets out that at the heart of the city's growth agenda will be the promotion of sustainable neighbourhoods as a means of supporting the </w:t>
      </w:r>
      <w:r w:rsidR="00FF6768">
        <w:rPr>
          <w:rFonts w:ascii="Arial" w:hAnsi="Arial" w:cs="Arial"/>
          <w:sz w:val="24"/>
          <w:szCs w:val="24"/>
          <w:lang w:eastAsia="en-GB"/>
        </w:rPr>
        <w:t xml:space="preserve">city’s </w:t>
      </w:r>
      <w:r w:rsidRPr="002C5B59">
        <w:rPr>
          <w:rFonts w:ascii="Arial" w:hAnsi="Arial" w:cs="Arial"/>
          <w:sz w:val="24"/>
          <w:szCs w:val="24"/>
          <w:lang w:eastAsia="en-GB"/>
        </w:rPr>
        <w:t>increasing and diverse population in the most sustainable way possible</w:t>
      </w:r>
      <w:r w:rsidR="00CC737D">
        <w:rPr>
          <w:rFonts w:ascii="Arial" w:hAnsi="Arial" w:cs="Arial"/>
          <w:sz w:val="24"/>
          <w:szCs w:val="24"/>
          <w:lang w:eastAsia="en-GB"/>
        </w:rPr>
        <w:t>. T</w:t>
      </w:r>
      <w:r w:rsidRPr="002C5B59">
        <w:rPr>
          <w:rFonts w:ascii="Arial" w:hAnsi="Arial" w:cs="Arial"/>
          <w:sz w:val="24"/>
          <w:szCs w:val="24"/>
          <w:lang w:eastAsia="en-GB"/>
        </w:rPr>
        <w:t xml:space="preserve">his will include the provision of high quality local infrastructure and services including a thriving network of local centres that provide for the local population. High standards of design in new residential areas will be expected with a strong sense of place, environmental sustainability and climate proofing, attractive safe and multi-functional public spaces and effective longer-term management ensured. In delivering the principles of sustainable neighbourhoods a wide choice of housing sizes, types and tenures will be provided to meet the community needs including homes for families, the elderly and appropriate levels of affordable housing. </w:t>
      </w:r>
    </w:p>
    <w:p w14:paraId="45A0E564" w14:textId="488D09CA" w:rsidR="009D612A" w:rsidRDefault="009D612A" w:rsidP="007E5A9D">
      <w:pPr>
        <w:autoSpaceDE w:val="0"/>
        <w:autoSpaceDN w:val="0"/>
        <w:adjustRightInd w:val="0"/>
        <w:spacing w:after="0" w:line="240" w:lineRule="auto"/>
        <w:ind w:left="540"/>
        <w:jc w:val="both"/>
        <w:rPr>
          <w:rFonts w:ascii="Arial" w:hAnsi="Arial" w:cs="Arial"/>
          <w:sz w:val="24"/>
          <w:szCs w:val="24"/>
          <w:lang w:eastAsia="en-GB"/>
        </w:rPr>
      </w:pPr>
    </w:p>
    <w:p w14:paraId="3A4CA116" w14:textId="77777777" w:rsidR="007F1A06" w:rsidRPr="00EB4EC4" w:rsidRDefault="007F1A06" w:rsidP="00BC508C">
      <w:pPr>
        <w:pStyle w:val="NoSpacing"/>
        <w:numPr>
          <w:ilvl w:val="1"/>
          <w:numId w:val="3"/>
        </w:numPr>
        <w:ind w:left="567" w:hanging="567"/>
        <w:jc w:val="both"/>
        <w:rPr>
          <w:rFonts w:ascii="Arial" w:eastAsia="Times New Roman" w:hAnsi="Arial" w:cs="Arial"/>
          <w:sz w:val="24"/>
          <w:szCs w:val="24"/>
        </w:rPr>
      </w:pPr>
      <w:r w:rsidRPr="003E1DC4">
        <w:rPr>
          <w:rFonts w:ascii="Arial" w:hAnsi="Arial" w:cs="Arial"/>
          <w:b/>
          <w:iCs/>
          <w:sz w:val="24"/>
          <w:szCs w:val="24"/>
          <w:lang w:eastAsia="en-GB"/>
        </w:rPr>
        <w:t>PG1</w:t>
      </w:r>
      <w:r w:rsidRPr="00EB4EC4">
        <w:rPr>
          <w:rFonts w:ascii="Arial" w:eastAsia="Times New Roman" w:hAnsi="Arial" w:cs="Arial"/>
          <w:sz w:val="24"/>
          <w:szCs w:val="24"/>
        </w:rPr>
        <w:t xml:space="preserve"> sets out the overall levels of growth within the city, which includes </w:t>
      </w:r>
      <w:r>
        <w:rPr>
          <w:rFonts w:ascii="Arial" w:eastAsia="Times New Roman" w:hAnsi="Arial" w:cs="Arial"/>
          <w:sz w:val="24"/>
          <w:szCs w:val="24"/>
        </w:rPr>
        <w:t xml:space="preserve">the delivery of </w:t>
      </w:r>
      <w:r w:rsidRPr="00EB4EC4">
        <w:rPr>
          <w:rFonts w:ascii="Arial" w:eastAsia="Times New Roman" w:hAnsi="Arial" w:cs="Arial"/>
          <w:sz w:val="24"/>
          <w:szCs w:val="24"/>
        </w:rPr>
        <w:t xml:space="preserve">51,000 </w:t>
      </w:r>
      <w:r>
        <w:rPr>
          <w:rFonts w:ascii="Arial" w:eastAsia="Times New Roman" w:hAnsi="Arial" w:cs="Arial"/>
          <w:sz w:val="24"/>
          <w:szCs w:val="24"/>
        </w:rPr>
        <w:t>a</w:t>
      </w:r>
      <w:r w:rsidRPr="00EB4EC4">
        <w:rPr>
          <w:rFonts w:ascii="Arial" w:eastAsia="Times New Roman" w:hAnsi="Arial" w:cs="Arial"/>
          <w:sz w:val="24"/>
          <w:szCs w:val="24"/>
        </w:rPr>
        <w:t xml:space="preserve">dditional homes. The population of the city is predicted to increase by 156,000 by 2031 and the plan sets out a strategy to provide for this rise. This includes providing 45,000 new homes within the urban area, an urban </w:t>
      </w:r>
      <w:r w:rsidRPr="00EB4EC4">
        <w:rPr>
          <w:rFonts w:ascii="Arial" w:eastAsia="Times New Roman" w:hAnsi="Arial" w:cs="Arial"/>
          <w:sz w:val="24"/>
          <w:szCs w:val="24"/>
        </w:rPr>
        <w:lastRenderedPageBreak/>
        <w:t xml:space="preserve">extension at Langley in Sutton Coldfield and close working with neighbouring local authorities towards meeting the City’s housing requirements. </w:t>
      </w:r>
    </w:p>
    <w:p w14:paraId="28CC9B0A" w14:textId="77777777" w:rsidR="007F1A06" w:rsidRPr="00EB4EC4" w:rsidRDefault="007F1A06" w:rsidP="007F1A06">
      <w:pPr>
        <w:spacing w:after="0" w:line="240" w:lineRule="auto"/>
        <w:jc w:val="both"/>
        <w:rPr>
          <w:rFonts w:ascii="Arial" w:eastAsia="Times New Roman" w:hAnsi="Arial" w:cs="Arial"/>
          <w:sz w:val="24"/>
          <w:szCs w:val="24"/>
        </w:rPr>
      </w:pPr>
    </w:p>
    <w:p w14:paraId="4C64A480" w14:textId="77777777" w:rsidR="007F1A06" w:rsidRPr="00EB4EC4" w:rsidRDefault="007F1A06" w:rsidP="00BC508C">
      <w:pPr>
        <w:pStyle w:val="NoSpacing"/>
        <w:numPr>
          <w:ilvl w:val="1"/>
          <w:numId w:val="3"/>
        </w:numPr>
        <w:ind w:left="567" w:hanging="567"/>
        <w:jc w:val="both"/>
        <w:rPr>
          <w:rFonts w:ascii="Arial" w:eastAsia="Times New Roman" w:hAnsi="Arial" w:cs="Arial"/>
          <w:sz w:val="24"/>
          <w:szCs w:val="24"/>
        </w:rPr>
      </w:pPr>
      <w:r w:rsidRPr="003E1DC4">
        <w:rPr>
          <w:rFonts w:ascii="Arial" w:hAnsi="Arial" w:cs="Arial"/>
          <w:b/>
          <w:iCs/>
          <w:sz w:val="24"/>
          <w:szCs w:val="24"/>
          <w:lang w:eastAsia="en-GB"/>
        </w:rPr>
        <w:t>PG3</w:t>
      </w:r>
      <w:r w:rsidRPr="00EB4EC4">
        <w:rPr>
          <w:rFonts w:ascii="Arial" w:eastAsia="Times New Roman" w:hAnsi="Arial" w:cs="Arial"/>
          <w:sz w:val="24"/>
          <w:szCs w:val="24"/>
        </w:rPr>
        <w:t xml:space="preserve"> outlines policies with respect to Place making including criteria for all new development to demonstrate high design quality and contribute to a strong sense of place.</w:t>
      </w:r>
    </w:p>
    <w:p w14:paraId="4C07A27C" w14:textId="77777777" w:rsidR="007F1A06" w:rsidRPr="00EB4EC4" w:rsidRDefault="007F1A06" w:rsidP="007F1A06">
      <w:pPr>
        <w:spacing w:after="0" w:line="240" w:lineRule="auto"/>
        <w:jc w:val="both"/>
        <w:rPr>
          <w:rFonts w:ascii="Arial" w:eastAsia="Times New Roman" w:hAnsi="Arial" w:cs="Arial"/>
          <w:sz w:val="24"/>
          <w:szCs w:val="24"/>
        </w:rPr>
      </w:pPr>
    </w:p>
    <w:p w14:paraId="5BF13CAC" w14:textId="215EC84F" w:rsidR="007F1A06" w:rsidRPr="00EB4EC4" w:rsidRDefault="007F1A06" w:rsidP="004E6C30">
      <w:pPr>
        <w:pStyle w:val="NoSpacing"/>
        <w:numPr>
          <w:ilvl w:val="1"/>
          <w:numId w:val="3"/>
        </w:numPr>
        <w:ind w:left="567" w:hanging="567"/>
        <w:jc w:val="both"/>
        <w:rPr>
          <w:rFonts w:ascii="Arial" w:eastAsia="Times New Roman" w:hAnsi="Arial" w:cs="Arial"/>
          <w:sz w:val="24"/>
          <w:szCs w:val="24"/>
        </w:rPr>
      </w:pPr>
      <w:r w:rsidRPr="003E1DC4">
        <w:rPr>
          <w:rFonts w:ascii="Arial" w:hAnsi="Arial" w:cs="Arial"/>
          <w:iCs/>
          <w:sz w:val="24"/>
          <w:szCs w:val="24"/>
          <w:lang w:eastAsia="en-GB"/>
        </w:rPr>
        <w:t>The</w:t>
      </w:r>
      <w:r w:rsidRPr="00EB4EC4">
        <w:rPr>
          <w:rFonts w:ascii="Arial" w:eastAsia="Times New Roman" w:hAnsi="Arial" w:cs="Arial"/>
          <w:sz w:val="24"/>
          <w:szCs w:val="24"/>
        </w:rPr>
        <w:t xml:space="preserve"> proposals for the estate reflect this policy criteria in that the proposed new development will create a positive sense of place</w:t>
      </w:r>
      <w:r>
        <w:rPr>
          <w:rFonts w:ascii="Arial" w:eastAsia="Times New Roman" w:hAnsi="Arial" w:cs="Arial"/>
          <w:sz w:val="24"/>
          <w:szCs w:val="24"/>
        </w:rPr>
        <w:t xml:space="preserve"> and</w:t>
      </w:r>
      <w:r w:rsidRPr="00EB4EC4">
        <w:rPr>
          <w:rFonts w:ascii="Arial" w:eastAsia="Times New Roman" w:hAnsi="Arial" w:cs="Arial"/>
          <w:sz w:val="24"/>
          <w:szCs w:val="24"/>
        </w:rPr>
        <w:t xml:space="preserve"> that the new environment will contribute to public safety through the revised design and layout of </w:t>
      </w:r>
      <w:r w:rsidR="009D612A">
        <w:rPr>
          <w:rFonts w:ascii="Arial" w:eastAsia="Times New Roman" w:hAnsi="Arial" w:cs="Arial"/>
          <w:sz w:val="24"/>
          <w:szCs w:val="24"/>
        </w:rPr>
        <w:t xml:space="preserve">the development </w:t>
      </w:r>
      <w:r w:rsidRPr="00EB4EC4">
        <w:rPr>
          <w:rFonts w:ascii="Arial" w:eastAsia="Times New Roman" w:hAnsi="Arial" w:cs="Arial"/>
          <w:sz w:val="24"/>
          <w:szCs w:val="24"/>
        </w:rPr>
        <w:t>ensuring natural surveillance of the public realm</w:t>
      </w:r>
      <w:r w:rsidR="009D612A">
        <w:rPr>
          <w:rFonts w:ascii="Arial" w:eastAsia="Times New Roman" w:hAnsi="Arial" w:cs="Arial"/>
          <w:sz w:val="24"/>
          <w:szCs w:val="24"/>
        </w:rPr>
        <w:t xml:space="preserve"> and a greater demarcation between public and private space</w:t>
      </w:r>
      <w:r w:rsidR="009D612A" w:rsidRPr="00EB4EC4">
        <w:rPr>
          <w:rFonts w:ascii="Arial" w:eastAsia="Times New Roman" w:hAnsi="Arial" w:cs="Arial"/>
          <w:sz w:val="24"/>
          <w:szCs w:val="24"/>
        </w:rPr>
        <w:t>.</w:t>
      </w:r>
    </w:p>
    <w:p w14:paraId="50B17337" w14:textId="77777777" w:rsidR="007F1A06" w:rsidRPr="00EB4EC4" w:rsidRDefault="007F1A06" w:rsidP="007F1A06">
      <w:pPr>
        <w:spacing w:after="0" w:line="240" w:lineRule="auto"/>
        <w:jc w:val="both"/>
        <w:rPr>
          <w:rFonts w:ascii="Arial" w:eastAsia="Times New Roman" w:hAnsi="Arial" w:cs="Arial"/>
          <w:sz w:val="24"/>
          <w:szCs w:val="24"/>
        </w:rPr>
      </w:pPr>
    </w:p>
    <w:p w14:paraId="429DF1ED" w14:textId="26208AE2" w:rsidR="007F1A06" w:rsidRPr="00EB4EC4" w:rsidRDefault="007F1A06" w:rsidP="004E6C30">
      <w:pPr>
        <w:pStyle w:val="NoSpacing"/>
        <w:numPr>
          <w:ilvl w:val="1"/>
          <w:numId w:val="3"/>
        </w:numPr>
        <w:ind w:left="567" w:hanging="567"/>
        <w:jc w:val="both"/>
        <w:rPr>
          <w:rFonts w:ascii="Arial" w:eastAsia="Times New Roman" w:hAnsi="Arial" w:cs="Arial"/>
          <w:sz w:val="24"/>
          <w:szCs w:val="24"/>
        </w:rPr>
      </w:pPr>
      <w:r w:rsidRPr="00EB4EC4">
        <w:rPr>
          <w:rFonts w:ascii="Arial" w:eastAsia="Times New Roman" w:hAnsi="Arial" w:cs="Arial"/>
          <w:sz w:val="24"/>
          <w:szCs w:val="24"/>
        </w:rPr>
        <w:t xml:space="preserve">The BDP also contains a number of Thematic Policies (TP) which is relevant to the </w:t>
      </w:r>
      <w:r w:rsidR="008E5E15">
        <w:rPr>
          <w:rFonts w:ascii="Arial" w:eastAsia="Times New Roman" w:hAnsi="Arial" w:cs="Arial"/>
          <w:sz w:val="24"/>
          <w:szCs w:val="24"/>
        </w:rPr>
        <w:t>O</w:t>
      </w:r>
      <w:r w:rsidRPr="00EB4EC4">
        <w:rPr>
          <w:rFonts w:ascii="Arial" w:eastAsia="Times New Roman" w:hAnsi="Arial" w:cs="Arial"/>
          <w:sz w:val="24"/>
          <w:szCs w:val="24"/>
        </w:rPr>
        <w:t>rder. Key Policies include the following:</w:t>
      </w:r>
    </w:p>
    <w:p w14:paraId="4056EEFC" w14:textId="77777777" w:rsidR="007F1A06" w:rsidRPr="00EB4EC4" w:rsidRDefault="007F1A06" w:rsidP="007F1A06">
      <w:pPr>
        <w:spacing w:after="0" w:line="240" w:lineRule="auto"/>
        <w:jc w:val="both"/>
        <w:rPr>
          <w:rFonts w:ascii="Arial" w:eastAsia="Times New Roman" w:hAnsi="Arial" w:cs="Arial"/>
          <w:sz w:val="24"/>
          <w:szCs w:val="24"/>
        </w:rPr>
      </w:pPr>
    </w:p>
    <w:p w14:paraId="621B03E0" w14:textId="4C3731F4" w:rsidR="007F1A06" w:rsidRPr="003E1DC4" w:rsidRDefault="007F1A06" w:rsidP="004E6C30">
      <w:pPr>
        <w:pStyle w:val="NoSpacing"/>
        <w:numPr>
          <w:ilvl w:val="1"/>
          <w:numId w:val="3"/>
        </w:numPr>
        <w:ind w:left="567" w:hanging="567"/>
        <w:jc w:val="both"/>
        <w:rPr>
          <w:rFonts w:ascii="Arial" w:eastAsia="Times New Roman" w:hAnsi="Arial" w:cs="Arial"/>
          <w:sz w:val="24"/>
          <w:szCs w:val="24"/>
        </w:rPr>
      </w:pPr>
      <w:r w:rsidRPr="00EB4EC4">
        <w:rPr>
          <w:rFonts w:ascii="Arial" w:eastAsia="Times New Roman" w:hAnsi="Arial" w:cs="Arial"/>
          <w:b/>
          <w:sz w:val="24"/>
          <w:szCs w:val="24"/>
        </w:rPr>
        <w:t>TP27</w:t>
      </w:r>
      <w:r w:rsidRPr="00EB4EC4">
        <w:rPr>
          <w:rFonts w:ascii="Arial" w:eastAsia="Times New Roman" w:hAnsi="Arial" w:cs="Arial"/>
          <w:sz w:val="24"/>
          <w:szCs w:val="24"/>
        </w:rPr>
        <w:t xml:space="preserve"> sets out criteria for the development of Sustainable Neighbourhoods</w:t>
      </w:r>
      <w:r w:rsidR="00D37176">
        <w:rPr>
          <w:rFonts w:ascii="Arial" w:eastAsia="Times New Roman" w:hAnsi="Arial" w:cs="Arial"/>
          <w:sz w:val="24"/>
          <w:szCs w:val="24"/>
        </w:rPr>
        <w:t>.</w:t>
      </w:r>
      <w:r>
        <w:rPr>
          <w:rFonts w:ascii="Arial" w:eastAsia="Times New Roman" w:hAnsi="Arial" w:cs="Arial"/>
          <w:sz w:val="24"/>
          <w:szCs w:val="24"/>
        </w:rPr>
        <w:t xml:space="preserve"> </w:t>
      </w:r>
      <w:r w:rsidRPr="00EB4EC4">
        <w:rPr>
          <w:rFonts w:ascii="Arial" w:eastAsia="Times New Roman" w:hAnsi="Arial"/>
          <w:sz w:val="24"/>
          <w:szCs w:val="24"/>
          <w:lang w:eastAsia="en-GB"/>
        </w:rPr>
        <w:t>This includes providing a wide choice of housing sizes, types and tenures to ensure balanced communities, access to facilities such as shops, schools, leisure and work opportunities, convenient travel options, a strong sense of place, and attractive, safe and multifunctional public spaces.</w:t>
      </w:r>
      <w:r>
        <w:rPr>
          <w:rFonts w:ascii="Arial" w:eastAsia="Times New Roman" w:hAnsi="Arial"/>
          <w:sz w:val="24"/>
          <w:szCs w:val="24"/>
          <w:lang w:eastAsia="en-GB"/>
        </w:rPr>
        <w:t xml:space="preserve">  </w:t>
      </w:r>
      <w:r w:rsidR="009D612A">
        <w:rPr>
          <w:rFonts w:ascii="Arial" w:eastAsia="Times New Roman" w:hAnsi="Arial"/>
          <w:sz w:val="24"/>
          <w:szCs w:val="24"/>
          <w:lang w:eastAsia="en-GB"/>
        </w:rPr>
        <w:t xml:space="preserve">The redevelopment of the </w:t>
      </w:r>
      <w:r w:rsidR="009A51D5">
        <w:rPr>
          <w:rFonts w:ascii="Arial" w:eastAsia="Times New Roman" w:hAnsi="Arial"/>
          <w:sz w:val="24"/>
          <w:szCs w:val="24"/>
          <w:lang w:eastAsia="en-GB"/>
        </w:rPr>
        <w:t>Three</w:t>
      </w:r>
      <w:r w:rsidR="009D612A">
        <w:rPr>
          <w:rFonts w:ascii="Arial" w:eastAsia="Times New Roman" w:hAnsi="Arial"/>
          <w:sz w:val="24"/>
          <w:szCs w:val="24"/>
          <w:lang w:eastAsia="en-GB"/>
        </w:rPr>
        <w:t xml:space="preserve"> Estates, including Pool </w:t>
      </w:r>
      <w:r w:rsidR="000B369E">
        <w:rPr>
          <w:rFonts w:ascii="Arial" w:eastAsia="Times New Roman" w:hAnsi="Arial"/>
          <w:sz w:val="24"/>
          <w:szCs w:val="24"/>
          <w:lang w:eastAsia="en-GB"/>
        </w:rPr>
        <w:t>Farm, is</w:t>
      </w:r>
      <w:r w:rsidRPr="003E1DC4">
        <w:rPr>
          <w:rFonts w:ascii="Arial" w:eastAsia="Times New Roman" w:hAnsi="Arial"/>
          <w:sz w:val="24"/>
          <w:szCs w:val="24"/>
          <w:lang w:eastAsia="en-GB"/>
        </w:rPr>
        <w:t xml:space="preserve"> recognised as being an appropriate location for new housing in line with this policy</w:t>
      </w:r>
      <w:r w:rsidR="009D612A">
        <w:rPr>
          <w:rFonts w:ascii="Arial" w:eastAsia="Times New Roman" w:hAnsi="Arial"/>
          <w:sz w:val="24"/>
          <w:szCs w:val="24"/>
          <w:lang w:eastAsia="en-GB"/>
        </w:rPr>
        <w:t xml:space="preserve"> and development has been focussed on the principles set out in the plan</w:t>
      </w:r>
      <w:r w:rsidRPr="003E1DC4">
        <w:rPr>
          <w:rFonts w:ascii="Arial" w:eastAsia="Times New Roman" w:hAnsi="Arial"/>
          <w:sz w:val="24"/>
          <w:szCs w:val="24"/>
          <w:lang w:eastAsia="en-GB"/>
        </w:rPr>
        <w:t>.</w:t>
      </w:r>
    </w:p>
    <w:p w14:paraId="41708968" w14:textId="77777777" w:rsidR="007F1A06" w:rsidRPr="00EB4EC4" w:rsidRDefault="007F1A06" w:rsidP="007F1A06">
      <w:pPr>
        <w:spacing w:after="0" w:line="240" w:lineRule="auto"/>
        <w:jc w:val="both"/>
        <w:rPr>
          <w:rFonts w:ascii="Arial" w:eastAsia="Times New Roman" w:hAnsi="Arial" w:cs="Arial"/>
          <w:sz w:val="24"/>
          <w:szCs w:val="24"/>
        </w:rPr>
      </w:pPr>
    </w:p>
    <w:p w14:paraId="270DD224" w14:textId="337A310F" w:rsidR="007F1A06" w:rsidRPr="00FB1732" w:rsidRDefault="007F1A06" w:rsidP="004E6C30">
      <w:pPr>
        <w:pStyle w:val="NoSpacing"/>
        <w:numPr>
          <w:ilvl w:val="1"/>
          <w:numId w:val="3"/>
        </w:numPr>
        <w:ind w:left="567" w:hanging="567"/>
        <w:jc w:val="both"/>
        <w:rPr>
          <w:rFonts w:ascii="Arial" w:eastAsia="Times New Roman" w:hAnsi="Arial" w:cs="Arial"/>
          <w:sz w:val="24"/>
          <w:szCs w:val="24"/>
        </w:rPr>
      </w:pPr>
      <w:r w:rsidRPr="00EB4EC4">
        <w:rPr>
          <w:rFonts w:ascii="Arial" w:eastAsia="Times New Roman" w:hAnsi="Arial" w:cs="Arial"/>
          <w:b/>
          <w:sz w:val="24"/>
          <w:szCs w:val="24"/>
        </w:rPr>
        <w:t>TP28</w:t>
      </w:r>
      <w:r w:rsidRPr="00EB4EC4">
        <w:rPr>
          <w:rFonts w:ascii="Arial" w:eastAsia="Times New Roman" w:hAnsi="Arial" w:cs="Arial"/>
          <w:sz w:val="24"/>
          <w:szCs w:val="24"/>
        </w:rPr>
        <w:t xml:space="preserve"> outlines the criteria for the location of new housing.</w:t>
      </w:r>
      <w:r w:rsidR="00FB1732">
        <w:rPr>
          <w:rFonts w:ascii="Arial" w:eastAsia="Times New Roman" w:hAnsi="Arial" w:cs="Arial"/>
          <w:sz w:val="24"/>
          <w:szCs w:val="24"/>
        </w:rPr>
        <w:t xml:space="preserve"> </w:t>
      </w:r>
      <w:r w:rsidRPr="00FB1732">
        <w:rPr>
          <w:rFonts w:ascii="Arial" w:eastAsia="Times New Roman" w:hAnsi="Arial"/>
          <w:sz w:val="24"/>
          <w:szCs w:val="24"/>
          <w:lang w:eastAsia="en-GB"/>
        </w:rPr>
        <w:t xml:space="preserve">Proposals for </w:t>
      </w:r>
      <w:r w:rsidR="009D612A" w:rsidRPr="00FB1732">
        <w:rPr>
          <w:rFonts w:ascii="Arial" w:eastAsia="Times New Roman" w:hAnsi="Arial"/>
          <w:sz w:val="24"/>
          <w:szCs w:val="24"/>
          <w:lang w:eastAsia="en-GB"/>
        </w:rPr>
        <w:t xml:space="preserve">the estate </w:t>
      </w:r>
      <w:r w:rsidRPr="00FB1732">
        <w:rPr>
          <w:rFonts w:ascii="Arial" w:eastAsia="Times New Roman" w:hAnsi="Arial"/>
          <w:sz w:val="24"/>
          <w:szCs w:val="24"/>
          <w:lang w:eastAsia="en-GB"/>
        </w:rPr>
        <w:t>meet the criteria set out in this policy. The proposed housing is not within a flood zone, is served by appropriate infrastructure, is accessible by a range of modes of transport, and development does not conflict with other policies within the BDP. Although there is a loss of an area of amenity space, all the new houses will benefit from secure private gardens.</w:t>
      </w:r>
    </w:p>
    <w:p w14:paraId="71B8D3A1" w14:textId="77777777" w:rsidR="00FB1732" w:rsidRPr="00FB1732" w:rsidRDefault="00FB1732" w:rsidP="00FB1732">
      <w:pPr>
        <w:pStyle w:val="NoSpacing"/>
        <w:jc w:val="both"/>
        <w:rPr>
          <w:rFonts w:ascii="Arial" w:eastAsia="Times New Roman" w:hAnsi="Arial" w:cs="Arial"/>
          <w:sz w:val="24"/>
          <w:szCs w:val="24"/>
        </w:rPr>
      </w:pPr>
    </w:p>
    <w:p w14:paraId="58438206" w14:textId="1ABC014A" w:rsidR="007F1A06" w:rsidRDefault="007F1A06" w:rsidP="004E6C30">
      <w:pPr>
        <w:pStyle w:val="NoSpacing"/>
        <w:numPr>
          <w:ilvl w:val="1"/>
          <w:numId w:val="3"/>
        </w:numPr>
        <w:ind w:left="567" w:hanging="567"/>
        <w:jc w:val="both"/>
        <w:rPr>
          <w:rFonts w:ascii="Arial" w:eastAsia="Times New Roman" w:hAnsi="Arial" w:cs="Arial"/>
          <w:sz w:val="24"/>
          <w:szCs w:val="24"/>
        </w:rPr>
      </w:pPr>
      <w:r w:rsidRPr="003E1DC4">
        <w:rPr>
          <w:rFonts w:ascii="Arial" w:hAnsi="Arial" w:cs="Arial"/>
          <w:b/>
          <w:iCs/>
          <w:sz w:val="24"/>
          <w:szCs w:val="24"/>
          <w:lang w:eastAsia="en-GB"/>
        </w:rPr>
        <w:t>TP31</w:t>
      </w:r>
      <w:r w:rsidRPr="00EB4EC4">
        <w:rPr>
          <w:rFonts w:ascii="Arial" w:eastAsia="Times New Roman" w:hAnsi="Arial" w:cs="Arial"/>
          <w:b/>
          <w:sz w:val="24"/>
          <w:szCs w:val="24"/>
        </w:rPr>
        <w:t xml:space="preserve"> </w:t>
      </w:r>
      <w:r w:rsidRPr="00EB4EC4">
        <w:rPr>
          <w:rFonts w:ascii="Arial" w:eastAsia="Times New Roman" w:hAnsi="Arial" w:cs="Arial"/>
          <w:sz w:val="24"/>
          <w:szCs w:val="24"/>
        </w:rPr>
        <w:t xml:space="preserve">sets out the Council’s policies relating to affordable housing. </w:t>
      </w:r>
      <w:r w:rsidR="009D612A">
        <w:rPr>
          <w:rFonts w:ascii="Arial" w:eastAsia="Times New Roman" w:hAnsi="Arial" w:cs="Arial"/>
          <w:sz w:val="24"/>
          <w:szCs w:val="24"/>
        </w:rPr>
        <w:t xml:space="preserve">The mix of new housing at Pool Farm comprises both properties for </w:t>
      </w:r>
      <w:r w:rsidR="000B369E">
        <w:rPr>
          <w:rFonts w:ascii="Arial" w:eastAsia="Times New Roman" w:hAnsi="Arial" w:cs="Arial"/>
          <w:sz w:val="24"/>
          <w:szCs w:val="24"/>
        </w:rPr>
        <w:t>s</w:t>
      </w:r>
      <w:r w:rsidR="009D612A">
        <w:rPr>
          <w:rFonts w:ascii="Arial" w:eastAsia="Times New Roman" w:hAnsi="Arial" w:cs="Arial"/>
          <w:sz w:val="24"/>
          <w:szCs w:val="24"/>
        </w:rPr>
        <w:t>ale and social rent.</w:t>
      </w:r>
    </w:p>
    <w:p w14:paraId="30DFFCF1" w14:textId="77777777" w:rsidR="007F1A06" w:rsidRPr="00EB4EC4" w:rsidRDefault="007F1A06" w:rsidP="007F1A06">
      <w:pPr>
        <w:pStyle w:val="NoSpacing"/>
        <w:ind w:left="540"/>
        <w:jc w:val="both"/>
        <w:rPr>
          <w:rFonts w:ascii="Arial" w:eastAsia="Times New Roman" w:hAnsi="Arial" w:cs="Arial"/>
          <w:sz w:val="24"/>
          <w:szCs w:val="24"/>
        </w:rPr>
      </w:pPr>
    </w:p>
    <w:p w14:paraId="1BF77E72" w14:textId="7C843168" w:rsidR="007F1A06" w:rsidRPr="00EB4EC4" w:rsidRDefault="007F1A06" w:rsidP="004E6C30">
      <w:pPr>
        <w:pStyle w:val="NoSpacing"/>
        <w:numPr>
          <w:ilvl w:val="1"/>
          <w:numId w:val="3"/>
        </w:numPr>
        <w:ind w:left="567" w:hanging="567"/>
        <w:jc w:val="both"/>
        <w:rPr>
          <w:rFonts w:ascii="Arial" w:eastAsia="Times New Roman" w:hAnsi="Arial"/>
          <w:sz w:val="24"/>
          <w:szCs w:val="24"/>
          <w:lang w:eastAsia="en-GB"/>
        </w:rPr>
      </w:pPr>
      <w:r w:rsidRPr="004E6C30">
        <w:rPr>
          <w:rFonts w:ascii="Arial" w:hAnsi="Arial" w:cs="Arial"/>
          <w:b/>
          <w:iCs/>
          <w:sz w:val="24"/>
          <w:szCs w:val="24"/>
          <w:lang w:eastAsia="en-GB"/>
        </w:rPr>
        <w:t>TP32</w:t>
      </w:r>
      <w:r w:rsidRPr="00EB4EC4">
        <w:rPr>
          <w:rFonts w:ascii="Arial" w:eastAsia="Times New Roman" w:hAnsi="Arial" w:cs="Arial"/>
          <w:sz w:val="24"/>
          <w:szCs w:val="24"/>
        </w:rPr>
        <w:t xml:space="preserve"> outlines how the regeneration and renewal of existing housing will be promoted</w:t>
      </w:r>
      <w:r w:rsidR="009D612A" w:rsidRPr="009D612A">
        <w:rPr>
          <w:rFonts w:ascii="Arial" w:eastAsia="Times New Roman" w:hAnsi="Arial" w:cs="Arial"/>
          <w:sz w:val="24"/>
          <w:szCs w:val="24"/>
        </w:rPr>
        <w:t xml:space="preserve"> </w:t>
      </w:r>
      <w:r w:rsidR="009D612A">
        <w:rPr>
          <w:rFonts w:ascii="Arial" w:eastAsia="Times New Roman" w:hAnsi="Arial" w:cs="Arial"/>
          <w:sz w:val="24"/>
          <w:szCs w:val="24"/>
        </w:rPr>
        <w:t>t</w:t>
      </w:r>
      <w:r w:rsidR="009D612A" w:rsidRPr="009534B7">
        <w:rPr>
          <w:rFonts w:ascii="Arial" w:eastAsia="Times New Roman" w:hAnsi="Arial" w:cs="Arial"/>
          <w:sz w:val="24"/>
          <w:szCs w:val="24"/>
        </w:rPr>
        <w:t>o ensure that high quality accommodation and environments are provided in line with the principles of sustainable neighbourhoods</w:t>
      </w:r>
      <w:r w:rsidR="009D612A">
        <w:rPr>
          <w:rFonts w:ascii="Arial" w:eastAsia="Times New Roman" w:hAnsi="Arial" w:cs="Arial"/>
          <w:sz w:val="24"/>
          <w:szCs w:val="24"/>
        </w:rPr>
        <w:t>.</w:t>
      </w:r>
      <w:r w:rsidR="009D612A" w:rsidRPr="009534B7">
        <w:rPr>
          <w:rFonts w:ascii="Arial" w:eastAsia="Times New Roman" w:hAnsi="Arial" w:cs="Arial"/>
          <w:sz w:val="24"/>
          <w:szCs w:val="24"/>
        </w:rPr>
        <w:t xml:space="preserve"> Kings Norton 3 Estates is identified as one of the areas for priority action</w:t>
      </w:r>
      <w:r>
        <w:rPr>
          <w:rFonts w:ascii="Arial" w:eastAsia="Times New Roman" w:hAnsi="Arial" w:cs="Arial"/>
          <w:sz w:val="24"/>
          <w:szCs w:val="24"/>
        </w:rPr>
        <w:t>.</w:t>
      </w:r>
      <w:r w:rsidRPr="00EB4EC4">
        <w:rPr>
          <w:rFonts w:ascii="Arial" w:eastAsia="Times New Roman" w:hAnsi="Arial" w:cs="Arial"/>
          <w:sz w:val="24"/>
          <w:szCs w:val="24"/>
        </w:rPr>
        <w:t xml:space="preserve"> In addition to</w:t>
      </w:r>
      <w:r>
        <w:rPr>
          <w:rFonts w:ascii="Arial" w:eastAsia="Times New Roman" w:hAnsi="Arial" w:cs="Arial"/>
          <w:sz w:val="24"/>
          <w:szCs w:val="24"/>
        </w:rPr>
        <w:t xml:space="preserve"> highlighting </w:t>
      </w:r>
      <w:r w:rsidRPr="00EB4EC4">
        <w:rPr>
          <w:rFonts w:ascii="Arial" w:eastAsia="Times New Roman" w:hAnsi="Arial" w:cs="Arial"/>
          <w:sz w:val="24"/>
          <w:szCs w:val="24"/>
        </w:rPr>
        <w:t>a number of estates that are identified for regeneration, this policy outlines that the Council will continue its policy of regeneration and renewal of housing estates and that some areas do not provide the quality of accommodation or environment that ensures a high quality of life for residents.</w:t>
      </w:r>
      <w:r w:rsidR="009D612A" w:rsidRPr="009D612A">
        <w:rPr>
          <w:rFonts w:ascii="Arial" w:eastAsia="Times New Roman" w:hAnsi="Arial"/>
          <w:sz w:val="24"/>
          <w:szCs w:val="24"/>
          <w:lang w:eastAsia="en-GB"/>
        </w:rPr>
        <w:t xml:space="preserve"> </w:t>
      </w:r>
      <w:r w:rsidR="009D612A" w:rsidRPr="009534B7">
        <w:rPr>
          <w:rFonts w:ascii="Arial" w:eastAsia="Times New Roman" w:hAnsi="Arial"/>
          <w:sz w:val="24"/>
          <w:szCs w:val="24"/>
          <w:lang w:eastAsia="en-GB"/>
        </w:rPr>
        <w:t xml:space="preserve">In terms of the implementation of this policy measures including working in partnership, compulsory purchase, and the use of local plans and regeneration frameworks are identified. </w:t>
      </w:r>
      <w:r w:rsidR="009D612A">
        <w:rPr>
          <w:rFonts w:ascii="Arial" w:eastAsia="Times New Roman" w:hAnsi="Arial" w:cs="Arial"/>
          <w:sz w:val="24"/>
          <w:szCs w:val="24"/>
        </w:rPr>
        <w:t xml:space="preserve"> </w:t>
      </w:r>
    </w:p>
    <w:p w14:paraId="00BAAD8A" w14:textId="77777777" w:rsidR="007F1A06" w:rsidRPr="003E1DC4" w:rsidRDefault="007F1A06" w:rsidP="007F1A06">
      <w:pPr>
        <w:spacing w:after="0" w:line="240" w:lineRule="auto"/>
        <w:jc w:val="both"/>
        <w:rPr>
          <w:rFonts w:ascii="Arial" w:eastAsia="Times New Roman" w:hAnsi="Arial" w:cs="Arial"/>
          <w:sz w:val="24"/>
          <w:szCs w:val="24"/>
        </w:rPr>
      </w:pPr>
    </w:p>
    <w:p w14:paraId="08DE7DB4" w14:textId="497D142A" w:rsidR="00884D94" w:rsidRDefault="007F1A06" w:rsidP="00020D99">
      <w:pPr>
        <w:pStyle w:val="ListParagraph"/>
        <w:rPr>
          <w:rFonts w:ascii="Arial" w:eastAsia="Times New Roman" w:hAnsi="Arial" w:cs="Arial"/>
          <w:sz w:val="24"/>
          <w:szCs w:val="24"/>
        </w:rPr>
      </w:pPr>
      <w:r w:rsidRPr="00E10DC7">
        <w:rPr>
          <w:rFonts w:ascii="Arial" w:eastAsia="Times New Roman" w:hAnsi="Arial" w:cs="Arial"/>
          <w:b/>
          <w:bCs/>
          <w:sz w:val="24"/>
          <w:szCs w:val="24"/>
        </w:rPr>
        <w:t>Section 10</w:t>
      </w:r>
      <w:r w:rsidRPr="003E1DC4">
        <w:rPr>
          <w:rFonts w:ascii="Arial" w:eastAsia="Times New Roman" w:hAnsi="Arial" w:cs="Arial"/>
          <w:sz w:val="24"/>
          <w:szCs w:val="24"/>
        </w:rPr>
        <w:t xml:space="preserve"> of the BDP covers implementation issues including working in partnership with other delivery agencies, the private sector and </w:t>
      </w:r>
      <w:r w:rsidRPr="003E1DC4">
        <w:rPr>
          <w:rFonts w:ascii="Arial" w:eastAsia="Times New Roman" w:hAnsi="Arial" w:cs="Arial"/>
          <w:sz w:val="24"/>
          <w:szCs w:val="24"/>
        </w:rPr>
        <w:lastRenderedPageBreak/>
        <w:t>landowners/developers, the use of compulsory purchase powers to assist with land assembly and the proactive use of the Council’s land holdings to assist delivery.</w:t>
      </w:r>
    </w:p>
    <w:p w14:paraId="00923C0E" w14:textId="77777777" w:rsidR="004B60F2" w:rsidRPr="00C80FF0" w:rsidRDefault="004B60F2" w:rsidP="004B60F2">
      <w:pPr>
        <w:pStyle w:val="ListParagraph"/>
        <w:rPr>
          <w:rFonts w:ascii="Arial" w:eastAsia="Times New Roman" w:hAnsi="Arial" w:cs="Arial"/>
          <w:color w:val="FF0000"/>
          <w:sz w:val="24"/>
          <w:szCs w:val="24"/>
        </w:rPr>
      </w:pPr>
      <w:r w:rsidRPr="004B60F2">
        <w:rPr>
          <w:rFonts w:ascii="Arial" w:eastAsia="Times New Roman" w:hAnsi="Arial" w:cs="Arial"/>
          <w:sz w:val="24"/>
          <w:szCs w:val="24"/>
        </w:rPr>
        <w:t>The 3 Estates are highlighted as an area of Housing Regeneration on the Birmingham Development Plan’s Policies Map (BCC 15)</w:t>
      </w:r>
    </w:p>
    <w:p w14:paraId="0FB40989" w14:textId="1E176A62" w:rsidR="00884D94" w:rsidRPr="009D1B84" w:rsidRDefault="00884D94" w:rsidP="004E6C30">
      <w:pPr>
        <w:pStyle w:val="NoSpacing"/>
        <w:ind w:left="709" w:hanging="142"/>
        <w:jc w:val="both"/>
        <w:rPr>
          <w:rFonts w:ascii="Arial" w:eastAsia="Times New Roman" w:hAnsi="Arial" w:cs="Arial"/>
          <w:color w:val="FF0000"/>
          <w:sz w:val="24"/>
          <w:szCs w:val="24"/>
        </w:rPr>
      </w:pPr>
      <w:r w:rsidRPr="009D1B84">
        <w:rPr>
          <w:rFonts w:ascii="Arial" w:hAnsi="Arial" w:cs="Arial"/>
          <w:color w:val="000000"/>
          <w:sz w:val="24"/>
          <w:szCs w:val="24"/>
          <w:u w:val="single"/>
        </w:rPr>
        <w:t xml:space="preserve">The </w:t>
      </w:r>
      <w:r w:rsidRPr="00020D99">
        <w:rPr>
          <w:rFonts w:ascii="Arial" w:hAnsi="Arial" w:cs="Arial"/>
          <w:color w:val="000000"/>
          <w:sz w:val="24"/>
          <w:szCs w:val="24"/>
          <w:u w:val="single"/>
        </w:rPr>
        <w:t>Kings Norton Planning Framework</w:t>
      </w:r>
      <w:r w:rsidRPr="009D1B84">
        <w:rPr>
          <w:rFonts w:ascii="Arial" w:hAnsi="Arial" w:cs="Arial"/>
          <w:color w:val="000000"/>
          <w:sz w:val="24"/>
          <w:szCs w:val="24"/>
          <w:u w:val="single"/>
        </w:rPr>
        <w:t xml:space="preserve"> (March 2010) (</w:t>
      </w:r>
      <w:r w:rsidRPr="00020D99">
        <w:rPr>
          <w:rFonts w:ascii="Arial" w:hAnsi="Arial" w:cs="Arial"/>
          <w:color w:val="000000"/>
          <w:sz w:val="24"/>
          <w:szCs w:val="24"/>
          <w:u w:val="single"/>
        </w:rPr>
        <w:t>BCC</w:t>
      </w:r>
      <w:r w:rsidR="008F4EF4" w:rsidRPr="00020D99">
        <w:rPr>
          <w:rFonts w:ascii="Arial" w:hAnsi="Arial" w:cs="Arial"/>
          <w:color w:val="000000"/>
          <w:sz w:val="24"/>
          <w:szCs w:val="24"/>
          <w:u w:val="single"/>
        </w:rPr>
        <w:t xml:space="preserve"> 16 and BCC</w:t>
      </w:r>
      <w:r w:rsidR="008F4EF4">
        <w:rPr>
          <w:rFonts w:ascii="Arial" w:hAnsi="Arial" w:cs="Arial"/>
          <w:color w:val="000000"/>
          <w:sz w:val="24"/>
          <w:szCs w:val="24"/>
          <w:u w:val="single"/>
        </w:rPr>
        <w:t xml:space="preserve"> </w:t>
      </w:r>
      <w:r w:rsidR="008C7001" w:rsidRPr="00020D99">
        <w:rPr>
          <w:rFonts w:ascii="Arial" w:hAnsi="Arial" w:cs="Arial"/>
          <w:color w:val="000000"/>
          <w:sz w:val="24"/>
          <w:szCs w:val="24"/>
          <w:u w:val="single"/>
        </w:rPr>
        <w:t>17</w:t>
      </w:r>
      <w:r w:rsidRPr="009D1B84">
        <w:rPr>
          <w:rFonts w:ascii="Arial" w:hAnsi="Arial" w:cs="Arial"/>
          <w:color w:val="000000"/>
          <w:sz w:val="24"/>
          <w:szCs w:val="24"/>
          <w:u w:val="single"/>
        </w:rPr>
        <w:t>)</w:t>
      </w:r>
    </w:p>
    <w:p w14:paraId="2E596DD7" w14:textId="04DD3BFE" w:rsidR="00766A70" w:rsidRPr="00766A70" w:rsidRDefault="009D612A" w:rsidP="004E6C30">
      <w:pPr>
        <w:pStyle w:val="NoSpacing"/>
        <w:numPr>
          <w:ilvl w:val="1"/>
          <w:numId w:val="3"/>
        </w:numPr>
        <w:ind w:left="567" w:hanging="567"/>
        <w:jc w:val="both"/>
        <w:rPr>
          <w:rFonts w:ascii="Arial" w:hAnsi="Arial" w:cs="Arial"/>
          <w:color w:val="000000"/>
          <w:sz w:val="24"/>
          <w:szCs w:val="24"/>
        </w:rPr>
      </w:pPr>
      <w:r w:rsidRPr="00020D99">
        <w:rPr>
          <w:rFonts w:ascii="Arial" w:hAnsi="Arial" w:cs="Arial"/>
          <w:color w:val="000000"/>
          <w:sz w:val="24"/>
          <w:szCs w:val="24"/>
          <w:u w:val="single"/>
        </w:rPr>
        <w:t>The Kings Norton Planning Framework (March 2010)</w:t>
      </w:r>
      <w:r w:rsidRPr="00020D99">
        <w:rPr>
          <w:rFonts w:ascii="Arial" w:hAnsi="Arial" w:cs="Arial"/>
          <w:color w:val="000000"/>
          <w:sz w:val="24"/>
          <w:szCs w:val="24"/>
        </w:rPr>
        <w:t xml:space="preserve"> was adopted by the Council’s cabinet on 8</w:t>
      </w:r>
      <w:r w:rsidRPr="00020D99">
        <w:rPr>
          <w:rFonts w:ascii="Arial" w:hAnsi="Arial" w:cs="Arial"/>
          <w:color w:val="000000"/>
          <w:sz w:val="24"/>
          <w:szCs w:val="24"/>
          <w:vertAlign w:val="superscript"/>
        </w:rPr>
        <w:t>th</w:t>
      </w:r>
      <w:r w:rsidRPr="00020D99">
        <w:rPr>
          <w:rFonts w:ascii="Arial" w:hAnsi="Arial" w:cs="Arial"/>
          <w:color w:val="000000"/>
          <w:sz w:val="24"/>
          <w:szCs w:val="24"/>
        </w:rPr>
        <w:t xml:space="preserve"> March 2010.  It</w:t>
      </w:r>
      <w:r w:rsidRPr="00020D99">
        <w:rPr>
          <w:rFonts w:ascii="Arial" w:hAnsi="Arial" w:cs="Arial"/>
          <w:color w:val="000000"/>
          <w:sz w:val="24"/>
          <w:szCs w:val="24"/>
          <w:lang w:eastAsia="en-GB"/>
        </w:rPr>
        <w:t xml:space="preserve"> was prepared to guide the implementation of Proposal HR21 in the former Birmingham UDP</w:t>
      </w:r>
      <w:r w:rsidRPr="00020D99">
        <w:rPr>
          <w:rFonts w:ascii="Arial" w:hAnsi="Arial" w:cs="Arial"/>
          <w:color w:val="000000"/>
          <w:sz w:val="24"/>
          <w:szCs w:val="24"/>
        </w:rPr>
        <w:t xml:space="preserve"> and the </w:t>
      </w:r>
      <w:r w:rsidRPr="00020D99">
        <w:rPr>
          <w:rFonts w:ascii="Arial" w:hAnsi="Arial" w:cs="Arial"/>
          <w:color w:val="000000"/>
          <w:sz w:val="24"/>
          <w:szCs w:val="24"/>
          <w:lang w:eastAsia="en-GB"/>
        </w:rPr>
        <w:t>then emerging Core Strategy – both of which have now been superseded by the Birmingham Development Plan.</w:t>
      </w:r>
      <w:r w:rsidRPr="00020D99">
        <w:rPr>
          <w:rFonts w:ascii="Arial" w:hAnsi="Arial" w:cs="Arial"/>
          <w:color w:val="000000"/>
          <w:sz w:val="24"/>
          <w:szCs w:val="24"/>
        </w:rPr>
        <w:t xml:space="preserve">  It was prepared and informed with extensive consultation with the local community and other stakeholders and was underpinned by a comprehensive and up-to-date evidence base.</w:t>
      </w:r>
      <w:r w:rsidRPr="00020D99">
        <w:rPr>
          <w:rFonts w:ascii="Arial" w:eastAsiaTheme="minorHAnsi" w:hAnsi="Arial" w:cs="Arial"/>
          <w:color w:val="404041"/>
          <w:sz w:val="24"/>
          <w:szCs w:val="24"/>
        </w:rPr>
        <w:t xml:space="preserve"> </w:t>
      </w:r>
      <w:r w:rsidRPr="00020D99">
        <w:rPr>
          <w:rFonts w:ascii="Arial" w:eastAsiaTheme="minorHAnsi" w:hAnsi="Arial" w:cs="Arial"/>
          <w:sz w:val="24"/>
          <w:szCs w:val="24"/>
        </w:rPr>
        <w:t xml:space="preserve">The planning framework set out that it will be the key instrument in guiding a 20-year, £150 million regeneration plan for the Pool Farm, Primrose and Hawkesley estates in Kings Norton, which are home to over 4000 households. It set out a coordinated approach to neighbourhood regeneration, involving both the council and selected development partners, which will see the development of 1400 new homes, enhanced housing opportunities for the people of the area, with a significant shift from unpopular flatted accommodation to traditional family houses, and greater housing tenure choice across all the types of housing. </w:t>
      </w:r>
    </w:p>
    <w:p w14:paraId="682D52EE" w14:textId="77777777" w:rsidR="00766A70" w:rsidRPr="00766A70" w:rsidRDefault="00766A70" w:rsidP="00766A70">
      <w:pPr>
        <w:pStyle w:val="NoSpacing"/>
        <w:autoSpaceDE w:val="0"/>
        <w:autoSpaceDN w:val="0"/>
        <w:adjustRightInd w:val="0"/>
        <w:ind w:left="792"/>
        <w:jc w:val="both"/>
        <w:rPr>
          <w:rFonts w:ascii="Arial" w:hAnsi="Arial" w:cs="Arial"/>
          <w:color w:val="000000"/>
          <w:sz w:val="24"/>
          <w:szCs w:val="24"/>
        </w:rPr>
      </w:pPr>
    </w:p>
    <w:p w14:paraId="2D254485" w14:textId="6FA52A6C" w:rsidR="009D612A" w:rsidRPr="00766A70" w:rsidRDefault="009D612A" w:rsidP="004E6C30">
      <w:pPr>
        <w:pStyle w:val="NoSpacing"/>
        <w:numPr>
          <w:ilvl w:val="1"/>
          <w:numId w:val="3"/>
        </w:numPr>
        <w:ind w:left="567" w:hanging="567"/>
        <w:jc w:val="both"/>
        <w:rPr>
          <w:rFonts w:ascii="Arial" w:hAnsi="Arial" w:cs="Arial"/>
          <w:color w:val="000000"/>
          <w:sz w:val="24"/>
          <w:szCs w:val="24"/>
        </w:rPr>
      </w:pPr>
      <w:r w:rsidRPr="00766A70">
        <w:rPr>
          <w:rFonts w:ascii="Arial" w:hAnsi="Arial" w:cs="Arial"/>
          <w:bCs/>
          <w:sz w:val="24"/>
          <w:szCs w:val="24"/>
          <w:lang w:eastAsia="en-GB"/>
        </w:rPr>
        <w:t>The framework sets out a range of objectives and a number of key design principles. It also includes a proposals plan that shows the areas where new and replacement housing will be constructed, the location of new retail development, improvements to open space and the environment, and proposed alterations to the highway network. All the order properties are located within the clearance redevelopment areas that are set out in the planning framework. The framework also includes a delivery plan and the majority of the Pool Farm estate falls within the final phase of redevelopment - Phase four and the time scale indicated is 2022+.</w:t>
      </w:r>
    </w:p>
    <w:p w14:paraId="0327F2F8" w14:textId="77777777" w:rsidR="009D612A" w:rsidRDefault="009D612A" w:rsidP="007F1A06">
      <w:pPr>
        <w:autoSpaceDE w:val="0"/>
        <w:autoSpaceDN w:val="0"/>
        <w:adjustRightInd w:val="0"/>
        <w:spacing w:after="0" w:line="240" w:lineRule="auto"/>
        <w:jc w:val="both"/>
        <w:rPr>
          <w:rFonts w:ascii="Arial" w:hAnsi="Arial" w:cs="Arial"/>
          <w:bCs/>
          <w:sz w:val="24"/>
          <w:szCs w:val="24"/>
          <w:u w:val="single"/>
          <w:lang w:eastAsia="en-GB"/>
        </w:rPr>
      </w:pPr>
    </w:p>
    <w:p w14:paraId="544C547C" w14:textId="5D791300" w:rsidR="007F1A06" w:rsidRPr="00EB4EC4" w:rsidRDefault="007F1A06" w:rsidP="004E6C30">
      <w:pPr>
        <w:pStyle w:val="NoSpacing"/>
        <w:numPr>
          <w:ilvl w:val="1"/>
          <w:numId w:val="3"/>
        </w:numPr>
        <w:ind w:left="567" w:hanging="567"/>
        <w:jc w:val="both"/>
        <w:rPr>
          <w:rFonts w:ascii="Arial" w:eastAsia="Times New Roman" w:hAnsi="Arial" w:cs="Arial"/>
          <w:sz w:val="24"/>
          <w:szCs w:val="24"/>
        </w:rPr>
      </w:pPr>
      <w:r w:rsidRPr="00020D99">
        <w:rPr>
          <w:rFonts w:ascii="Arial" w:eastAsia="Times New Roman" w:hAnsi="Arial" w:cs="Arial"/>
          <w:sz w:val="24"/>
          <w:szCs w:val="24"/>
          <w:u w:val="single"/>
        </w:rPr>
        <w:t>Places for All and Places for Living</w:t>
      </w:r>
      <w:r w:rsidRPr="00020D99">
        <w:rPr>
          <w:rFonts w:ascii="Arial" w:eastAsia="Times New Roman" w:hAnsi="Arial" w:cs="Arial"/>
          <w:sz w:val="24"/>
          <w:szCs w:val="24"/>
        </w:rPr>
        <w:t xml:space="preserve"> </w:t>
      </w:r>
      <w:r w:rsidRPr="00020D99">
        <w:rPr>
          <w:rFonts w:ascii="Arial" w:eastAsia="Times New Roman" w:hAnsi="Arial" w:cs="Arial"/>
          <w:sz w:val="24"/>
          <w:szCs w:val="24"/>
          <w:u w:val="single"/>
        </w:rPr>
        <w:t>Supplementary Planning Guidance</w:t>
      </w:r>
      <w:r w:rsidR="00D1063A" w:rsidRPr="00020D99">
        <w:rPr>
          <w:rFonts w:ascii="Arial" w:eastAsia="Times New Roman" w:hAnsi="Arial" w:cs="Arial"/>
          <w:sz w:val="24"/>
          <w:szCs w:val="24"/>
          <w:u w:val="single"/>
        </w:rPr>
        <w:t xml:space="preserve"> BCC</w:t>
      </w:r>
      <w:r w:rsidR="008C7001" w:rsidRPr="00020D99">
        <w:rPr>
          <w:rFonts w:ascii="Arial" w:eastAsia="Times New Roman" w:hAnsi="Arial" w:cs="Arial"/>
          <w:sz w:val="24"/>
          <w:szCs w:val="24"/>
          <w:u w:val="single"/>
        </w:rPr>
        <w:t>1</w:t>
      </w:r>
      <w:r w:rsidR="008F4EF4" w:rsidRPr="00020D99">
        <w:rPr>
          <w:rFonts w:ascii="Arial" w:eastAsia="Times New Roman" w:hAnsi="Arial" w:cs="Arial"/>
          <w:sz w:val="24"/>
          <w:szCs w:val="24"/>
          <w:u w:val="single"/>
        </w:rPr>
        <w:t>8</w:t>
      </w:r>
      <w:r w:rsidR="00D1063A" w:rsidRPr="00020D99">
        <w:rPr>
          <w:rFonts w:ascii="Arial" w:eastAsia="Times New Roman" w:hAnsi="Arial" w:cs="Arial"/>
          <w:sz w:val="24"/>
          <w:szCs w:val="24"/>
          <w:u w:val="single"/>
        </w:rPr>
        <w:t xml:space="preserve"> AND BCC</w:t>
      </w:r>
      <w:r w:rsidR="008F4EF4" w:rsidRPr="00020D99">
        <w:rPr>
          <w:rFonts w:ascii="Arial" w:eastAsia="Times New Roman" w:hAnsi="Arial" w:cs="Arial"/>
          <w:sz w:val="24"/>
          <w:szCs w:val="24"/>
          <w:u w:val="single"/>
        </w:rPr>
        <w:t>19</w:t>
      </w:r>
      <w:r w:rsidR="00D1063A" w:rsidRPr="00020D99">
        <w:rPr>
          <w:rFonts w:ascii="Arial" w:eastAsia="Times New Roman" w:hAnsi="Arial" w:cs="Arial"/>
          <w:sz w:val="24"/>
          <w:szCs w:val="24"/>
          <w:u w:val="single"/>
        </w:rPr>
        <w:t>)</w:t>
      </w:r>
      <w:r>
        <w:rPr>
          <w:rFonts w:ascii="Arial" w:eastAsia="Times New Roman" w:hAnsi="Arial" w:cs="Arial"/>
          <w:sz w:val="24"/>
          <w:szCs w:val="24"/>
          <w:u w:val="single"/>
        </w:rPr>
        <w:t xml:space="preserve"> </w:t>
      </w:r>
      <w:r w:rsidRPr="00020D99">
        <w:rPr>
          <w:rFonts w:ascii="Arial" w:eastAsia="Times New Roman" w:hAnsi="Arial" w:cs="Arial"/>
          <w:sz w:val="24"/>
          <w:szCs w:val="24"/>
        </w:rPr>
        <w:t>en</w:t>
      </w:r>
      <w:r w:rsidRPr="00EB4EC4">
        <w:rPr>
          <w:rFonts w:ascii="Arial" w:eastAsia="Times New Roman" w:hAnsi="Arial" w:cs="Arial"/>
          <w:sz w:val="24"/>
          <w:szCs w:val="24"/>
        </w:rPr>
        <w:t xml:space="preserve">courage good quality accommodation in attractive environments. These documents contain a series of urban design principles and </w:t>
      </w:r>
      <w:r>
        <w:rPr>
          <w:rFonts w:ascii="Arial" w:eastAsia="Times New Roman" w:hAnsi="Arial" w:cs="Arial"/>
          <w:sz w:val="24"/>
          <w:szCs w:val="24"/>
        </w:rPr>
        <w:t xml:space="preserve">quantitative </w:t>
      </w:r>
      <w:r w:rsidRPr="00EB4EC4">
        <w:rPr>
          <w:rFonts w:ascii="Arial" w:eastAsia="Times New Roman" w:hAnsi="Arial" w:cs="Arial"/>
          <w:sz w:val="24"/>
          <w:szCs w:val="24"/>
        </w:rPr>
        <w:t>standards, with emphasis on new developments acknowledging and responding positively to context and local character.</w:t>
      </w:r>
    </w:p>
    <w:p w14:paraId="0F5204F2" w14:textId="77777777" w:rsidR="007F1A06" w:rsidRPr="00EB4EC4" w:rsidRDefault="007F1A06" w:rsidP="004E6C30">
      <w:pPr>
        <w:spacing w:after="0" w:line="240" w:lineRule="auto"/>
        <w:ind w:left="567" w:hanging="709"/>
        <w:jc w:val="both"/>
        <w:rPr>
          <w:rFonts w:ascii="Arial" w:eastAsia="Times New Roman" w:hAnsi="Arial" w:cs="Arial"/>
          <w:sz w:val="24"/>
          <w:szCs w:val="24"/>
        </w:rPr>
      </w:pPr>
      <w:r w:rsidRPr="00EB4EC4">
        <w:rPr>
          <w:rFonts w:ascii="Arial" w:eastAsia="Times New Roman" w:hAnsi="Arial" w:cs="Arial"/>
          <w:sz w:val="24"/>
          <w:szCs w:val="24"/>
        </w:rPr>
        <w:tab/>
        <w:t>The key themes of the documents include:</w:t>
      </w:r>
    </w:p>
    <w:p w14:paraId="589480F8" w14:textId="08DABE38" w:rsidR="007F1A06" w:rsidRPr="00020D99" w:rsidRDefault="007F1A06" w:rsidP="004E6C30">
      <w:pPr>
        <w:pStyle w:val="ListParagraph"/>
        <w:numPr>
          <w:ilvl w:val="0"/>
          <w:numId w:val="50"/>
        </w:numPr>
        <w:spacing w:after="0" w:line="240" w:lineRule="auto"/>
        <w:ind w:left="1440" w:hanging="731"/>
        <w:jc w:val="both"/>
        <w:rPr>
          <w:rFonts w:ascii="Arial" w:eastAsia="Times New Roman" w:hAnsi="Arial" w:cs="Arial"/>
          <w:sz w:val="24"/>
          <w:szCs w:val="24"/>
        </w:rPr>
      </w:pPr>
      <w:r w:rsidRPr="00020D99">
        <w:rPr>
          <w:rFonts w:ascii="Arial" w:eastAsia="Times New Roman" w:hAnsi="Arial" w:cs="Arial"/>
          <w:sz w:val="24"/>
          <w:szCs w:val="24"/>
        </w:rPr>
        <w:t>Creating places, not estates – including mixing house types and creating focal space</w:t>
      </w:r>
    </w:p>
    <w:p w14:paraId="542487C1" w14:textId="4AC02E4E" w:rsidR="007F1A06" w:rsidRPr="00020D99" w:rsidRDefault="007F1A06" w:rsidP="004E6C30">
      <w:pPr>
        <w:pStyle w:val="ListParagraph"/>
        <w:numPr>
          <w:ilvl w:val="0"/>
          <w:numId w:val="50"/>
        </w:numPr>
        <w:spacing w:after="0" w:line="240" w:lineRule="auto"/>
        <w:ind w:left="1440" w:hanging="731"/>
        <w:jc w:val="both"/>
        <w:rPr>
          <w:rFonts w:ascii="Arial" w:eastAsia="Times New Roman" w:hAnsi="Arial" w:cs="Arial"/>
          <w:sz w:val="24"/>
          <w:szCs w:val="24"/>
        </w:rPr>
      </w:pPr>
      <w:r w:rsidRPr="00020D99">
        <w:rPr>
          <w:rFonts w:ascii="Arial" w:eastAsia="Times New Roman" w:hAnsi="Arial" w:cs="Arial"/>
          <w:sz w:val="24"/>
          <w:szCs w:val="24"/>
        </w:rPr>
        <w:t>Moving around easily – providing convenient routes and ensuring that they are overlooked by frontages.</w:t>
      </w:r>
    </w:p>
    <w:p w14:paraId="1878D2E7" w14:textId="49BD3682" w:rsidR="007F1A06" w:rsidRPr="00020D99" w:rsidRDefault="007F1A06" w:rsidP="004E6C30">
      <w:pPr>
        <w:pStyle w:val="ListParagraph"/>
        <w:numPr>
          <w:ilvl w:val="0"/>
          <w:numId w:val="50"/>
        </w:numPr>
        <w:spacing w:after="0" w:line="240" w:lineRule="auto"/>
        <w:ind w:left="1440" w:hanging="731"/>
        <w:jc w:val="both"/>
        <w:rPr>
          <w:rFonts w:ascii="Arial" w:eastAsia="Times New Roman" w:hAnsi="Arial" w:cs="Arial"/>
          <w:sz w:val="24"/>
          <w:szCs w:val="24"/>
        </w:rPr>
      </w:pPr>
      <w:r w:rsidRPr="00020D99">
        <w:rPr>
          <w:rFonts w:ascii="Arial" w:eastAsia="Times New Roman" w:hAnsi="Arial" w:cs="Arial"/>
          <w:sz w:val="24"/>
          <w:szCs w:val="24"/>
        </w:rPr>
        <w:t>Safe places and private spaces – places must be safe and attractive with a clear division between public and private space.</w:t>
      </w:r>
    </w:p>
    <w:p w14:paraId="6E3FAEF3" w14:textId="7AE100B3" w:rsidR="007F1A06" w:rsidRPr="00020D99" w:rsidRDefault="007F1A06" w:rsidP="004E6C30">
      <w:pPr>
        <w:pStyle w:val="ListParagraph"/>
        <w:numPr>
          <w:ilvl w:val="1"/>
          <w:numId w:val="50"/>
        </w:numPr>
        <w:autoSpaceDE w:val="0"/>
        <w:autoSpaceDN w:val="0"/>
        <w:adjustRightInd w:val="0"/>
        <w:spacing w:after="0" w:line="240" w:lineRule="auto"/>
        <w:ind w:left="2127" w:hanging="567"/>
        <w:jc w:val="both"/>
        <w:rPr>
          <w:rFonts w:ascii="Arial" w:eastAsia="Times New Roman" w:hAnsi="Arial" w:cs="Arial"/>
          <w:sz w:val="24"/>
          <w:szCs w:val="24"/>
        </w:rPr>
      </w:pPr>
      <w:r w:rsidRPr="00020D99">
        <w:rPr>
          <w:rFonts w:ascii="Arial" w:eastAsia="Times New Roman" w:hAnsi="Arial" w:cs="Arial"/>
          <w:sz w:val="24"/>
          <w:szCs w:val="24"/>
        </w:rPr>
        <w:t>Build on local character – responding to local context and character.</w:t>
      </w:r>
    </w:p>
    <w:p w14:paraId="792E63AA" w14:textId="7FCC153D" w:rsidR="00EE54A2" w:rsidRDefault="00EE54A2" w:rsidP="004E6C30">
      <w:pPr>
        <w:spacing w:after="0" w:line="240" w:lineRule="auto"/>
        <w:ind w:left="567" w:hanging="27"/>
        <w:jc w:val="both"/>
        <w:rPr>
          <w:rFonts w:ascii="Arial" w:hAnsi="Arial" w:cs="Arial"/>
          <w:bCs/>
          <w:sz w:val="24"/>
          <w:szCs w:val="24"/>
          <w:lang w:eastAsia="en-GB"/>
        </w:rPr>
      </w:pPr>
      <w:r w:rsidRPr="001643AA">
        <w:rPr>
          <w:rFonts w:ascii="Arial" w:hAnsi="Arial" w:cs="Arial"/>
          <w:bCs/>
          <w:sz w:val="24"/>
          <w:szCs w:val="24"/>
          <w:lang w:eastAsia="en-GB"/>
        </w:rPr>
        <w:t xml:space="preserve">The proposals for Pool Farm respond positively to this design guidance. </w:t>
      </w:r>
    </w:p>
    <w:p w14:paraId="42BA118F" w14:textId="77407AA1" w:rsidR="00954287" w:rsidRDefault="00954287" w:rsidP="007F1A06">
      <w:pPr>
        <w:autoSpaceDE w:val="0"/>
        <w:autoSpaceDN w:val="0"/>
        <w:adjustRightInd w:val="0"/>
        <w:spacing w:after="0" w:line="240" w:lineRule="auto"/>
        <w:jc w:val="both"/>
        <w:rPr>
          <w:rFonts w:ascii="Arial" w:hAnsi="Arial" w:cs="Arial"/>
          <w:bCs/>
          <w:sz w:val="24"/>
          <w:szCs w:val="24"/>
          <w:lang w:eastAsia="en-GB"/>
        </w:rPr>
      </w:pPr>
    </w:p>
    <w:p w14:paraId="0CEA3830" w14:textId="36EDC4C3" w:rsidR="00954287" w:rsidRPr="009D1B84" w:rsidRDefault="00954287" w:rsidP="00055238">
      <w:pPr>
        <w:pStyle w:val="NoSpacing"/>
        <w:ind w:left="540"/>
        <w:jc w:val="both"/>
        <w:rPr>
          <w:rFonts w:ascii="Arial" w:hAnsi="Arial" w:cs="Arial"/>
          <w:sz w:val="24"/>
          <w:szCs w:val="24"/>
          <w:u w:val="single"/>
        </w:rPr>
      </w:pPr>
      <w:r w:rsidRPr="009D1B84">
        <w:rPr>
          <w:rFonts w:ascii="Arial" w:hAnsi="Arial" w:cs="Arial"/>
          <w:sz w:val="24"/>
          <w:szCs w:val="24"/>
          <w:u w:val="single"/>
        </w:rPr>
        <w:t>Planning Applications approved for the proposed development</w:t>
      </w:r>
    </w:p>
    <w:p w14:paraId="3351AA34" w14:textId="77777777" w:rsidR="0003691A" w:rsidRDefault="0003691A" w:rsidP="0003691A">
      <w:pPr>
        <w:pStyle w:val="NoSpacing"/>
        <w:jc w:val="both"/>
        <w:rPr>
          <w:rFonts w:ascii="Arial" w:hAnsi="Arial" w:cs="Arial"/>
          <w:sz w:val="24"/>
          <w:szCs w:val="24"/>
        </w:rPr>
      </w:pPr>
    </w:p>
    <w:p w14:paraId="58936C39" w14:textId="24E4CD50" w:rsidR="00954287" w:rsidRPr="002C5748" w:rsidRDefault="00954287" w:rsidP="004E6C30">
      <w:pPr>
        <w:pStyle w:val="NoSpacing"/>
        <w:numPr>
          <w:ilvl w:val="1"/>
          <w:numId w:val="3"/>
        </w:numPr>
        <w:ind w:left="567" w:hanging="567"/>
        <w:jc w:val="both"/>
        <w:rPr>
          <w:rFonts w:ascii="Arial" w:hAnsi="Arial" w:cs="Arial"/>
          <w:sz w:val="24"/>
          <w:szCs w:val="24"/>
        </w:rPr>
      </w:pPr>
      <w:r>
        <w:rPr>
          <w:rFonts w:ascii="Arial" w:hAnsi="Arial" w:cs="Arial"/>
          <w:sz w:val="24"/>
          <w:szCs w:val="24"/>
        </w:rPr>
        <w:t xml:space="preserve">A Full Planning Application for the redevelopment (Planning application reference: 2020/08312/PA) was approved by Birmingham City Council Planning Committee on 4th March 2021 for the </w:t>
      </w:r>
      <w:r w:rsidRPr="002C5748">
        <w:rPr>
          <w:rFonts w:ascii="Arial" w:hAnsi="Arial" w:cs="Arial"/>
          <w:sz w:val="24"/>
          <w:szCs w:val="24"/>
        </w:rPr>
        <w:t xml:space="preserve">development of </w:t>
      </w:r>
      <w:r>
        <w:rPr>
          <w:rFonts w:ascii="Arial" w:hAnsi="Arial" w:cs="Arial"/>
          <w:sz w:val="24"/>
          <w:szCs w:val="24"/>
        </w:rPr>
        <w:t xml:space="preserve">the Gildas Avenue, Barratts Road and Bentmead Grove areas for the 117 new 2,3,4 and </w:t>
      </w:r>
      <w:r w:rsidR="00C82C1D">
        <w:rPr>
          <w:rFonts w:ascii="Arial" w:hAnsi="Arial" w:cs="Arial"/>
          <w:sz w:val="24"/>
          <w:szCs w:val="24"/>
        </w:rPr>
        <w:t>5-bedroom</w:t>
      </w:r>
      <w:r>
        <w:rPr>
          <w:rFonts w:ascii="Arial" w:hAnsi="Arial" w:cs="Arial"/>
          <w:sz w:val="24"/>
          <w:szCs w:val="24"/>
        </w:rPr>
        <w:t xml:space="preserve"> houses</w:t>
      </w:r>
      <w:r w:rsidRPr="002C5748">
        <w:rPr>
          <w:rFonts w:ascii="Arial" w:hAnsi="Arial" w:cs="Arial"/>
          <w:sz w:val="24"/>
          <w:szCs w:val="24"/>
        </w:rPr>
        <w:t xml:space="preserve"> </w:t>
      </w:r>
      <w:r>
        <w:rPr>
          <w:rFonts w:ascii="Arial" w:hAnsi="Arial" w:cs="Arial"/>
          <w:sz w:val="24"/>
          <w:szCs w:val="24"/>
        </w:rPr>
        <w:t>and a</w:t>
      </w:r>
      <w:r w:rsidRPr="002C5748">
        <w:rPr>
          <w:rFonts w:ascii="Arial" w:hAnsi="Arial" w:cs="Arial"/>
          <w:sz w:val="24"/>
          <w:szCs w:val="24"/>
        </w:rPr>
        <w:t>ssociated works.</w:t>
      </w:r>
      <w:r>
        <w:rPr>
          <w:rFonts w:ascii="Arial" w:hAnsi="Arial" w:cs="Arial"/>
          <w:sz w:val="24"/>
          <w:szCs w:val="24"/>
        </w:rPr>
        <w:t xml:space="preserve"> The application was submitted by the Birmingham Municipal Housing Trust – the house building arm of the City Council.</w:t>
      </w:r>
    </w:p>
    <w:p w14:paraId="2AAB9F59" w14:textId="77777777" w:rsidR="00954287" w:rsidRDefault="00954287" w:rsidP="00954287">
      <w:pPr>
        <w:pStyle w:val="NoSpacing"/>
        <w:ind w:left="540"/>
        <w:jc w:val="both"/>
        <w:rPr>
          <w:rFonts w:ascii="Arial" w:hAnsi="Arial" w:cs="Arial"/>
          <w:sz w:val="24"/>
          <w:szCs w:val="24"/>
        </w:rPr>
      </w:pPr>
    </w:p>
    <w:p w14:paraId="150CEE9A" w14:textId="78A53A52" w:rsidR="00954287" w:rsidRDefault="00954287" w:rsidP="004E6C30">
      <w:pPr>
        <w:pStyle w:val="NoSpacing"/>
        <w:numPr>
          <w:ilvl w:val="1"/>
          <w:numId w:val="3"/>
        </w:numPr>
        <w:ind w:left="567" w:hanging="567"/>
        <w:jc w:val="both"/>
        <w:rPr>
          <w:rFonts w:ascii="Arial" w:hAnsi="Arial" w:cs="Arial"/>
          <w:sz w:val="24"/>
          <w:szCs w:val="24"/>
        </w:rPr>
      </w:pPr>
      <w:r>
        <w:rPr>
          <w:rFonts w:ascii="Arial" w:hAnsi="Arial" w:cs="Arial"/>
          <w:sz w:val="24"/>
          <w:szCs w:val="24"/>
        </w:rPr>
        <w:t xml:space="preserve">An Outline Planning Application for the redevelopment (Planning application reference: 2020/08270/PA) was approved by Birmingham City Council Planning Committee on 4th March 2021 for the development of Hillmeads Road and Shannon Road for the erection of up to 150 units including </w:t>
      </w:r>
      <w:r w:rsidR="00C82C1D">
        <w:rPr>
          <w:rFonts w:ascii="Arial" w:hAnsi="Arial" w:cs="Arial"/>
          <w:sz w:val="24"/>
          <w:szCs w:val="24"/>
        </w:rPr>
        <w:t>2,3 and 4-bedroom</w:t>
      </w:r>
      <w:r>
        <w:rPr>
          <w:rFonts w:ascii="Arial" w:hAnsi="Arial" w:cs="Arial"/>
          <w:sz w:val="24"/>
          <w:szCs w:val="24"/>
        </w:rPr>
        <w:t xml:space="preserve"> houses and 1 and 2 bedroom apartments. The application was also submitted by Birmingham Municipal Housing Trust. </w:t>
      </w:r>
    </w:p>
    <w:p w14:paraId="10BEAD3F" w14:textId="28BD0827" w:rsidR="00D1063A" w:rsidRDefault="00D1063A">
      <w:pPr>
        <w:pStyle w:val="NoSpacing"/>
        <w:ind w:left="540"/>
        <w:jc w:val="both"/>
        <w:rPr>
          <w:rFonts w:ascii="Arial" w:hAnsi="Arial" w:cs="Arial"/>
          <w:sz w:val="24"/>
          <w:szCs w:val="24"/>
        </w:rPr>
      </w:pPr>
    </w:p>
    <w:p w14:paraId="76EE7B22" w14:textId="6CEA5719" w:rsidR="00D1063A" w:rsidRPr="00020D99" w:rsidRDefault="00D1063A" w:rsidP="004E6C30">
      <w:pPr>
        <w:pStyle w:val="NoSpacing"/>
        <w:numPr>
          <w:ilvl w:val="1"/>
          <w:numId w:val="3"/>
        </w:numPr>
        <w:ind w:left="567" w:hanging="567"/>
        <w:jc w:val="both"/>
        <w:rPr>
          <w:rFonts w:ascii="Arial" w:hAnsi="Arial" w:cs="Arial"/>
          <w:sz w:val="24"/>
          <w:szCs w:val="24"/>
        </w:rPr>
      </w:pPr>
      <w:r w:rsidRPr="00020D99">
        <w:rPr>
          <w:rFonts w:ascii="Arial" w:hAnsi="Arial" w:cs="Arial"/>
          <w:sz w:val="24"/>
          <w:szCs w:val="24"/>
        </w:rPr>
        <w:t>The reports to Planning Committee regarding these applications, the decision documents and extracts of site layouts are included as BCC</w:t>
      </w:r>
      <w:r w:rsidR="008F4EF4" w:rsidRPr="00020D99">
        <w:rPr>
          <w:rFonts w:ascii="Arial" w:hAnsi="Arial" w:cs="Arial"/>
          <w:sz w:val="24"/>
          <w:szCs w:val="24"/>
        </w:rPr>
        <w:t>5</w:t>
      </w:r>
      <w:r w:rsidR="008C7001" w:rsidRPr="00020D99">
        <w:rPr>
          <w:rFonts w:ascii="Arial" w:hAnsi="Arial" w:cs="Arial"/>
          <w:sz w:val="24"/>
          <w:szCs w:val="24"/>
        </w:rPr>
        <w:t xml:space="preserve"> </w:t>
      </w:r>
      <w:r w:rsidRPr="00020D99">
        <w:rPr>
          <w:rFonts w:ascii="Arial" w:hAnsi="Arial" w:cs="Arial"/>
          <w:sz w:val="24"/>
          <w:szCs w:val="24"/>
        </w:rPr>
        <w:t>to BCC</w:t>
      </w:r>
      <w:r w:rsidR="008C7001" w:rsidRPr="00020D99">
        <w:rPr>
          <w:rFonts w:ascii="Arial" w:hAnsi="Arial" w:cs="Arial"/>
          <w:sz w:val="24"/>
          <w:szCs w:val="24"/>
        </w:rPr>
        <w:t>1</w:t>
      </w:r>
      <w:r w:rsidR="008F4EF4" w:rsidRPr="00020D99">
        <w:rPr>
          <w:rFonts w:ascii="Arial" w:hAnsi="Arial" w:cs="Arial"/>
          <w:sz w:val="24"/>
          <w:szCs w:val="24"/>
        </w:rPr>
        <w:t>0</w:t>
      </w:r>
    </w:p>
    <w:p w14:paraId="7FAD70F7" w14:textId="5AA24361" w:rsidR="00954287" w:rsidRDefault="00954287" w:rsidP="007F1A06">
      <w:pPr>
        <w:autoSpaceDE w:val="0"/>
        <w:autoSpaceDN w:val="0"/>
        <w:adjustRightInd w:val="0"/>
        <w:spacing w:after="0" w:line="240" w:lineRule="auto"/>
        <w:jc w:val="both"/>
        <w:rPr>
          <w:rFonts w:ascii="Arial" w:hAnsi="Arial" w:cs="Arial"/>
          <w:bCs/>
          <w:sz w:val="24"/>
          <w:szCs w:val="24"/>
          <w:lang w:eastAsia="en-GB"/>
        </w:rPr>
      </w:pPr>
    </w:p>
    <w:p w14:paraId="1DFFD893" w14:textId="223A6FD7" w:rsidR="00954287" w:rsidRPr="00455CB9" w:rsidRDefault="009B6138" w:rsidP="004E6C30">
      <w:pPr>
        <w:pStyle w:val="NoSpacing"/>
        <w:numPr>
          <w:ilvl w:val="1"/>
          <w:numId w:val="3"/>
        </w:numPr>
        <w:ind w:left="567" w:hanging="567"/>
        <w:jc w:val="both"/>
        <w:rPr>
          <w:rFonts w:ascii="Arial" w:hAnsi="Arial" w:cs="Arial"/>
          <w:bCs/>
          <w:sz w:val="24"/>
          <w:szCs w:val="24"/>
          <w:lang w:eastAsia="en-GB"/>
        </w:rPr>
      </w:pPr>
      <w:r w:rsidRPr="00455CB9">
        <w:rPr>
          <w:rFonts w:ascii="Arial" w:eastAsiaTheme="minorHAnsi" w:hAnsi="Arial" w:cs="Arial"/>
          <w:color w:val="000000"/>
          <w:sz w:val="24"/>
          <w:szCs w:val="24"/>
        </w:rPr>
        <w:t>There have also been a number of applications for prior notification of proposed demolition of properties across the Pool Farm estate, including a</w:t>
      </w:r>
      <w:r w:rsidR="00954287" w:rsidRPr="00455CB9">
        <w:rPr>
          <w:rFonts w:ascii="Arial" w:eastAsiaTheme="minorHAnsi" w:hAnsi="Arial" w:cs="Arial"/>
          <w:color w:val="000000"/>
          <w:sz w:val="24"/>
          <w:szCs w:val="24"/>
        </w:rPr>
        <w:t>n application for Prior Notification of proposed demolition of a number of existing flats, houses and maisonette blocks –(Reference 2019/06477/PA ) – and relating to numbers 20 &amp; 22, 24-30 (evens), 38 &amp; 40, 57 &amp; 59</w:t>
      </w:r>
      <w:r w:rsidR="004A14D4" w:rsidRPr="00455CB9">
        <w:rPr>
          <w:rFonts w:ascii="Arial" w:eastAsiaTheme="minorHAnsi" w:hAnsi="Arial" w:cs="Arial"/>
          <w:color w:val="000000"/>
          <w:sz w:val="24"/>
          <w:szCs w:val="24"/>
        </w:rPr>
        <w:t xml:space="preserve"> </w:t>
      </w:r>
      <w:r w:rsidR="00954287" w:rsidRPr="00455CB9">
        <w:rPr>
          <w:rFonts w:ascii="Arial" w:eastAsiaTheme="minorHAnsi" w:hAnsi="Arial" w:cs="Arial"/>
          <w:color w:val="000000"/>
          <w:sz w:val="24"/>
          <w:szCs w:val="24"/>
        </w:rPr>
        <w:t>, 37-47 (odds), 78 &amp; 80, 96-102 (evens) Gildas Avenue; 59-65 (odds) Barratts Road; Blocks 1 (1-6), 3 (1-6), 5 (1-6) &amp; 7 (1-6) Bentmead Grove; 25-31 (odds) &amp; 40-46 (evens) Little Hill Grove; and 1-7 (odds) Sisefield Road – was submitted with  Prior Approval Required and subsequently granted on 26 September 2019  subject to implementation of a precautionary approach regarding bats.</w:t>
      </w:r>
      <w:r w:rsidR="00954287" w:rsidRPr="00455CB9">
        <w:rPr>
          <w:rFonts w:ascii="Arial" w:hAnsi="Arial" w:cs="Arial"/>
          <w:bCs/>
          <w:sz w:val="24"/>
          <w:szCs w:val="24"/>
          <w:lang w:eastAsia="en-GB"/>
        </w:rPr>
        <w:tab/>
      </w:r>
    </w:p>
    <w:p w14:paraId="1C27819D" w14:textId="77777777" w:rsidR="007F1A06" w:rsidRDefault="007F1A06" w:rsidP="007F1A06">
      <w:pPr>
        <w:autoSpaceDE w:val="0"/>
        <w:autoSpaceDN w:val="0"/>
        <w:adjustRightInd w:val="0"/>
        <w:spacing w:after="0" w:line="240" w:lineRule="auto"/>
        <w:jc w:val="both"/>
        <w:rPr>
          <w:rFonts w:ascii="Arial" w:hAnsi="Arial" w:cs="Arial"/>
          <w:bCs/>
          <w:sz w:val="24"/>
          <w:szCs w:val="24"/>
          <w:u w:val="single"/>
          <w:lang w:eastAsia="en-GB"/>
        </w:rPr>
      </w:pPr>
    </w:p>
    <w:p w14:paraId="32A415B7" w14:textId="77777777" w:rsidR="007F1A06" w:rsidRPr="00706739" w:rsidRDefault="007F1A06" w:rsidP="007F1A06">
      <w:pPr>
        <w:autoSpaceDE w:val="0"/>
        <w:autoSpaceDN w:val="0"/>
        <w:adjustRightInd w:val="0"/>
        <w:spacing w:after="0" w:line="240" w:lineRule="auto"/>
        <w:ind w:firstLine="540"/>
        <w:jc w:val="both"/>
        <w:rPr>
          <w:rFonts w:ascii="Arial" w:hAnsi="Arial" w:cs="Arial"/>
          <w:bCs/>
          <w:sz w:val="24"/>
          <w:szCs w:val="24"/>
          <w:u w:val="single"/>
          <w:lang w:eastAsia="en-GB"/>
        </w:rPr>
      </w:pPr>
      <w:r w:rsidRPr="00706739">
        <w:rPr>
          <w:rFonts w:ascii="Arial" w:hAnsi="Arial" w:cs="Arial"/>
          <w:bCs/>
          <w:sz w:val="24"/>
          <w:szCs w:val="24"/>
          <w:u w:val="single"/>
          <w:lang w:eastAsia="en-GB"/>
        </w:rPr>
        <w:t>Birmingham Strategic Housing Market Assessment 2012</w:t>
      </w:r>
    </w:p>
    <w:p w14:paraId="5BE1D15D" w14:textId="77777777" w:rsidR="007F1A06" w:rsidRDefault="007F1A06" w:rsidP="007F1A06">
      <w:pPr>
        <w:autoSpaceDE w:val="0"/>
        <w:autoSpaceDN w:val="0"/>
        <w:adjustRightInd w:val="0"/>
        <w:spacing w:after="0" w:line="240" w:lineRule="auto"/>
        <w:jc w:val="both"/>
        <w:rPr>
          <w:rFonts w:ascii="Arial" w:hAnsi="Arial" w:cs="Arial"/>
          <w:sz w:val="24"/>
          <w:szCs w:val="24"/>
          <w:lang w:eastAsia="en-GB"/>
        </w:rPr>
      </w:pPr>
    </w:p>
    <w:p w14:paraId="0129CC5C" w14:textId="77777777" w:rsidR="007F1A06" w:rsidRDefault="007F1A06" w:rsidP="004E6C30">
      <w:pPr>
        <w:pStyle w:val="NoSpacing"/>
        <w:numPr>
          <w:ilvl w:val="1"/>
          <w:numId w:val="3"/>
        </w:numPr>
        <w:ind w:left="567" w:hanging="567"/>
        <w:jc w:val="both"/>
        <w:rPr>
          <w:rFonts w:ascii="Arial" w:hAnsi="Arial" w:cs="Arial"/>
          <w:sz w:val="24"/>
          <w:szCs w:val="24"/>
          <w:lang w:eastAsia="en-GB"/>
        </w:rPr>
      </w:pPr>
      <w:r w:rsidRPr="003E1DC4">
        <w:rPr>
          <w:rFonts w:ascii="Arial" w:eastAsia="Times New Roman" w:hAnsi="Arial" w:cs="Arial"/>
          <w:sz w:val="24"/>
          <w:szCs w:val="24"/>
        </w:rPr>
        <w:t>Birmingham’s</w:t>
      </w:r>
      <w:r w:rsidRPr="00320AB4">
        <w:rPr>
          <w:rFonts w:ascii="Arial" w:hAnsi="Arial" w:cs="Arial"/>
          <w:sz w:val="24"/>
          <w:szCs w:val="24"/>
          <w:lang w:eastAsia="en-GB"/>
        </w:rPr>
        <w:t xml:space="preserve"> Strategic Housing Market Assessment (SHMA) was published in 2012 and</w:t>
      </w:r>
      <w:r>
        <w:rPr>
          <w:rFonts w:ascii="Arial" w:hAnsi="Arial" w:cs="Arial"/>
          <w:sz w:val="24"/>
          <w:szCs w:val="24"/>
          <w:lang w:eastAsia="en-GB"/>
        </w:rPr>
        <w:t xml:space="preserve"> </w:t>
      </w:r>
      <w:r w:rsidRPr="00320AB4">
        <w:rPr>
          <w:rFonts w:ascii="Arial" w:hAnsi="Arial" w:cs="Arial"/>
          <w:sz w:val="24"/>
          <w:szCs w:val="24"/>
          <w:lang w:eastAsia="en-GB"/>
        </w:rPr>
        <w:t>revised in January 2013.</w:t>
      </w:r>
      <w:r>
        <w:rPr>
          <w:rFonts w:ascii="Arial" w:hAnsi="Arial" w:cs="Arial"/>
          <w:sz w:val="24"/>
          <w:szCs w:val="24"/>
          <w:lang w:eastAsia="en-GB"/>
        </w:rPr>
        <w:t xml:space="preserve">  </w:t>
      </w:r>
      <w:r w:rsidRPr="00320AB4">
        <w:rPr>
          <w:rFonts w:ascii="Arial" w:hAnsi="Arial" w:cs="Arial"/>
          <w:sz w:val="24"/>
          <w:szCs w:val="24"/>
          <w:lang w:eastAsia="en-GB"/>
        </w:rPr>
        <w:t>The SHMA meets the requirements of the National Planning Policy Framework (NPPF) March</w:t>
      </w:r>
      <w:r>
        <w:rPr>
          <w:rFonts w:ascii="Arial" w:hAnsi="Arial" w:cs="Arial"/>
          <w:sz w:val="24"/>
          <w:szCs w:val="24"/>
          <w:lang w:eastAsia="en-GB"/>
        </w:rPr>
        <w:t xml:space="preserve"> </w:t>
      </w:r>
      <w:r w:rsidRPr="00320AB4">
        <w:rPr>
          <w:rFonts w:ascii="Arial" w:hAnsi="Arial" w:cs="Arial"/>
          <w:sz w:val="24"/>
          <w:szCs w:val="24"/>
          <w:lang w:eastAsia="en-GB"/>
        </w:rPr>
        <w:t>2012 in that:</w:t>
      </w:r>
    </w:p>
    <w:p w14:paraId="3B91844B" w14:textId="77777777" w:rsidR="007F1A06" w:rsidRPr="00F93042" w:rsidRDefault="007F1A06" w:rsidP="007F1A06">
      <w:pPr>
        <w:autoSpaceDE w:val="0"/>
        <w:autoSpaceDN w:val="0"/>
        <w:adjustRightInd w:val="0"/>
        <w:spacing w:after="0" w:line="240" w:lineRule="auto"/>
        <w:jc w:val="both"/>
        <w:rPr>
          <w:rFonts w:ascii="Arial" w:hAnsi="Arial" w:cs="Arial"/>
          <w:sz w:val="24"/>
          <w:szCs w:val="24"/>
          <w:lang w:eastAsia="en-GB"/>
        </w:rPr>
      </w:pPr>
    </w:p>
    <w:p w14:paraId="588D04CB" w14:textId="77777777" w:rsidR="007F1A06" w:rsidRPr="00F93042" w:rsidRDefault="007F1A06" w:rsidP="007F1A06">
      <w:pPr>
        <w:autoSpaceDE w:val="0"/>
        <w:autoSpaceDN w:val="0"/>
        <w:adjustRightInd w:val="0"/>
        <w:spacing w:after="0" w:line="240" w:lineRule="auto"/>
        <w:ind w:left="567" w:hanging="27"/>
        <w:jc w:val="both"/>
        <w:rPr>
          <w:rFonts w:ascii="Arial" w:hAnsi="Arial" w:cs="Arial"/>
          <w:i/>
          <w:iCs/>
          <w:sz w:val="24"/>
          <w:szCs w:val="24"/>
          <w:lang w:eastAsia="en-GB"/>
        </w:rPr>
      </w:pPr>
      <w:r w:rsidRPr="00F93042">
        <w:rPr>
          <w:rFonts w:ascii="Arial" w:hAnsi="Arial" w:cs="Arial"/>
          <w:i/>
          <w:iCs/>
          <w:sz w:val="24"/>
          <w:szCs w:val="24"/>
          <w:lang w:eastAsia="en-GB"/>
        </w:rPr>
        <w:t>“Local Planning Authorities should have a clear understanding of housing needs in their area. They should prepare a Strategic Housing market Assessment to assess their full housing needs, working with neighbouring authorities where housing market areas are across administrative boundaries. The SHMA should identify the scale and mix of housing and the range of tenures that the local populations is likely to need over the plan period (preferably over 15 years)”</w:t>
      </w:r>
    </w:p>
    <w:p w14:paraId="34FDB2FE" w14:textId="77777777" w:rsidR="007F1A06" w:rsidRDefault="007F1A06" w:rsidP="007F1A06">
      <w:pPr>
        <w:autoSpaceDE w:val="0"/>
        <w:autoSpaceDN w:val="0"/>
        <w:adjustRightInd w:val="0"/>
        <w:spacing w:after="0" w:line="240" w:lineRule="auto"/>
        <w:jc w:val="both"/>
        <w:rPr>
          <w:rFonts w:ascii="Arial" w:hAnsi="Arial" w:cs="Arial"/>
          <w:sz w:val="24"/>
          <w:szCs w:val="24"/>
          <w:lang w:eastAsia="en-GB"/>
        </w:rPr>
      </w:pPr>
    </w:p>
    <w:p w14:paraId="03C88C8C" w14:textId="77777777" w:rsidR="007F1A06" w:rsidRPr="00320AB4" w:rsidRDefault="007F1A06" w:rsidP="004E6C30">
      <w:pPr>
        <w:pStyle w:val="NoSpacing"/>
        <w:numPr>
          <w:ilvl w:val="1"/>
          <w:numId w:val="3"/>
        </w:numPr>
        <w:ind w:left="567" w:hanging="567"/>
        <w:jc w:val="both"/>
        <w:rPr>
          <w:rFonts w:ascii="Arial" w:hAnsi="Arial" w:cs="Arial"/>
          <w:sz w:val="24"/>
          <w:szCs w:val="24"/>
          <w:lang w:eastAsia="en-GB"/>
        </w:rPr>
      </w:pPr>
      <w:r w:rsidRPr="00F93042">
        <w:rPr>
          <w:rFonts w:ascii="Arial" w:eastAsia="Times New Roman" w:hAnsi="Arial" w:cs="Arial"/>
          <w:sz w:val="24"/>
          <w:szCs w:val="24"/>
        </w:rPr>
        <w:t>The</w:t>
      </w:r>
      <w:r w:rsidRPr="00320AB4">
        <w:rPr>
          <w:rFonts w:ascii="Arial" w:hAnsi="Arial" w:cs="Arial"/>
          <w:sz w:val="24"/>
          <w:szCs w:val="24"/>
          <w:lang w:eastAsia="en-GB"/>
        </w:rPr>
        <w:t xml:space="preserve"> SHMA was commissioned by the Council in March 2012 to:</w:t>
      </w:r>
    </w:p>
    <w:p w14:paraId="3FC49B45" w14:textId="41D8EAC2" w:rsidR="007F1A06" w:rsidRPr="00320AB4" w:rsidRDefault="007F1A06" w:rsidP="007F1A06">
      <w:pPr>
        <w:autoSpaceDE w:val="0"/>
        <w:autoSpaceDN w:val="0"/>
        <w:adjustRightInd w:val="0"/>
        <w:spacing w:after="0" w:line="240" w:lineRule="auto"/>
        <w:ind w:left="567" w:hanging="27"/>
        <w:jc w:val="both"/>
        <w:rPr>
          <w:rFonts w:ascii="Arial" w:hAnsi="Arial" w:cs="Arial"/>
          <w:i/>
          <w:iCs/>
          <w:sz w:val="24"/>
          <w:szCs w:val="24"/>
          <w:lang w:eastAsia="en-GB"/>
        </w:rPr>
      </w:pPr>
      <w:r w:rsidRPr="00320AB4">
        <w:rPr>
          <w:rFonts w:ascii="Arial" w:hAnsi="Arial" w:cs="Arial"/>
          <w:i/>
          <w:iCs/>
          <w:sz w:val="24"/>
          <w:szCs w:val="24"/>
          <w:lang w:eastAsia="en-GB"/>
        </w:rPr>
        <w:t xml:space="preserve">“Enable the Council to develop planning and housing policies and take decisions which encourage the provision </w:t>
      </w:r>
      <w:r w:rsidR="000B369E">
        <w:rPr>
          <w:rFonts w:ascii="Arial" w:hAnsi="Arial" w:cs="Arial"/>
          <w:i/>
          <w:iCs/>
          <w:sz w:val="24"/>
          <w:szCs w:val="24"/>
          <w:lang w:eastAsia="en-GB"/>
        </w:rPr>
        <w:t xml:space="preserve">of </w:t>
      </w:r>
      <w:r w:rsidR="000B369E" w:rsidRPr="00320AB4">
        <w:rPr>
          <w:rFonts w:ascii="Arial" w:hAnsi="Arial" w:cs="Arial"/>
          <w:i/>
          <w:iCs/>
          <w:sz w:val="24"/>
          <w:szCs w:val="24"/>
          <w:lang w:eastAsia="en-GB"/>
        </w:rPr>
        <w:t>the</w:t>
      </w:r>
      <w:r w:rsidRPr="00320AB4">
        <w:rPr>
          <w:rFonts w:ascii="Arial" w:hAnsi="Arial" w:cs="Arial"/>
          <w:i/>
          <w:iCs/>
          <w:sz w:val="24"/>
          <w:szCs w:val="24"/>
          <w:lang w:eastAsia="en-GB"/>
        </w:rPr>
        <w:t xml:space="preserve"> most appropriate mix of housing (in terms of type, size, tenure</w:t>
      </w:r>
      <w:r>
        <w:rPr>
          <w:rFonts w:ascii="Arial" w:hAnsi="Arial" w:cs="Arial"/>
          <w:i/>
          <w:iCs/>
          <w:sz w:val="24"/>
          <w:szCs w:val="24"/>
          <w:lang w:eastAsia="en-GB"/>
        </w:rPr>
        <w:t xml:space="preserve"> </w:t>
      </w:r>
      <w:r w:rsidRPr="00320AB4">
        <w:rPr>
          <w:rFonts w:ascii="Arial" w:hAnsi="Arial" w:cs="Arial"/>
          <w:i/>
          <w:iCs/>
          <w:sz w:val="24"/>
          <w:szCs w:val="24"/>
          <w:lang w:eastAsia="en-GB"/>
        </w:rPr>
        <w:t>and affordability)”</w:t>
      </w:r>
    </w:p>
    <w:p w14:paraId="748579AF" w14:textId="77777777" w:rsidR="007F1A06" w:rsidRDefault="007F1A06" w:rsidP="007F1A06">
      <w:pPr>
        <w:autoSpaceDE w:val="0"/>
        <w:autoSpaceDN w:val="0"/>
        <w:adjustRightInd w:val="0"/>
        <w:spacing w:after="0" w:line="240" w:lineRule="auto"/>
        <w:jc w:val="both"/>
        <w:rPr>
          <w:rFonts w:ascii="GTPressura-LightItalic" w:hAnsi="GTPressura-LightItalic" w:cs="GTPressura-LightItalic"/>
          <w:i/>
          <w:iCs/>
          <w:sz w:val="20"/>
          <w:szCs w:val="20"/>
          <w:lang w:eastAsia="en-GB"/>
        </w:rPr>
      </w:pPr>
    </w:p>
    <w:p w14:paraId="3F9A23B0" w14:textId="5B72D7AF" w:rsidR="007F1A06" w:rsidRDefault="007F1A06" w:rsidP="004E6C30">
      <w:pPr>
        <w:pStyle w:val="NoSpacing"/>
        <w:numPr>
          <w:ilvl w:val="1"/>
          <w:numId w:val="3"/>
        </w:numPr>
        <w:ind w:left="567" w:hanging="567"/>
        <w:jc w:val="both"/>
        <w:rPr>
          <w:rFonts w:ascii="Arial" w:hAnsi="Arial" w:cs="Arial"/>
          <w:sz w:val="24"/>
          <w:szCs w:val="24"/>
          <w:lang w:eastAsia="en-GB"/>
        </w:rPr>
      </w:pPr>
      <w:r w:rsidRPr="00F93042">
        <w:rPr>
          <w:rFonts w:ascii="Arial" w:eastAsia="Times New Roman" w:hAnsi="Arial" w:cs="Arial"/>
          <w:sz w:val="24"/>
          <w:szCs w:val="24"/>
        </w:rPr>
        <w:lastRenderedPageBreak/>
        <w:t>The</w:t>
      </w:r>
      <w:r w:rsidRPr="00320AB4">
        <w:rPr>
          <w:rFonts w:ascii="Arial" w:hAnsi="Arial" w:cs="Arial"/>
          <w:sz w:val="24"/>
          <w:szCs w:val="24"/>
          <w:lang w:eastAsia="en-GB"/>
        </w:rPr>
        <w:t xml:space="preserve"> proposed mix particularly</w:t>
      </w:r>
      <w:r>
        <w:rPr>
          <w:rFonts w:ascii="Arial" w:hAnsi="Arial" w:cs="Arial"/>
          <w:sz w:val="24"/>
          <w:szCs w:val="24"/>
          <w:lang w:eastAsia="en-GB"/>
        </w:rPr>
        <w:t xml:space="preserve"> </w:t>
      </w:r>
      <w:r w:rsidRPr="00320AB4">
        <w:rPr>
          <w:rFonts w:ascii="Arial" w:hAnsi="Arial" w:cs="Arial"/>
          <w:sz w:val="24"/>
          <w:szCs w:val="24"/>
          <w:lang w:eastAsia="en-GB"/>
        </w:rPr>
        <w:t xml:space="preserve">addresses the need for 2, </w:t>
      </w:r>
      <w:r w:rsidR="00E6124D" w:rsidRPr="00320AB4">
        <w:rPr>
          <w:rFonts w:ascii="Arial" w:hAnsi="Arial" w:cs="Arial"/>
          <w:sz w:val="24"/>
          <w:szCs w:val="24"/>
          <w:lang w:eastAsia="en-GB"/>
        </w:rPr>
        <w:t>4- and 5-bedroom</w:t>
      </w:r>
      <w:r w:rsidRPr="00320AB4">
        <w:rPr>
          <w:rFonts w:ascii="Arial" w:hAnsi="Arial" w:cs="Arial"/>
          <w:sz w:val="24"/>
          <w:szCs w:val="24"/>
          <w:lang w:eastAsia="en-GB"/>
        </w:rPr>
        <w:t xml:space="preserve"> housing identified in the Councils Strategic</w:t>
      </w:r>
      <w:r>
        <w:rPr>
          <w:rFonts w:ascii="Arial" w:hAnsi="Arial" w:cs="Arial"/>
          <w:sz w:val="24"/>
          <w:szCs w:val="24"/>
          <w:lang w:eastAsia="en-GB"/>
        </w:rPr>
        <w:t xml:space="preserve"> </w:t>
      </w:r>
      <w:r w:rsidRPr="00320AB4">
        <w:rPr>
          <w:rFonts w:ascii="Arial" w:hAnsi="Arial" w:cs="Arial"/>
          <w:sz w:val="24"/>
          <w:szCs w:val="24"/>
          <w:lang w:eastAsia="en-GB"/>
        </w:rPr>
        <w:t>Housing Market Assessment.</w:t>
      </w:r>
    </w:p>
    <w:p w14:paraId="1757ED2F" w14:textId="77777777" w:rsidR="007F1A06" w:rsidRDefault="007F1A06" w:rsidP="007F1A06">
      <w:pPr>
        <w:autoSpaceDE w:val="0"/>
        <w:autoSpaceDN w:val="0"/>
        <w:adjustRightInd w:val="0"/>
        <w:spacing w:after="0" w:line="240" w:lineRule="auto"/>
        <w:jc w:val="both"/>
        <w:rPr>
          <w:rFonts w:ascii="Arial" w:hAnsi="Arial" w:cs="Arial"/>
          <w:sz w:val="24"/>
          <w:szCs w:val="24"/>
          <w:lang w:eastAsia="en-GB"/>
        </w:rPr>
      </w:pPr>
    </w:p>
    <w:p w14:paraId="2332DA2D" w14:textId="77777777" w:rsidR="007F1A06" w:rsidRPr="00463E27" w:rsidRDefault="007F1A06" w:rsidP="004E6C30">
      <w:pPr>
        <w:autoSpaceDE w:val="0"/>
        <w:autoSpaceDN w:val="0"/>
        <w:adjustRightInd w:val="0"/>
        <w:spacing w:after="0" w:line="240" w:lineRule="auto"/>
        <w:ind w:left="851" w:hanging="142"/>
        <w:jc w:val="both"/>
        <w:rPr>
          <w:rFonts w:ascii="Arial" w:hAnsi="Arial" w:cs="Arial"/>
          <w:sz w:val="24"/>
          <w:szCs w:val="24"/>
          <w:u w:val="single"/>
          <w:lang w:eastAsia="en-GB"/>
        </w:rPr>
      </w:pPr>
      <w:r w:rsidRPr="00463E27">
        <w:rPr>
          <w:rFonts w:ascii="Arial" w:hAnsi="Arial" w:cs="Arial"/>
          <w:sz w:val="24"/>
          <w:szCs w:val="24"/>
          <w:u w:val="single"/>
          <w:lang w:eastAsia="en-GB"/>
        </w:rPr>
        <w:t>Links to Birmingham City Council priorities, plans, and strategies.</w:t>
      </w:r>
    </w:p>
    <w:p w14:paraId="70E8A95E" w14:textId="77777777" w:rsidR="007F1A06" w:rsidRDefault="007F1A06" w:rsidP="007F1A06">
      <w:pPr>
        <w:autoSpaceDE w:val="0"/>
        <w:autoSpaceDN w:val="0"/>
        <w:adjustRightInd w:val="0"/>
        <w:spacing w:after="0" w:line="240" w:lineRule="auto"/>
        <w:jc w:val="both"/>
        <w:rPr>
          <w:rFonts w:ascii="Arial" w:hAnsi="Arial" w:cs="Arial"/>
          <w:sz w:val="24"/>
          <w:szCs w:val="24"/>
          <w:lang w:eastAsia="en-GB"/>
        </w:rPr>
      </w:pPr>
    </w:p>
    <w:p w14:paraId="28B65DC1" w14:textId="77777777" w:rsidR="007F1A06" w:rsidRDefault="007F1A06" w:rsidP="004E6C30">
      <w:pPr>
        <w:pStyle w:val="NoSpacing"/>
        <w:numPr>
          <w:ilvl w:val="1"/>
          <w:numId w:val="3"/>
        </w:numPr>
        <w:ind w:left="567" w:hanging="567"/>
        <w:jc w:val="both"/>
        <w:rPr>
          <w:rFonts w:ascii="Arial" w:hAnsi="Arial" w:cs="Arial"/>
          <w:sz w:val="24"/>
          <w:szCs w:val="24"/>
          <w:lang w:eastAsia="en-GB"/>
        </w:rPr>
      </w:pPr>
      <w:r>
        <w:rPr>
          <w:rFonts w:ascii="Arial" w:eastAsia="Times New Roman" w:hAnsi="Arial" w:cs="Arial"/>
          <w:sz w:val="24"/>
          <w:szCs w:val="24"/>
        </w:rPr>
        <w:t>T</w:t>
      </w:r>
      <w:r w:rsidRPr="00F93042">
        <w:rPr>
          <w:rFonts w:ascii="Arial" w:eastAsia="Times New Roman" w:hAnsi="Arial" w:cs="Arial"/>
          <w:sz w:val="24"/>
          <w:szCs w:val="24"/>
        </w:rPr>
        <w:t>he</w:t>
      </w:r>
      <w:r>
        <w:rPr>
          <w:rFonts w:ascii="Arial" w:hAnsi="Arial" w:cs="Arial"/>
          <w:sz w:val="24"/>
          <w:szCs w:val="24"/>
          <w:lang w:eastAsia="en-GB"/>
        </w:rPr>
        <w:t xml:space="preserve"> proposal for housing development on the Order Lands is fully compliant with the Council’s priorities, plans, and objectives as follows:</w:t>
      </w:r>
    </w:p>
    <w:p w14:paraId="77379073" w14:textId="77777777" w:rsidR="007F1A06" w:rsidRDefault="007F1A06" w:rsidP="007F1A06">
      <w:pPr>
        <w:autoSpaceDE w:val="0"/>
        <w:autoSpaceDN w:val="0"/>
        <w:adjustRightInd w:val="0"/>
        <w:spacing w:after="0" w:line="240" w:lineRule="auto"/>
        <w:jc w:val="both"/>
        <w:rPr>
          <w:rFonts w:ascii="Arial" w:hAnsi="Arial" w:cs="Arial"/>
          <w:sz w:val="24"/>
          <w:szCs w:val="24"/>
          <w:lang w:eastAsia="en-GB"/>
        </w:rPr>
      </w:pPr>
    </w:p>
    <w:p w14:paraId="29AD75BA" w14:textId="4365716C" w:rsidR="007F1A06" w:rsidRPr="00CF36B8" w:rsidRDefault="007F1A06" w:rsidP="004E6C30">
      <w:pPr>
        <w:numPr>
          <w:ilvl w:val="0"/>
          <w:numId w:val="18"/>
        </w:numPr>
        <w:ind w:left="993" w:hanging="453"/>
        <w:jc w:val="both"/>
        <w:rPr>
          <w:rFonts w:ascii="Arial" w:hAnsi="Arial" w:cs="Arial"/>
          <w:sz w:val="24"/>
          <w:szCs w:val="24"/>
        </w:rPr>
      </w:pPr>
      <w:r w:rsidRPr="00CF36B8">
        <w:rPr>
          <w:rFonts w:ascii="Arial" w:hAnsi="Arial" w:cs="Arial"/>
          <w:sz w:val="24"/>
          <w:szCs w:val="24"/>
        </w:rPr>
        <w:t xml:space="preserve">The development of new affordable housing within the city is in accordance with the objectives of the Housing Revenue Account (HRA) Business Plan </w:t>
      </w:r>
      <w:r w:rsidR="000E70CC">
        <w:rPr>
          <w:rFonts w:ascii="Arial" w:hAnsi="Arial" w:cs="Arial"/>
          <w:sz w:val="24"/>
          <w:szCs w:val="24"/>
        </w:rPr>
        <w:t>2020+</w:t>
      </w:r>
      <w:r w:rsidR="0003629D">
        <w:rPr>
          <w:rFonts w:ascii="Arial" w:hAnsi="Arial" w:cs="Arial"/>
          <w:sz w:val="24"/>
          <w:szCs w:val="24"/>
        </w:rPr>
        <w:t xml:space="preserve"> (</w:t>
      </w:r>
      <w:r w:rsidR="0003629D" w:rsidRPr="00020D99">
        <w:rPr>
          <w:rFonts w:ascii="Arial" w:hAnsi="Arial" w:cs="Arial"/>
          <w:sz w:val="24"/>
          <w:szCs w:val="24"/>
        </w:rPr>
        <w:t>BCC</w:t>
      </w:r>
      <w:r w:rsidR="008F4EF4" w:rsidRPr="00020D99">
        <w:rPr>
          <w:rFonts w:ascii="Arial" w:hAnsi="Arial" w:cs="Arial"/>
          <w:sz w:val="24"/>
          <w:szCs w:val="24"/>
        </w:rPr>
        <w:t>11</w:t>
      </w:r>
      <w:r w:rsidR="0003629D">
        <w:rPr>
          <w:rFonts w:ascii="Arial" w:hAnsi="Arial" w:cs="Arial"/>
          <w:sz w:val="24"/>
          <w:szCs w:val="24"/>
        </w:rPr>
        <w:t>)</w:t>
      </w:r>
      <w:r w:rsidRPr="00CF36B8">
        <w:rPr>
          <w:rFonts w:ascii="Arial" w:hAnsi="Arial" w:cs="Arial"/>
          <w:sz w:val="24"/>
          <w:szCs w:val="24"/>
        </w:rPr>
        <w:t>.</w:t>
      </w:r>
    </w:p>
    <w:p w14:paraId="7E8A3469" w14:textId="620A6850" w:rsidR="007F1A06" w:rsidRPr="00CF36B8" w:rsidRDefault="007F1A06" w:rsidP="004E6C30">
      <w:pPr>
        <w:numPr>
          <w:ilvl w:val="0"/>
          <w:numId w:val="18"/>
        </w:numPr>
        <w:ind w:left="993" w:hanging="453"/>
        <w:jc w:val="both"/>
        <w:rPr>
          <w:rFonts w:ascii="Arial" w:hAnsi="Arial" w:cs="Arial"/>
          <w:sz w:val="24"/>
          <w:szCs w:val="24"/>
        </w:rPr>
      </w:pPr>
      <w:r w:rsidRPr="00CF36B8">
        <w:rPr>
          <w:rFonts w:ascii="Arial" w:hAnsi="Arial" w:cs="Arial"/>
          <w:sz w:val="24"/>
          <w:szCs w:val="24"/>
        </w:rPr>
        <w:t xml:space="preserve">The proposed development of the Order Lands supports the delivery of the core objectives of the Birmingham Development Plan (BDP) which was adopted by the Council on 10 January </w:t>
      </w:r>
      <w:r w:rsidR="00EC2DC6" w:rsidRPr="00CF36B8">
        <w:rPr>
          <w:rFonts w:ascii="Arial" w:hAnsi="Arial" w:cs="Arial"/>
          <w:sz w:val="24"/>
          <w:szCs w:val="24"/>
        </w:rPr>
        <w:t xml:space="preserve">2017 </w:t>
      </w:r>
      <w:r w:rsidR="00EC2DC6">
        <w:rPr>
          <w:rFonts w:ascii="Arial" w:hAnsi="Arial" w:cs="Arial"/>
          <w:sz w:val="24"/>
          <w:szCs w:val="24"/>
        </w:rPr>
        <w:t>key</w:t>
      </w:r>
      <w:r w:rsidR="00AF179B">
        <w:rPr>
          <w:rFonts w:ascii="Arial" w:hAnsi="Arial" w:cs="Arial"/>
          <w:sz w:val="24"/>
          <w:szCs w:val="24"/>
        </w:rPr>
        <w:t xml:space="preserve"> objective</w:t>
      </w:r>
      <w:r w:rsidR="00497A25">
        <w:rPr>
          <w:rFonts w:ascii="Arial" w:hAnsi="Arial" w:cs="Arial"/>
          <w:sz w:val="24"/>
          <w:szCs w:val="24"/>
        </w:rPr>
        <w:t>s</w:t>
      </w:r>
      <w:r w:rsidR="00AF179B">
        <w:rPr>
          <w:rFonts w:ascii="Arial" w:hAnsi="Arial" w:cs="Arial"/>
          <w:sz w:val="24"/>
          <w:szCs w:val="24"/>
        </w:rPr>
        <w:t xml:space="preserve"> of which was </w:t>
      </w:r>
      <w:r w:rsidRPr="00CF36B8">
        <w:rPr>
          <w:rFonts w:ascii="Arial" w:hAnsi="Arial" w:cs="Arial"/>
          <w:sz w:val="24"/>
          <w:szCs w:val="24"/>
        </w:rPr>
        <w:t xml:space="preserve">to </w:t>
      </w:r>
      <w:r w:rsidR="00497A25">
        <w:rPr>
          <w:rFonts w:ascii="Arial" w:hAnsi="Arial" w:cs="Arial"/>
          <w:sz w:val="24"/>
          <w:szCs w:val="24"/>
        </w:rPr>
        <w:t xml:space="preserve">support </w:t>
      </w:r>
      <w:r w:rsidRPr="00CF36B8">
        <w:rPr>
          <w:rFonts w:ascii="Arial" w:hAnsi="Arial" w:cs="Arial"/>
          <w:sz w:val="24"/>
          <w:szCs w:val="24"/>
        </w:rPr>
        <w:t xml:space="preserve"> housing growth</w:t>
      </w:r>
      <w:r w:rsidR="00497A25">
        <w:rPr>
          <w:rFonts w:ascii="Arial" w:hAnsi="Arial" w:cs="Arial"/>
          <w:sz w:val="24"/>
          <w:szCs w:val="24"/>
        </w:rPr>
        <w:t xml:space="preserve"> and the development of Birmingham as a city of sustainable neighbourhoods. </w:t>
      </w:r>
      <w:r w:rsidR="009B6138">
        <w:rPr>
          <w:rFonts w:ascii="Arial" w:hAnsi="Arial" w:cs="Arial"/>
          <w:sz w:val="24"/>
          <w:szCs w:val="24"/>
        </w:rPr>
        <w:t xml:space="preserve">A number of the Pool Farm sites are also included in the Council’s SHLAA 2019 (the Strategic Housing Land Availability Assessment) – although these generally refer to the clearance of properties and the loss of </w:t>
      </w:r>
      <w:r w:rsidR="00353CE5">
        <w:rPr>
          <w:rFonts w:ascii="Arial" w:hAnsi="Arial" w:cs="Arial"/>
          <w:sz w:val="24"/>
          <w:szCs w:val="24"/>
        </w:rPr>
        <w:t>housing stock</w:t>
      </w:r>
      <w:r w:rsidR="009B6138">
        <w:rPr>
          <w:rFonts w:ascii="Arial" w:hAnsi="Arial" w:cs="Arial"/>
          <w:sz w:val="24"/>
          <w:szCs w:val="24"/>
        </w:rPr>
        <w:t xml:space="preserve">.  </w:t>
      </w:r>
    </w:p>
    <w:p w14:paraId="1709AA2A" w14:textId="77777777" w:rsidR="007F1A06" w:rsidRPr="00CF36B8" w:rsidRDefault="007F1A06" w:rsidP="004E6C30">
      <w:pPr>
        <w:numPr>
          <w:ilvl w:val="0"/>
          <w:numId w:val="18"/>
        </w:numPr>
        <w:ind w:left="993" w:hanging="453"/>
        <w:jc w:val="both"/>
        <w:rPr>
          <w:rFonts w:ascii="Arial" w:hAnsi="Arial" w:cs="Arial"/>
          <w:sz w:val="24"/>
          <w:szCs w:val="24"/>
        </w:rPr>
      </w:pPr>
      <w:r w:rsidRPr="00CF36B8">
        <w:rPr>
          <w:rFonts w:ascii="Arial" w:hAnsi="Arial" w:cs="Arial"/>
          <w:sz w:val="24"/>
          <w:szCs w:val="24"/>
        </w:rPr>
        <w:t>The development of the Order Lands will make a direct contribution to both Corporate and Directorate outcomes including the following:</w:t>
      </w:r>
    </w:p>
    <w:p w14:paraId="68D1D736" w14:textId="77777777" w:rsidR="007F1A06" w:rsidRPr="00CF36B8" w:rsidRDefault="007F1A06" w:rsidP="004E6C30">
      <w:pPr>
        <w:numPr>
          <w:ilvl w:val="0"/>
          <w:numId w:val="18"/>
        </w:numPr>
        <w:ind w:left="993" w:hanging="453"/>
        <w:jc w:val="both"/>
        <w:rPr>
          <w:rFonts w:ascii="Arial" w:hAnsi="Arial" w:cs="Arial"/>
          <w:sz w:val="24"/>
          <w:szCs w:val="24"/>
        </w:rPr>
      </w:pPr>
      <w:r w:rsidRPr="00CF36B8">
        <w:rPr>
          <w:rFonts w:ascii="Arial" w:hAnsi="Arial" w:cs="Arial"/>
          <w:i/>
          <w:sz w:val="24"/>
          <w:szCs w:val="24"/>
        </w:rPr>
        <w:t>Birmingham is an aspirational city to grow up in</w:t>
      </w:r>
      <w:r w:rsidRPr="00CF36B8">
        <w:rPr>
          <w:rFonts w:ascii="Arial" w:hAnsi="Arial" w:cs="Arial"/>
          <w:sz w:val="24"/>
          <w:szCs w:val="24"/>
        </w:rPr>
        <w:t>; new homes will be developed which will provide a safe, warm, sustainable and connected neighbourhood in which our children can thrive.</w:t>
      </w:r>
    </w:p>
    <w:p w14:paraId="553A172C" w14:textId="488B0B4D" w:rsidR="007F1A06" w:rsidRPr="00CF36B8" w:rsidRDefault="007F1A06" w:rsidP="004E6C30">
      <w:pPr>
        <w:numPr>
          <w:ilvl w:val="0"/>
          <w:numId w:val="18"/>
        </w:numPr>
        <w:ind w:left="993" w:hanging="453"/>
        <w:jc w:val="both"/>
        <w:rPr>
          <w:rFonts w:ascii="Arial" w:hAnsi="Arial" w:cs="Arial"/>
          <w:sz w:val="24"/>
          <w:szCs w:val="24"/>
        </w:rPr>
      </w:pPr>
      <w:r w:rsidRPr="00CF36B8">
        <w:rPr>
          <w:rFonts w:ascii="Arial" w:hAnsi="Arial" w:cs="Arial"/>
          <w:i/>
          <w:sz w:val="24"/>
          <w:szCs w:val="24"/>
        </w:rPr>
        <w:t>Birmingham is a great city to live in</w:t>
      </w:r>
      <w:r w:rsidRPr="00CF36B8">
        <w:rPr>
          <w:rFonts w:ascii="Arial" w:hAnsi="Arial" w:cs="Arial"/>
          <w:sz w:val="24"/>
          <w:szCs w:val="24"/>
        </w:rPr>
        <w:t xml:space="preserve"> - the Council is committed to the development of enough </w:t>
      </w:r>
      <w:r w:rsidR="00043635" w:rsidRPr="00CF36B8">
        <w:rPr>
          <w:rFonts w:ascii="Arial" w:hAnsi="Arial" w:cs="Arial"/>
          <w:sz w:val="24"/>
          <w:szCs w:val="24"/>
        </w:rPr>
        <w:t>high-quality</w:t>
      </w:r>
      <w:r w:rsidRPr="00CF36B8">
        <w:rPr>
          <w:rFonts w:ascii="Arial" w:hAnsi="Arial" w:cs="Arial"/>
          <w:sz w:val="24"/>
          <w:szCs w:val="24"/>
        </w:rPr>
        <w:t xml:space="preserve"> new homes to meet the needs of a growing city, and the proposals within this report </w:t>
      </w:r>
      <w:r w:rsidR="002A764C">
        <w:rPr>
          <w:rFonts w:ascii="Arial" w:hAnsi="Arial" w:cs="Arial"/>
          <w:sz w:val="24"/>
          <w:szCs w:val="24"/>
        </w:rPr>
        <w:t xml:space="preserve"> will </w:t>
      </w:r>
      <w:r w:rsidRPr="00CF36B8">
        <w:rPr>
          <w:rFonts w:ascii="Arial" w:hAnsi="Arial" w:cs="Arial"/>
          <w:sz w:val="24"/>
          <w:szCs w:val="24"/>
        </w:rPr>
        <w:t xml:space="preserve"> accelerate housing growth in the city by providing new homes for rent and sale on the proposed sites. New homes will help ease pressure on the housing waiting list that currently has approximately 10,500 households registered on it.</w:t>
      </w:r>
    </w:p>
    <w:p w14:paraId="3097C3AF" w14:textId="77777777" w:rsidR="007F1A06" w:rsidRPr="00CF36B8" w:rsidRDefault="007F1A06" w:rsidP="004E6C30">
      <w:pPr>
        <w:numPr>
          <w:ilvl w:val="0"/>
          <w:numId w:val="18"/>
        </w:numPr>
        <w:ind w:left="993" w:hanging="453"/>
        <w:jc w:val="both"/>
        <w:rPr>
          <w:rFonts w:ascii="Arial" w:hAnsi="Arial" w:cs="Arial"/>
          <w:sz w:val="24"/>
          <w:szCs w:val="24"/>
        </w:rPr>
      </w:pPr>
      <w:r w:rsidRPr="00CF36B8">
        <w:rPr>
          <w:rFonts w:ascii="Arial" w:hAnsi="Arial" w:cs="Arial"/>
          <w:i/>
          <w:sz w:val="24"/>
          <w:szCs w:val="24"/>
        </w:rPr>
        <w:t>Birmingham is an entrepreneurial city to learn, work and invest in</w:t>
      </w:r>
      <w:r w:rsidRPr="00CF36B8">
        <w:rPr>
          <w:rFonts w:ascii="Arial" w:hAnsi="Arial" w:cs="Arial"/>
          <w:sz w:val="24"/>
          <w:szCs w:val="24"/>
        </w:rPr>
        <w:t xml:space="preserve">; activity within the construction sector will create jobs and apprenticeships in the city, and activity within the supply chain industries, supporting the local economy through the Birmingham Charter for Social Responsibility. </w:t>
      </w:r>
    </w:p>
    <w:p w14:paraId="493ADC1A" w14:textId="77777777" w:rsidR="007F1A06" w:rsidRPr="00CF36B8" w:rsidRDefault="007F1A06" w:rsidP="004E6C30">
      <w:pPr>
        <w:numPr>
          <w:ilvl w:val="0"/>
          <w:numId w:val="18"/>
        </w:numPr>
        <w:ind w:left="993" w:hanging="453"/>
        <w:jc w:val="both"/>
        <w:rPr>
          <w:rFonts w:ascii="Arial" w:hAnsi="Arial" w:cs="Arial"/>
          <w:sz w:val="24"/>
          <w:szCs w:val="24"/>
        </w:rPr>
      </w:pPr>
      <w:r w:rsidRPr="00CF36B8">
        <w:rPr>
          <w:rFonts w:ascii="Arial" w:hAnsi="Arial" w:cs="Arial"/>
          <w:i/>
          <w:sz w:val="24"/>
          <w:szCs w:val="24"/>
        </w:rPr>
        <w:t>Birmingham is a fulfilling city to age well in</w:t>
      </w:r>
      <w:r w:rsidRPr="00CF36B8">
        <w:rPr>
          <w:rFonts w:ascii="Arial" w:hAnsi="Arial" w:cs="Arial"/>
          <w:sz w:val="24"/>
          <w:szCs w:val="24"/>
        </w:rPr>
        <w:t>; the links between health and housing are well recognised. New thermally efficient, economical to run new homes which are designed to high standards of quality and internal space standards will be more affordable for residents and will offer a higher quality of life leading to better health outcomes.</w:t>
      </w:r>
    </w:p>
    <w:p w14:paraId="721AAEE1" w14:textId="77777777" w:rsidR="007F1A06" w:rsidRPr="00590BD1" w:rsidRDefault="007F1A06" w:rsidP="007F1A06">
      <w:pPr>
        <w:autoSpaceDE w:val="0"/>
        <w:autoSpaceDN w:val="0"/>
        <w:adjustRightInd w:val="0"/>
        <w:spacing w:after="0" w:line="240" w:lineRule="auto"/>
        <w:jc w:val="both"/>
        <w:rPr>
          <w:rFonts w:ascii="Arial" w:hAnsi="Arial" w:cs="Arial"/>
          <w:sz w:val="24"/>
          <w:szCs w:val="24"/>
          <w:lang w:eastAsia="en-GB"/>
        </w:rPr>
      </w:pPr>
    </w:p>
    <w:p w14:paraId="49C15915" w14:textId="77777777" w:rsidR="00D53849" w:rsidRDefault="007F1A06" w:rsidP="00BC508C">
      <w:pPr>
        <w:pStyle w:val="NoSpacing"/>
        <w:numPr>
          <w:ilvl w:val="0"/>
          <w:numId w:val="3"/>
        </w:numPr>
        <w:ind w:left="567" w:hanging="567"/>
        <w:jc w:val="both"/>
        <w:outlineLvl w:val="0"/>
        <w:rPr>
          <w:rFonts w:ascii="Arial" w:hAnsi="Arial" w:cs="Arial"/>
          <w:b/>
          <w:sz w:val="24"/>
          <w:szCs w:val="24"/>
          <w:u w:val="single"/>
          <w:lang w:eastAsia="en-GB"/>
        </w:rPr>
      </w:pPr>
      <w:bookmarkStart w:id="11" w:name="_Toc68772049"/>
      <w:r w:rsidRPr="007F1A06">
        <w:rPr>
          <w:rFonts w:ascii="Arial" w:hAnsi="Arial" w:cs="Arial"/>
          <w:b/>
          <w:sz w:val="24"/>
          <w:szCs w:val="24"/>
          <w:u w:val="single"/>
          <w:lang w:eastAsia="en-GB"/>
        </w:rPr>
        <w:t>Consultation</w:t>
      </w:r>
      <w:bookmarkEnd w:id="11"/>
    </w:p>
    <w:p w14:paraId="0FE68BB3" w14:textId="77777777" w:rsidR="00E10DC7" w:rsidRPr="00590BD1" w:rsidRDefault="00E10DC7" w:rsidP="006D0B91">
      <w:pPr>
        <w:spacing w:after="0" w:line="240" w:lineRule="auto"/>
        <w:rPr>
          <w:rFonts w:ascii="Arial" w:hAnsi="Arial" w:cs="Arial"/>
          <w:sz w:val="24"/>
          <w:szCs w:val="24"/>
        </w:rPr>
      </w:pPr>
    </w:p>
    <w:p w14:paraId="173CE820" w14:textId="459B9EB1" w:rsidR="0027352F" w:rsidRPr="0027352F" w:rsidRDefault="00215CF4" w:rsidP="004E6C30">
      <w:pPr>
        <w:pStyle w:val="NoSpacing"/>
        <w:numPr>
          <w:ilvl w:val="1"/>
          <w:numId w:val="3"/>
        </w:numPr>
        <w:ind w:left="567" w:hanging="567"/>
        <w:jc w:val="both"/>
        <w:rPr>
          <w:rFonts w:ascii="Arial" w:hAnsi="Arial" w:cs="Arial"/>
          <w:b/>
          <w:sz w:val="24"/>
          <w:szCs w:val="24"/>
          <w:u w:val="single"/>
          <w:lang w:eastAsia="en-GB"/>
        </w:rPr>
      </w:pPr>
      <w:r w:rsidRPr="00E10DC7">
        <w:rPr>
          <w:rFonts w:ascii="Arial" w:hAnsi="Arial" w:cs="Arial"/>
          <w:sz w:val="24"/>
          <w:szCs w:val="24"/>
        </w:rPr>
        <w:t xml:space="preserve">Over the past </w:t>
      </w:r>
      <w:r w:rsidR="00512DA3" w:rsidRPr="00E10DC7">
        <w:rPr>
          <w:rFonts w:ascii="Arial" w:hAnsi="Arial" w:cs="Arial"/>
          <w:sz w:val="24"/>
          <w:szCs w:val="24"/>
        </w:rPr>
        <w:t>20 years t</w:t>
      </w:r>
      <w:r w:rsidRPr="00E10DC7">
        <w:rPr>
          <w:rFonts w:ascii="Arial" w:hAnsi="Arial" w:cs="Arial"/>
          <w:sz w:val="24"/>
          <w:szCs w:val="24"/>
        </w:rPr>
        <w:t>here has been significant and ongoing consultation with local residents and other interested parties with respect to the formulation of proposals for the Kings Norton 3 Estates.</w:t>
      </w:r>
    </w:p>
    <w:p w14:paraId="7E23BFB1" w14:textId="77777777" w:rsidR="0027352F" w:rsidRPr="0027352F" w:rsidRDefault="0027352F" w:rsidP="00590BD1">
      <w:pPr>
        <w:pStyle w:val="NoSpacing"/>
        <w:ind w:left="715"/>
        <w:jc w:val="both"/>
        <w:rPr>
          <w:rFonts w:ascii="Arial" w:hAnsi="Arial" w:cs="Arial"/>
          <w:b/>
          <w:sz w:val="24"/>
          <w:szCs w:val="24"/>
          <w:u w:val="single"/>
          <w:lang w:eastAsia="en-GB"/>
        </w:rPr>
      </w:pPr>
    </w:p>
    <w:p w14:paraId="041FA709" w14:textId="1AFB50F0" w:rsidR="00E10DC7" w:rsidRPr="00590BD1" w:rsidRDefault="00215CF4" w:rsidP="004E6C30">
      <w:pPr>
        <w:pStyle w:val="NoSpacing"/>
        <w:numPr>
          <w:ilvl w:val="1"/>
          <w:numId w:val="3"/>
        </w:numPr>
        <w:ind w:left="567" w:hanging="567"/>
        <w:jc w:val="both"/>
        <w:rPr>
          <w:rFonts w:ascii="Arial" w:hAnsi="Arial" w:cs="Arial"/>
          <w:b/>
          <w:sz w:val="24"/>
          <w:szCs w:val="24"/>
          <w:u w:val="single"/>
          <w:lang w:eastAsia="en-GB"/>
        </w:rPr>
      </w:pPr>
      <w:r w:rsidRPr="00E10DC7">
        <w:rPr>
          <w:rFonts w:ascii="Arial" w:hAnsi="Arial" w:cs="Arial"/>
          <w:bCs/>
          <w:color w:val="000000"/>
          <w:sz w:val="24"/>
          <w:szCs w:val="24"/>
          <w:u w:val="single"/>
        </w:rPr>
        <w:t>New Deal for Communities</w:t>
      </w:r>
      <w:r w:rsidRPr="00E10DC7">
        <w:rPr>
          <w:rFonts w:ascii="Arial" w:hAnsi="Arial" w:cs="Arial"/>
          <w:bCs/>
          <w:color w:val="000000"/>
          <w:sz w:val="24"/>
          <w:szCs w:val="24"/>
        </w:rPr>
        <w:t>: In 2000, the three estates of Primrose, Pool Farm and Hawkesley were selected for inclusion in the Government’s New Deal for Communities (</w:t>
      </w:r>
      <w:smartTag w:uri="urn:schemas-microsoft-com:office:smarttags" w:element="stockticker">
        <w:r w:rsidRPr="00E10DC7">
          <w:rPr>
            <w:rFonts w:ascii="Arial" w:hAnsi="Arial" w:cs="Arial"/>
            <w:bCs/>
            <w:color w:val="000000"/>
            <w:sz w:val="24"/>
            <w:szCs w:val="24"/>
          </w:rPr>
          <w:t>NDC</w:t>
        </w:r>
      </w:smartTag>
      <w:r w:rsidRPr="00E10DC7">
        <w:rPr>
          <w:rFonts w:ascii="Arial" w:hAnsi="Arial" w:cs="Arial"/>
          <w:bCs/>
          <w:color w:val="000000"/>
          <w:sz w:val="24"/>
          <w:szCs w:val="24"/>
        </w:rPr>
        <w:t xml:space="preserve">) programme.  In preparation for </w:t>
      </w:r>
      <w:r w:rsidR="00572FF4" w:rsidRPr="00E10DC7">
        <w:rPr>
          <w:rFonts w:ascii="Arial" w:hAnsi="Arial" w:cs="Arial"/>
          <w:bCs/>
          <w:color w:val="000000"/>
          <w:sz w:val="24"/>
          <w:szCs w:val="24"/>
        </w:rPr>
        <w:t xml:space="preserve">The Three </w:t>
      </w:r>
      <w:r w:rsidRPr="00E10DC7">
        <w:rPr>
          <w:rFonts w:ascii="Arial" w:hAnsi="Arial" w:cs="Arial"/>
          <w:bCs/>
          <w:color w:val="000000"/>
          <w:sz w:val="24"/>
          <w:szCs w:val="24"/>
        </w:rPr>
        <w:t xml:space="preserve">Estates bid for </w:t>
      </w:r>
      <w:smartTag w:uri="urn:schemas-microsoft-com:office:smarttags" w:element="stockticker">
        <w:r w:rsidRPr="00E10DC7">
          <w:rPr>
            <w:rFonts w:ascii="Arial" w:hAnsi="Arial" w:cs="Arial"/>
            <w:bCs/>
            <w:color w:val="000000"/>
            <w:sz w:val="24"/>
            <w:szCs w:val="24"/>
          </w:rPr>
          <w:t>NDC</w:t>
        </w:r>
      </w:smartTag>
      <w:r w:rsidRPr="00E10DC7">
        <w:rPr>
          <w:rFonts w:ascii="Arial" w:hAnsi="Arial" w:cs="Arial"/>
          <w:bCs/>
          <w:color w:val="000000"/>
          <w:sz w:val="24"/>
          <w:szCs w:val="24"/>
        </w:rPr>
        <w:t xml:space="preserve"> funding, a ‘planning for real’ consultation provided residents with the opportunity to express their needs and concerns and make suggestions for how the area could be improved.  This proved to be the first of a number of consultation exercises seeking the views of local people on potential improvements to the area.</w:t>
      </w:r>
    </w:p>
    <w:p w14:paraId="1DC84510" w14:textId="77777777" w:rsidR="00590BD1" w:rsidRDefault="00590BD1" w:rsidP="004E6C30">
      <w:pPr>
        <w:pStyle w:val="ListParagraph"/>
        <w:spacing w:after="0" w:line="240" w:lineRule="auto"/>
        <w:rPr>
          <w:rFonts w:ascii="Arial" w:hAnsi="Arial" w:cs="Arial"/>
          <w:b/>
          <w:sz w:val="24"/>
          <w:szCs w:val="24"/>
          <w:u w:val="single"/>
          <w:lang w:eastAsia="en-GB"/>
        </w:rPr>
      </w:pPr>
    </w:p>
    <w:p w14:paraId="59B60605" w14:textId="4450BC93" w:rsidR="00215CF4" w:rsidRPr="00E10DC7" w:rsidRDefault="00215CF4" w:rsidP="004E6C30">
      <w:pPr>
        <w:pStyle w:val="NoSpacing"/>
        <w:numPr>
          <w:ilvl w:val="1"/>
          <w:numId w:val="3"/>
        </w:numPr>
        <w:ind w:left="567" w:hanging="567"/>
        <w:jc w:val="both"/>
        <w:rPr>
          <w:rFonts w:ascii="Arial" w:hAnsi="Arial" w:cs="Arial"/>
          <w:b/>
          <w:sz w:val="24"/>
          <w:szCs w:val="24"/>
          <w:u w:val="single"/>
          <w:lang w:eastAsia="en-GB"/>
        </w:rPr>
      </w:pPr>
      <w:r w:rsidRPr="00E10DC7">
        <w:rPr>
          <w:rFonts w:ascii="Arial" w:hAnsi="Arial" w:cs="Arial"/>
          <w:bCs/>
          <w:color w:val="000000"/>
          <w:sz w:val="24"/>
          <w:szCs w:val="24"/>
          <w:u w:val="single"/>
        </w:rPr>
        <w:t>The Kings Norton 3 Estates Development Study</w:t>
      </w:r>
      <w:r w:rsidR="000E70CC">
        <w:rPr>
          <w:rFonts w:ascii="Arial" w:hAnsi="Arial" w:cs="Arial"/>
          <w:bCs/>
          <w:color w:val="000000"/>
          <w:sz w:val="24"/>
          <w:szCs w:val="24"/>
          <w:u w:val="single"/>
        </w:rPr>
        <w:t xml:space="preserve"> </w:t>
      </w:r>
      <w:r w:rsidR="000E70CC" w:rsidRPr="00020D99">
        <w:rPr>
          <w:rFonts w:ascii="Arial" w:hAnsi="Arial" w:cs="Arial"/>
          <w:bCs/>
          <w:color w:val="000000"/>
          <w:sz w:val="24"/>
          <w:szCs w:val="24"/>
          <w:u w:val="single"/>
        </w:rPr>
        <w:t>(BCC 2</w:t>
      </w:r>
      <w:r w:rsidR="008F4EF4" w:rsidRPr="00020D99">
        <w:rPr>
          <w:rFonts w:ascii="Arial" w:hAnsi="Arial" w:cs="Arial"/>
          <w:bCs/>
          <w:color w:val="000000"/>
          <w:sz w:val="24"/>
          <w:szCs w:val="24"/>
          <w:u w:val="single"/>
        </w:rPr>
        <w:t>0</w:t>
      </w:r>
      <w:r w:rsidR="000E70CC">
        <w:rPr>
          <w:rFonts w:ascii="Arial" w:hAnsi="Arial" w:cs="Arial"/>
          <w:bCs/>
          <w:color w:val="000000"/>
          <w:sz w:val="24"/>
          <w:szCs w:val="24"/>
          <w:u w:val="single"/>
        </w:rPr>
        <w:t>)</w:t>
      </w:r>
      <w:r w:rsidRPr="00E10DC7">
        <w:rPr>
          <w:rFonts w:ascii="Arial" w:hAnsi="Arial" w:cs="Arial"/>
          <w:bCs/>
          <w:color w:val="000000"/>
          <w:sz w:val="24"/>
          <w:szCs w:val="24"/>
        </w:rPr>
        <w:t>: In December 2003, John Thompson and Partners were commissioned by the Kings Norton</w:t>
      </w:r>
      <w:r w:rsidR="00572FF4" w:rsidRPr="00E10DC7">
        <w:rPr>
          <w:rFonts w:ascii="Arial" w:hAnsi="Arial" w:cs="Arial"/>
          <w:bCs/>
          <w:color w:val="000000"/>
          <w:sz w:val="24"/>
          <w:szCs w:val="24"/>
        </w:rPr>
        <w:t xml:space="preserve"> </w:t>
      </w:r>
      <w:r w:rsidR="00370C83" w:rsidRPr="00E10DC7">
        <w:rPr>
          <w:rFonts w:ascii="Arial" w:hAnsi="Arial" w:cs="Arial"/>
          <w:bCs/>
          <w:color w:val="000000"/>
          <w:sz w:val="24"/>
          <w:szCs w:val="24"/>
        </w:rPr>
        <w:t>Three Estates</w:t>
      </w:r>
      <w:r w:rsidRPr="00E10DC7">
        <w:rPr>
          <w:rFonts w:ascii="Arial" w:hAnsi="Arial" w:cs="Arial"/>
          <w:bCs/>
          <w:color w:val="000000"/>
          <w:sz w:val="24"/>
          <w:szCs w:val="24"/>
        </w:rPr>
        <w:t xml:space="preserve"> Community Development Trust and Birmingham City Council to carry out a Development Study for the three estates of Hawkesley, Pool Farm and Primrose.  The active involvement of local residents was an important part of the Development Study Process. Their input informed the understanding of the existing strengths and weaknesses of the area and helped to identify the opportunities for improvement. Publicity for consultation events was achieved by various means which were designed to reach as many of the residents of the area as possible.  The following methods were employed to keep residents and stakeholders aware of the consultation process and up to date with progress:</w:t>
      </w:r>
    </w:p>
    <w:p w14:paraId="3711C8B5"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Leaflets and Postcards;</w:t>
      </w:r>
    </w:p>
    <w:p w14:paraId="404D87E5"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Newsletter;</w:t>
      </w:r>
    </w:p>
    <w:p w14:paraId="7963223F"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Bulletin;</w:t>
      </w:r>
    </w:p>
    <w:p w14:paraId="6B25C4B8"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Direct Mailing;</w:t>
      </w:r>
    </w:p>
    <w:p w14:paraId="22F8AE2C"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Website / Email address.</w:t>
      </w:r>
    </w:p>
    <w:p w14:paraId="393E940B"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Exhibitions;</w:t>
      </w:r>
    </w:p>
    <w:p w14:paraId="30C23D78"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Hands-on-planning – a 'Planning for Real' event;</w:t>
      </w:r>
    </w:p>
    <w:p w14:paraId="26BCE569"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Street Talk – A mobile exhibition venue;</w:t>
      </w:r>
    </w:p>
    <w:p w14:paraId="37B9A531"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Development Study Bulletin – Posted to all the homes in the area;</w:t>
      </w:r>
    </w:p>
    <w:p w14:paraId="68031D8B"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Comments sheets;</w:t>
      </w:r>
    </w:p>
    <w:p w14:paraId="5A91480B"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Questionnaires;</w:t>
      </w:r>
    </w:p>
    <w:p w14:paraId="1285B314" w14:textId="77777777" w:rsidR="00215CF4" w:rsidRPr="00512DA3"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Freephone number;</w:t>
      </w:r>
    </w:p>
    <w:p w14:paraId="3C550959" w14:textId="77777777" w:rsidR="00E25859" w:rsidRDefault="00215CF4" w:rsidP="004E6C30">
      <w:pPr>
        <w:numPr>
          <w:ilvl w:val="0"/>
          <w:numId w:val="33"/>
        </w:numPr>
        <w:spacing w:after="0" w:line="240" w:lineRule="auto"/>
        <w:ind w:left="1418" w:hanging="425"/>
        <w:jc w:val="both"/>
        <w:rPr>
          <w:rFonts w:ascii="Arial" w:hAnsi="Arial" w:cs="Arial"/>
          <w:bCs/>
          <w:color w:val="000000"/>
          <w:sz w:val="24"/>
          <w:szCs w:val="24"/>
        </w:rPr>
      </w:pPr>
      <w:r w:rsidRPr="00512DA3">
        <w:rPr>
          <w:rFonts w:ascii="Arial" w:hAnsi="Arial" w:cs="Arial"/>
          <w:bCs/>
          <w:color w:val="000000"/>
          <w:sz w:val="24"/>
          <w:szCs w:val="24"/>
        </w:rPr>
        <w:t>Freepost address.</w:t>
      </w:r>
    </w:p>
    <w:p w14:paraId="2EB437FD" w14:textId="77777777" w:rsidR="004E6C30" w:rsidRDefault="004E6C30" w:rsidP="00E25859">
      <w:pPr>
        <w:spacing w:after="0" w:line="240" w:lineRule="auto"/>
        <w:ind w:left="720"/>
        <w:jc w:val="both"/>
        <w:rPr>
          <w:rFonts w:ascii="Arial" w:hAnsi="Arial" w:cs="Arial"/>
          <w:bCs/>
          <w:color w:val="000000"/>
          <w:sz w:val="24"/>
          <w:szCs w:val="24"/>
        </w:rPr>
      </w:pPr>
    </w:p>
    <w:p w14:paraId="5DF79FC2" w14:textId="5471D98F" w:rsidR="00215CF4" w:rsidRPr="00E25859" w:rsidRDefault="00215CF4" w:rsidP="00E25859">
      <w:pPr>
        <w:spacing w:after="0" w:line="240" w:lineRule="auto"/>
        <w:ind w:left="720"/>
        <w:jc w:val="both"/>
        <w:rPr>
          <w:rFonts w:ascii="Arial" w:hAnsi="Arial" w:cs="Arial"/>
          <w:bCs/>
          <w:color w:val="000000"/>
          <w:sz w:val="24"/>
          <w:szCs w:val="24"/>
        </w:rPr>
      </w:pPr>
      <w:r w:rsidRPr="00E25859">
        <w:rPr>
          <w:rFonts w:ascii="Arial" w:hAnsi="Arial" w:cs="Arial"/>
          <w:bCs/>
          <w:color w:val="000000"/>
          <w:sz w:val="24"/>
          <w:szCs w:val="24"/>
        </w:rPr>
        <w:t xml:space="preserve">The main conclusion to be drawn from the consultation was that there was a strong level of support for some form of radical change on </w:t>
      </w:r>
      <w:r w:rsidR="00572FF4" w:rsidRPr="00E25859">
        <w:rPr>
          <w:rFonts w:ascii="Arial" w:hAnsi="Arial" w:cs="Arial"/>
          <w:bCs/>
          <w:color w:val="000000"/>
          <w:sz w:val="24"/>
          <w:szCs w:val="24"/>
        </w:rPr>
        <w:t xml:space="preserve">the </w:t>
      </w:r>
      <w:r w:rsidR="000827AE">
        <w:rPr>
          <w:rFonts w:ascii="Arial" w:hAnsi="Arial" w:cs="Arial"/>
          <w:bCs/>
          <w:color w:val="000000"/>
          <w:sz w:val="24"/>
          <w:szCs w:val="24"/>
        </w:rPr>
        <w:t>T</w:t>
      </w:r>
      <w:r w:rsidR="00572FF4" w:rsidRPr="00E25859">
        <w:rPr>
          <w:rFonts w:ascii="Arial" w:hAnsi="Arial" w:cs="Arial"/>
          <w:bCs/>
          <w:color w:val="000000"/>
          <w:sz w:val="24"/>
          <w:szCs w:val="24"/>
        </w:rPr>
        <w:t xml:space="preserve">hree </w:t>
      </w:r>
      <w:r w:rsidR="000827AE">
        <w:rPr>
          <w:rFonts w:ascii="Arial" w:hAnsi="Arial" w:cs="Arial"/>
          <w:bCs/>
          <w:color w:val="000000"/>
          <w:sz w:val="24"/>
          <w:szCs w:val="24"/>
        </w:rPr>
        <w:t>E</w:t>
      </w:r>
      <w:r w:rsidRPr="00E25859">
        <w:rPr>
          <w:rFonts w:ascii="Arial" w:hAnsi="Arial" w:cs="Arial"/>
          <w:bCs/>
          <w:color w:val="000000"/>
          <w:sz w:val="24"/>
          <w:szCs w:val="24"/>
        </w:rPr>
        <w:t xml:space="preserve">states.  The preferred approach proposed large scale redevelopment through the construction of new housing, new shopping and leisure facilities and significant areas of public open space.  It proposed that funding, generated by redevelopment, could enable significant improvements to be made to the retained housing stock and for environmental improvements to be carried out </w:t>
      </w:r>
      <w:r w:rsidRPr="00E25859">
        <w:rPr>
          <w:rFonts w:ascii="Arial" w:hAnsi="Arial" w:cs="Arial"/>
          <w:bCs/>
          <w:color w:val="000000"/>
          <w:sz w:val="24"/>
          <w:szCs w:val="24"/>
        </w:rPr>
        <w:lastRenderedPageBreak/>
        <w:t>throughout the area.  Improvements to sustainable forms of transport were proposed to create stronger linkages both inside and outside the area and help reinforce strategies for improved training and job creation for local people.</w:t>
      </w:r>
    </w:p>
    <w:p w14:paraId="6BB5FAD9" w14:textId="6EB9DE66" w:rsidR="00E10DC7" w:rsidRDefault="00215CF4" w:rsidP="004E6C30">
      <w:pPr>
        <w:tabs>
          <w:tab w:val="left" w:pos="1440"/>
        </w:tabs>
        <w:spacing w:after="0" w:line="240" w:lineRule="auto"/>
        <w:ind w:left="720"/>
        <w:jc w:val="both"/>
        <w:rPr>
          <w:rFonts w:ascii="Arial" w:hAnsi="Arial" w:cs="Arial"/>
          <w:bCs/>
          <w:color w:val="000000"/>
          <w:sz w:val="24"/>
          <w:szCs w:val="24"/>
        </w:rPr>
      </w:pPr>
      <w:r w:rsidRPr="00512DA3">
        <w:rPr>
          <w:rFonts w:ascii="Arial" w:hAnsi="Arial" w:cs="Arial"/>
          <w:bCs/>
          <w:color w:val="000000"/>
          <w:sz w:val="24"/>
          <w:szCs w:val="24"/>
        </w:rPr>
        <w:t xml:space="preserve">The final Kings Norton </w:t>
      </w:r>
      <w:r w:rsidR="00572FF4">
        <w:rPr>
          <w:rFonts w:ascii="Arial" w:hAnsi="Arial" w:cs="Arial"/>
          <w:bCs/>
          <w:color w:val="000000"/>
          <w:sz w:val="24"/>
          <w:szCs w:val="24"/>
        </w:rPr>
        <w:t xml:space="preserve">Three </w:t>
      </w:r>
      <w:r w:rsidRPr="00512DA3">
        <w:rPr>
          <w:rFonts w:ascii="Arial" w:hAnsi="Arial" w:cs="Arial"/>
          <w:bCs/>
          <w:color w:val="000000"/>
          <w:sz w:val="24"/>
          <w:szCs w:val="24"/>
        </w:rPr>
        <w:t>Estates Development Study was published by John Thompson &amp; Partners in 2005.</w:t>
      </w:r>
    </w:p>
    <w:p w14:paraId="6B95D987" w14:textId="77777777" w:rsidR="004E6C30" w:rsidRDefault="004E6C30" w:rsidP="004E6C30">
      <w:pPr>
        <w:tabs>
          <w:tab w:val="left" w:pos="1440"/>
        </w:tabs>
        <w:spacing w:after="0" w:line="240" w:lineRule="auto"/>
        <w:ind w:left="720"/>
        <w:jc w:val="both"/>
        <w:rPr>
          <w:rFonts w:ascii="Arial" w:hAnsi="Arial" w:cs="Arial"/>
          <w:bCs/>
          <w:color w:val="000000"/>
          <w:sz w:val="24"/>
          <w:szCs w:val="24"/>
        </w:rPr>
      </w:pPr>
    </w:p>
    <w:p w14:paraId="1D8A4B38" w14:textId="398CA344" w:rsidR="00E10DC7" w:rsidRPr="00590BD1" w:rsidRDefault="00E25859" w:rsidP="004E6C30">
      <w:pPr>
        <w:pStyle w:val="NoSpacing"/>
        <w:numPr>
          <w:ilvl w:val="1"/>
          <w:numId w:val="3"/>
        </w:numPr>
        <w:ind w:left="567" w:hanging="567"/>
        <w:jc w:val="both"/>
        <w:rPr>
          <w:rFonts w:ascii="Arial" w:hAnsi="Arial" w:cs="Arial"/>
          <w:bCs/>
          <w:color w:val="000000"/>
          <w:sz w:val="24"/>
          <w:szCs w:val="24"/>
        </w:rPr>
      </w:pPr>
      <w:r w:rsidRPr="00E10DC7">
        <w:rPr>
          <w:rFonts w:ascii="Arial" w:hAnsi="Arial" w:cs="Arial"/>
          <w:bCs/>
          <w:sz w:val="24"/>
          <w:szCs w:val="24"/>
          <w:lang w:eastAsia="en-GB"/>
        </w:rPr>
        <w:t>In 2006, consultants Donaldson’s were appointed to review the Development Study and its recommendations and consider the way forward for the City. As a result of this work, major issues were identified in respect of the cost to the Housing Revenue Account.  This highlighted the need for further work to be undertaken, and Tribal Consultants were appointed to undertake a study detailing the implications to the Housing Revenue Account.  In addition, CBRE were commissioned to carry out a Retail Study in 2006.</w:t>
      </w:r>
    </w:p>
    <w:p w14:paraId="636049A2" w14:textId="77777777" w:rsidR="00590BD1" w:rsidRPr="00E10DC7" w:rsidRDefault="00590BD1" w:rsidP="00590BD1">
      <w:pPr>
        <w:pStyle w:val="NoSpacing"/>
        <w:ind w:left="715"/>
        <w:jc w:val="both"/>
        <w:rPr>
          <w:rFonts w:ascii="Arial" w:hAnsi="Arial" w:cs="Arial"/>
          <w:bCs/>
          <w:color w:val="000000"/>
          <w:sz w:val="24"/>
          <w:szCs w:val="24"/>
        </w:rPr>
      </w:pPr>
    </w:p>
    <w:p w14:paraId="0A97AE72" w14:textId="7FF5B532" w:rsidR="00E10DC7" w:rsidRPr="00590BD1" w:rsidRDefault="00E25859" w:rsidP="004E6C30">
      <w:pPr>
        <w:pStyle w:val="NoSpacing"/>
        <w:numPr>
          <w:ilvl w:val="1"/>
          <w:numId w:val="3"/>
        </w:numPr>
        <w:ind w:left="567" w:hanging="567"/>
        <w:jc w:val="both"/>
        <w:rPr>
          <w:rFonts w:ascii="Arial" w:hAnsi="Arial" w:cs="Arial"/>
          <w:bCs/>
          <w:color w:val="000000"/>
          <w:sz w:val="24"/>
          <w:szCs w:val="24"/>
        </w:rPr>
      </w:pPr>
      <w:r w:rsidRPr="00E10DC7">
        <w:rPr>
          <w:rFonts w:ascii="Arial" w:hAnsi="Arial" w:cs="Arial"/>
          <w:bCs/>
          <w:sz w:val="24"/>
          <w:szCs w:val="24"/>
          <w:lang w:eastAsia="en-GB"/>
        </w:rPr>
        <w:t xml:space="preserve">In 2007, further consultation was undertaken to confirm that local residents still supported the proposals.   </w:t>
      </w:r>
      <w:r w:rsidR="00453356">
        <w:rPr>
          <w:rFonts w:ascii="Arial" w:hAnsi="Arial" w:cs="Arial"/>
          <w:bCs/>
          <w:sz w:val="24"/>
          <w:szCs w:val="24"/>
          <w:lang w:eastAsia="en-GB"/>
        </w:rPr>
        <w:t xml:space="preserve">The </w:t>
      </w:r>
      <w:r w:rsidRPr="00E10DC7">
        <w:rPr>
          <w:rFonts w:ascii="Arial" w:hAnsi="Arial" w:cs="Arial"/>
          <w:bCs/>
          <w:sz w:val="24"/>
          <w:szCs w:val="24"/>
          <w:lang w:eastAsia="en-GB"/>
        </w:rPr>
        <w:t>Housing Department and the Kings Norton Three Estates Community Development Trust consulted on options for the area.  Four options were developed and further public consultation was undertaken. Over 50% of local residents responded and over 90% supported the most radical option, referred to as the “Big Change”.  Known as the new futures programme, this has now been refined to achieve a level of transformational change that will meet the aspirations of the local community, realise the New Deal For Communities vision and be affordable to the Housing Revenue Account.</w:t>
      </w:r>
    </w:p>
    <w:p w14:paraId="6805F149" w14:textId="77777777" w:rsidR="00590BD1" w:rsidRDefault="00590BD1" w:rsidP="00590BD1">
      <w:pPr>
        <w:pStyle w:val="ListParagraph"/>
        <w:spacing w:after="0" w:line="240" w:lineRule="auto"/>
        <w:rPr>
          <w:rFonts w:ascii="Arial" w:hAnsi="Arial" w:cs="Arial"/>
          <w:bCs/>
          <w:color w:val="000000"/>
          <w:sz w:val="24"/>
          <w:szCs w:val="24"/>
        </w:rPr>
      </w:pPr>
    </w:p>
    <w:p w14:paraId="09736817" w14:textId="77777777" w:rsidR="00590BD1" w:rsidRDefault="00215CF4" w:rsidP="004E6C30">
      <w:pPr>
        <w:pStyle w:val="NoSpacing"/>
        <w:numPr>
          <w:ilvl w:val="1"/>
          <w:numId w:val="3"/>
        </w:numPr>
        <w:ind w:left="567" w:hanging="567"/>
        <w:jc w:val="both"/>
        <w:rPr>
          <w:rFonts w:ascii="Arial" w:hAnsi="Arial" w:cs="Arial"/>
          <w:bCs/>
          <w:color w:val="000000"/>
          <w:sz w:val="24"/>
          <w:szCs w:val="24"/>
        </w:rPr>
      </w:pPr>
      <w:r w:rsidRPr="00590BD1">
        <w:rPr>
          <w:rFonts w:ascii="Arial" w:hAnsi="Arial" w:cs="Arial"/>
          <w:bCs/>
          <w:color w:val="000000"/>
          <w:sz w:val="24"/>
          <w:szCs w:val="24"/>
        </w:rPr>
        <w:t xml:space="preserve">In 2009, consultants DTZ and AECOM were commissioned to prepare the Kings Norton Planning Framework. This document builds on the 2005 Development Study and the 2007 consultation. It sets out detailed planning policies and proposals and an indicative layout plan. In 2009, a consultation strategy was agreed that engaged with key stakeholders throughout the development of the Kings Norton Planning </w:t>
      </w:r>
      <w:r w:rsidR="00405919" w:rsidRPr="00590BD1">
        <w:rPr>
          <w:rFonts w:ascii="Arial" w:hAnsi="Arial" w:cs="Arial"/>
          <w:bCs/>
          <w:color w:val="000000"/>
          <w:sz w:val="24"/>
          <w:szCs w:val="24"/>
        </w:rPr>
        <w:t>Framework and</w:t>
      </w:r>
      <w:r w:rsidRPr="00590BD1">
        <w:rPr>
          <w:rFonts w:ascii="Arial" w:hAnsi="Arial" w:cs="Arial"/>
          <w:bCs/>
          <w:color w:val="000000"/>
          <w:sz w:val="24"/>
          <w:szCs w:val="24"/>
        </w:rPr>
        <w:t xml:space="preserve"> undertook a full public consultation at the draft stage.  Stakeholder consultations were also held as the framework was drafted.  Three full public consultation events were held on 9th, 10th and 11th September 2009, where residents were able to comment on the Planning Framework proposals.  In </w:t>
      </w:r>
      <w:r w:rsidR="00405919" w:rsidRPr="00590BD1">
        <w:rPr>
          <w:rFonts w:ascii="Arial" w:hAnsi="Arial" w:cs="Arial"/>
          <w:bCs/>
          <w:color w:val="000000"/>
          <w:sz w:val="24"/>
          <w:szCs w:val="24"/>
        </w:rPr>
        <w:t>addition,</w:t>
      </w:r>
      <w:r w:rsidRPr="00590BD1">
        <w:rPr>
          <w:rFonts w:ascii="Arial" w:hAnsi="Arial" w:cs="Arial"/>
          <w:bCs/>
          <w:color w:val="000000"/>
          <w:sz w:val="24"/>
          <w:szCs w:val="24"/>
        </w:rPr>
        <w:t xml:space="preserve"> residents were updated by progress through newsletter articles and leaflets distributed to each household.</w:t>
      </w:r>
    </w:p>
    <w:p w14:paraId="2B6CE358" w14:textId="77777777" w:rsidR="00590BD1" w:rsidRDefault="00590BD1" w:rsidP="004E6C30">
      <w:pPr>
        <w:pStyle w:val="ListParagraph"/>
        <w:spacing w:after="0" w:line="240" w:lineRule="auto"/>
        <w:rPr>
          <w:rFonts w:ascii="Arial" w:hAnsi="Arial" w:cs="Arial"/>
          <w:bCs/>
          <w:color w:val="000000"/>
          <w:sz w:val="24"/>
          <w:szCs w:val="24"/>
        </w:rPr>
      </w:pPr>
    </w:p>
    <w:p w14:paraId="5AD9EB8D" w14:textId="61913AD8" w:rsidR="00E10DC7" w:rsidRPr="00A65503" w:rsidRDefault="00512DA3" w:rsidP="004E6C30">
      <w:pPr>
        <w:pStyle w:val="NoSpacing"/>
        <w:numPr>
          <w:ilvl w:val="1"/>
          <w:numId w:val="3"/>
        </w:numPr>
        <w:ind w:left="567" w:hanging="567"/>
        <w:jc w:val="both"/>
        <w:rPr>
          <w:rFonts w:ascii="Arial" w:hAnsi="Arial" w:cs="Arial"/>
          <w:bCs/>
          <w:color w:val="000000"/>
          <w:sz w:val="24"/>
          <w:szCs w:val="24"/>
        </w:rPr>
      </w:pPr>
      <w:r w:rsidRPr="00E10DC7">
        <w:rPr>
          <w:rFonts w:ascii="Arial" w:hAnsi="Arial" w:cs="Arial"/>
          <w:sz w:val="24"/>
          <w:szCs w:val="24"/>
        </w:rPr>
        <w:t xml:space="preserve">The views of residents in the Pool Farm and Shannon Road blocks </w:t>
      </w:r>
      <w:r w:rsidR="00DC3AB7" w:rsidRPr="00E10DC7">
        <w:rPr>
          <w:rFonts w:ascii="Arial" w:hAnsi="Arial" w:cs="Arial"/>
          <w:sz w:val="24"/>
          <w:szCs w:val="24"/>
        </w:rPr>
        <w:t xml:space="preserve">were </w:t>
      </w:r>
      <w:r w:rsidRPr="00E10DC7">
        <w:rPr>
          <w:rFonts w:ascii="Arial" w:hAnsi="Arial" w:cs="Arial"/>
          <w:sz w:val="24"/>
          <w:szCs w:val="24"/>
        </w:rPr>
        <w:t>sought on the clearance and demolition proposals in the 2017 Cabinet Report ‘Housing Clearance Programme</w:t>
      </w:r>
      <w:r w:rsidR="00033FAC" w:rsidRPr="00E10DC7">
        <w:rPr>
          <w:rFonts w:ascii="Arial" w:hAnsi="Arial" w:cs="Arial"/>
          <w:sz w:val="24"/>
          <w:szCs w:val="24"/>
        </w:rPr>
        <w:t>’</w:t>
      </w:r>
      <w:r w:rsidRPr="00E10DC7">
        <w:rPr>
          <w:rFonts w:ascii="Arial" w:hAnsi="Arial" w:cs="Arial"/>
          <w:sz w:val="24"/>
          <w:szCs w:val="24"/>
        </w:rPr>
        <w:t xml:space="preserve">. </w:t>
      </w:r>
      <w:r w:rsidR="00DC3AB7" w:rsidRPr="00E10DC7">
        <w:rPr>
          <w:rFonts w:ascii="Arial" w:hAnsi="Arial" w:cs="Arial"/>
          <w:sz w:val="24"/>
          <w:szCs w:val="24"/>
        </w:rPr>
        <w:t xml:space="preserve">A detailed and comprehensive programme of consultation was undertaken with residents potentially affected by the proposed clearance. This included door knocking, face to face </w:t>
      </w:r>
      <w:r w:rsidR="00E83735" w:rsidRPr="00E10DC7">
        <w:rPr>
          <w:rFonts w:ascii="Arial" w:hAnsi="Arial" w:cs="Arial"/>
          <w:sz w:val="24"/>
          <w:szCs w:val="24"/>
        </w:rPr>
        <w:t xml:space="preserve">and telephone interviews. Consultation events were held at Greaves Hall Community </w:t>
      </w:r>
      <w:r w:rsidR="00453356">
        <w:rPr>
          <w:rFonts w:ascii="Arial" w:hAnsi="Arial" w:cs="Arial"/>
          <w:sz w:val="24"/>
          <w:szCs w:val="24"/>
        </w:rPr>
        <w:t xml:space="preserve">Centre </w:t>
      </w:r>
      <w:r w:rsidR="00E83735" w:rsidRPr="00E10DC7">
        <w:rPr>
          <w:rFonts w:ascii="Arial" w:hAnsi="Arial" w:cs="Arial"/>
          <w:sz w:val="24"/>
          <w:szCs w:val="24"/>
        </w:rPr>
        <w:t>and in the ground floor office of one</w:t>
      </w:r>
      <w:r w:rsidR="00B80B66">
        <w:rPr>
          <w:rFonts w:ascii="Arial" w:hAnsi="Arial" w:cs="Arial"/>
          <w:sz w:val="24"/>
          <w:szCs w:val="24"/>
        </w:rPr>
        <w:t xml:space="preserve"> of</w:t>
      </w:r>
      <w:r w:rsidR="00E83735" w:rsidRPr="00E10DC7">
        <w:rPr>
          <w:rFonts w:ascii="Arial" w:hAnsi="Arial" w:cs="Arial"/>
          <w:sz w:val="24"/>
          <w:szCs w:val="24"/>
        </w:rPr>
        <w:t xml:space="preserve"> the Shannon Road blocks.</w:t>
      </w:r>
      <w:r w:rsidR="00DC3AB7" w:rsidRPr="00E10DC7">
        <w:rPr>
          <w:rFonts w:ascii="Arial" w:hAnsi="Arial" w:cs="Arial"/>
          <w:sz w:val="24"/>
          <w:szCs w:val="24"/>
        </w:rPr>
        <w:t xml:space="preserve"> </w:t>
      </w:r>
      <w:r w:rsidR="00E83735" w:rsidRPr="00E10DC7">
        <w:rPr>
          <w:rFonts w:ascii="Arial" w:hAnsi="Arial" w:cs="Arial"/>
          <w:sz w:val="24"/>
          <w:szCs w:val="24"/>
        </w:rPr>
        <w:t>79% of residents of the tower blocks responded to the consultation and 94% were supportive of the clearance and demolitions plans. 74% of the resident</w:t>
      </w:r>
      <w:r w:rsidR="00033FAC" w:rsidRPr="00E10DC7">
        <w:rPr>
          <w:rFonts w:ascii="Arial" w:hAnsi="Arial" w:cs="Arial"/>
          <w:sz w:val="24"/>
          <w:szCs w:val="24"/>
        </w:rPr>
        <w:t>s</w:t>
      </w:r>
      <w:r w:rsidR="00E83735" w:rsidRPr="00E10DC7">
        <w:rPr>
          <w:rFonts w:ascii="Arial" w:hAnsi="Arial" w:cs="Arial"/>
          <w:sz w:val="24"/>
          <w:szCs w:val="24"/>
        </w:rPr>
        <w:t xml:space="preserve"> of the Pool Farm low rise flats responded and 91</w:t>
      </w:r>
      <w:r w:rsidR="00033FAC" w:rsidRPr="00E10DC7">
        <w:rPr>
          <w:rFonts w:ascii="Arial" w:hAnsi="Arial" w:cs="Arial"/>
          <w:sz w:val="24"/>
          <w:szCs w:val="24"/>
        </w:rPr>
        <w:t>% were supportive of the clearance and demolition plans.</w:t>
      </w:r>
    </w:p>
    <w:p w14:paraId="4CF8C47A" w14:textId="77777777" w:rsidR="00A65503" w:rsidRDefault="00A65503" w:rsidP="00A65503">
      <w:pPr>
        <w:pStyle w:val="ListParagraph"/>
        <w:spacing w:after="0" w:line="240" w:lineRule="auto"/>
        <w:rPr>
          <w:rFonts w:ascii="Arial" w:hAnsi="Arial" w:cs="Arial"/>
          <w:bCs/>
          <w:color w:val="000000"/>
          <w:sz w:val="24"/>
          <w:szCs w:val="24"/>
        </w:rPr>
      </w:pPr>
    </w:p>
    <w:p w14:paraId="551C3F8E" w14:textId="77777777" w:rsidR="00CF5D24" w:rsidRDefault="00E25859" w:rsidP="00CF5D24">
      <w:pPr>
        <w:pStyle w:val="NoSpacing"/>
        <w:numPr>
          <w:ilvl w:val="1"/>
          <w:numId w:val="3"/>
        </w:numPr>
        <w:ind w:left="567" w:hanging="567"/>
        <w:jc w:val="both"/>
        <w:rPr>
          <w:rFonts w:ascii="Arial" w:hAnsi="Arial" w:cs="Arial"/>
          <w:sz w:val="24"/>
          <w:szCs w:val="24"/>
        </w:rPr>
      </w:pPr>
      <w:r w:rsidRPr="00E10DC7">
        <w:rPr>
          <w:rFonts w:ascii="Arial" w:hAnsi="Arial" w:cs="Arial"/>
          <w:bCs/>
          <w:color w:val="000000"/>
        </w:rPr>
        <w:t>I</w:t>
      </w:r>
      <w:r w:rsidR="00405919" w:rsidRPr="00E10DC7">
        <w:rPr>
          <w:rFonts w:ascii="Arial" w:hAnsi="Arial" w:cs="Arial"/>
          <w:bCs/>
          <w:color w:val="000000"/>
        </w:rPr>
        <w:t xml:space="preserve">n </w:t>
      </w:r>
      <w:r w:rsidR="00405919" w:rsidRPr="00E10DC7">
        <w:rPr>
          <w:rFonts w:ascii="Arial" w:hAnsi="Arial" w:cs="Arial"/>
          <w:sz w:val="24"/>
          <w:szCs w:val="24"/>
        </w:rPr>
        <w:t>July</w:t>
      </w:r>
      <w:r w:rsidR="00033FAC" w:rsidRPr="00E10DC7">
        <w:rPr>
          <w:rFonts w:ascii="Arial" w:hAnsi="Arial" w:cs="Arial"/>
          <w:sz w:val="24"/>
          <w:szCs w:val="24"/>
        </w:rPr>
        <w:t xml:space="preserve"> 2020 the views of residents in Pool Farm and Shannon Road areas were invited to make comments regarding the development plans for the area. No face </w:t>
      </w:r>
      <w:r w:rsidR="00033FAC" w:rsidRPr="00E10DC7">
        <w:rPr>
          <w:rFonts w:ascii="Arial" w:hAnsi="Arial" w:cs="Arial"/>
          <w:sz w:val="24"/>
          <w:szCs w:val="24"/>
        </w:rPr>
        <w:lastRenderedPageBreak/>
        <w:t xml:space="preserve">to face consultation could be undertaken due to the Covid-19 pandemic. 1276 newsletters were sent to residents in the area informing them of plans for the area and directing them to the Councils Be Heard webpages where they could see detailed plans and complete a questionnaire recording their view on the proposals. Residents without internet access were provided with the opportunity to obtain paper copies of the plans and questionnaires which they could </w:t>
      </w:r>
      <w:r w:rsidR="004B60F2">
        <w:rPr>
          <w:rFonts w:ascii="Arial" w:hAnsi="Arial" w:cs="Arial"/>
          <w:sz w:val="24"/>
          <w:szCs w:val="24"/>
        </w:rPr>
        <w:t xml:space="preserve"> return</w:t>
      </w:r>
      <w:r w:rsidR="00033FAC" w:rsidRPr="00E10DC7">
        <w:rPr>
          <w:rFonts w:ascii="Arial" w:hAnsi="Arial" w:cs="Arial"/>
          <w:sz w:val="24"/>
          <w:szCs w:val="24"/>
        </w:rPr>
        <w:t xml:space="preserve"> in prepaid envelopes.</w:t>
      </w:r>
    </w:p>
    <w:p w14:paraId="37BF1C1A" w14:textId="77777777" w:rsidR="00CF5D24" w:rsidRDefault="00CF5D24" w:rsidP="00CF5D24">
      <w:pPr>
        <w:pStyle w:val="ListParagraph"/>
        <w:spacing w:after="0" w:line="240" w:lineRule="auto"/>
        <w:rPr>
          <w:rFonts w:ascii="Arial" w:hAnsi="Arial" w:cs="Arial"/>
          <w:sz w:val="24"/>
          <w:szCs w:val="24"/>
        </w:rPr>
      </w:pPr>
    </w:p>
    <w:p w14:paraId="173A9320" w14:textId="2488B3DC" w:rsidR="00AF179B" w:rsidRDefault="00AF179B" w:rsidP="00CF5D24">
      <w:pPr>
        <w:pStyle w:val="NoSpacing"/>
        <w:ind w:left="567"/>
        <w:jc w:val="both"/>
        <w:rPr>
          <w:rFonts w:ascii="Arial" w:hAnsi="Arial" w:cs="Arial"/>
          <w:sz w:val="24"/>
          <w:szCs w:val="24"/>
        </w:rPr>
      </w:pPr>
      <w:r>
        <w:rPr>
          <w:rFonts w:ascii="Arial" w:hAnsi="Arial" w:cs="Arial"/>
          <w:sz w:val="24"/>
          <w:szCs w:val="24"/>
        </w:rPr>
        <w:t>Consultation on the PAs:</w:t>
      </w:r>
    </w:p>
    <w:p w14:paraId="2E5134E8" w14:textId="77777777" w:rsidR="00CF5D24" w:rsidRDefault="00CF5D24" w:rsidP="00CF5D24">
      <w:pPr>
        <w:pStyle w:val="NoSpacing"/>
        <w:ind w:left="567"/>
        <w:jc w:val="both"/>
        <w:rPr>
          <w:rFonts w:ascii="Arial" w:hAnsi="Arial" w:cs="Arial"/>
          <w:sz w:val="24"/>
          <w:szCs w:val="24"/>
        </w:rPr>
      </w:pPr>
    </w:p>
    <w:p w14:paraId="6BF158CC" w14:textId="48B5E732" w:rsidR="00E10DC7" w:rsidRDefault="00AF179B" w:rsidP="004E6C30">
      <w:pPr>
        <w:pStyle w:val="NoSpacing"/>
        <w:numPr>
          <w:ilvl w:val="1"/>
          <w:numId w:val="3"/>
        </w:numPr>
        <w:ind w:left="567" w:hanging="567"/>
        <w:jc w:val="both"/>
        <w:rPr>
          <w:rFonts w:ascii="Arial" w:hAnsi="Arial" w:cs="Arial"/>
          <w:sz w:val="24"/>
          <w:szCs w:val="24"/>
        </w:rPr>
      </w:pPr>
      <w:r w:rsidRPr="00020D99">
        <w:rPr>
          <w:rFonts w:ascii="Arial" w:hAnsi="Arial" w:cs="Arial"/>
          <w:sz w:val="24"/>
          <w:szCs w:val="24"/>
        </w:rPr>
        <w:t>Consultation was also undertaken on the recent planning applications that have been approved for the redevelopment of the Pool Farm estate. Site and press notices were posted and the local MP, Councillors, Residents’ Associations and the occupiers of nearby dwellings were notified of the applications. The local MP made a number of comments and there were only two comments received from local residents. Neither of these were residents of properties included within the order and did not raise objections to the proposals but sought more information about the scheme.</w:t>
      </w:r>
    </w:p>
    <w:p w14:paraId="0573499A" w14:textId="77777777" w:rsidR="00A65503" w:rsidRPr="00020D99" w:rsidRDefault="00A65503" w:rsidP="00A65503">
      <w:pPr>
        <w:pStyle w:val="NoSpacing"/>
        <w:ind w:left="715"/>
        <w:jc w:val="both"/>
        <w:rPr>
          <w:rFonts w:ascii="Arial" w:hAnsi="Arial" w:cs="Arial"/>
          <w:sz w:val="24"/>
          <w:szCs w:val="24"/>
        </w:rPr>
      </w:pPr>
    </w:p>
    <w:p w14:paraId="37C565E1" w14:textId="55042C99" w:rsidR="00E10DC7" w:rsidRDefault="007F1A06" w:rsidP="00BC508C">
      <w:pPr>
        <w:pStyle w:val="NoSpacing"/>
        <w:numPr>
          <w:ilvl w:val="0"/>
          <w:numId w:val="3"/>
        </w:numPr>
        <w:ind w:left="567" w:hanging="567"/>
        <w:jc w:val="both"/>
        <w:outlineLvl w:val="0"/>
      </w:pPr>
      <w:bookmarkStart w:id="12" w:name="_Toc68772050"/>
      <w:r w:rsidRPr="00E10DC7">
        <w:rPr>
          <w:rFonts w:ascii="Arial" w:hAnsi="Arial" w:cs="Arial"/>
          <w:b/>
          <w:sz w:val="24"/>
          <w:szCs w:val="24"/>
          <w:u w:val="single"/>
        </w:rPr>
        <w:t xml:space="preserve">Funding </w:t>
      </w:r>
      <w:r w:rsidRPr="00E10DC7">
        <w:rPr>
          <w:rFonts w:ascii="Arial" w:hAnsi="Arial" w:cs="Arial"/>
          <w:b/>
          <w:sz w:val="24"/>
          <w:szCs w:val="24"/>
          <w:u w:val="single"/>
          <w:lang w:eastAsia="en-GB"/>
        </w:rPr>
        <w:t>position</w:t>
      </w:r>
      <w:bookmarkEnd w:id="12"/>
    </w:p>
    <w:p w14:paraId="334D71FD" w14:textId="77777777" w:rsidR="00A65503" w:rsidRPr="00F70D5A" w:rsidRDefault="00A65503" w:rsidP="00F70D5A">
      <w:pPr>
        <w:pStyle w:val="NoSpacing"/>
        <w:ind w:left="714"/>
        <w:jc w:val="both"/>
        <w:rPr>
          <w:rFonts w:ascii="Arial" w:hAnsi="Arial" w:cs="Arial"/>
          <w:sz w:val="24"/>
          <w:szCs w:val="24"/>
        </w:rPr>
      </w:pPr>
    </w:p>
    <w:p w14:paraId="275A3E27" w14:textId="65D4E476" w:rsidR="00E27956" w:rsidRPr="00E27956" w:rsidRDefault="00DB5031" w:rsidP="006D0B91">
      <w:pPr>
        <w:pStyle w:val="NoSpacing"/>
        <w:numPr>
          <w:ilvl w:val="1"/>
          <w:numId w:val="3"/>
        </w:numPr>
        <w:ind w:left="567" w:hanging="567"/>
        <w:jc w:val="both"/>
      </w:pPr>
      <w:r w:rsidRPr="00E10DC7">
        <w:rPr>
          <w:rFonts w:ascii="Arial" w:hAnsi="Arial" w:cs="Arial"/>
          <w:sz w:val="24"/>
          <w:szCs w:val="24"/>
        </w:rPr>
        <w:t xml:space="preserve">The report entitled ‘Housing Clearance Programme’ that was approved by the Cabinet </w:t>
      </w:r>
      <w:r w:rsidR="001940AE" w:rsidRPr="00E10DC7">
        <w:rPr>
          <w:rFonts w:ascii="Arial" w:hAnsi="Arial" w:cs="Arial"/>
          <w:sz w:val="24"/>
          <w:szCs w:val="24"/>
        </w:rPr>
        <w:t xml:space="preserve">of the City Council </w:t>
      </w:r>
      <w:r w:rsidRPr="00E10DC7">
        <w:rPr>
          <w:rFonts w:ascii="Arial" w:hAnsi="Arial" w:cs="Arial"/>
          <w:sz w:val="24"/>
          <w:szCs w:val="24"/>
        </w:rPr>
        <w:t xml:space="preserve">on 14 February 2017 </w:t>
      </w:r>
      <w:r w:rsidR="007F1A06" w:rsidRPr="00E10DC7">
        <w:rPr>
          <w:rFonts w:ascii="Arial" w:hAnsi="Arial" w:cs="Arial"/>
          <w:sz w:val="24"/>
          <w:szCs w:val="24"/>
        </w:rPr>
        <w:t xml:space="preserve">set out </w:t>
      </w:r>
      <w:r w:rsidRPr="00E10DC7">
        <w:rPr>
          <w:rFonts w:ascii="Arial" w:hAnsi="Arial" w:cs="Arial"/>
          <w:sz w:val="24"/>
          <w:szCs w:val="24"/>
        </w:rPr>
        <w:t>the funding position with regard to the proposed clearance and demolition</w:t>
      </w:r>
      <w:r w:rsidR="00E25859" w:rsidRPr="00E10DC7">
        <w:rPr>
          <w:rFonts w:ascii="Arial" w:hAnsi="Arial" w:cs="Arial"/>
          <w:sz w:val="24"/>
          <w:szCs w:val="24"/>
        </w:rPr>
        <w:t>.</w:t>
      </w:r>
    </w:p>
    <w:p w14:paraId="0C03626C" w14:textId="77777777" w:rsidR="00E27956" w:rsidRPr="00F70D5A" w:rsidRDefault="00E27956" w:rsidP="00F70D5A">
      <w:pPr>
        <w:pStyle w:val="NoSpacing"/>
        <w:ind w:left="714"/>
        <w:jc w:val="both"/>
        <w:rPr>
          <w:rFonts w:ascii="Arial" w:hAnsi="Arial" w:cs="Arial"/>
          <w:sz w:val="24"/>
          <w:szCs w:val="24"/>
        </w:rPr>
      </w:pPr>
    </w:p>
    <w:p w14:paraId="31855AA1" w14:textId="03618FCD" w:rsidR="00E27956" w:rsidRDefault="00A32947" w:rsidP="006D0B91">
      <w:pPr>
        <w:pStyle w:val="NoSpacing"/>
        <w:numPr>
          <w:ilvl w:val="1"/>
          <w:numId w:val="3"/>
        </w:numPr>
        <w:ind w:left="567" w:hanging="567"/>
        <w:jc w:val="both"/>
      </w:pPr>
      <w:r w:rsidRPr="00E27956">
        <w:rPr>
          <w:rFonts w:ascii="Arial" w:hAnsi="Arial" w:cs="Arial"/>
          <w:sz w:val="24"/>
          <w:szCs w:val="24"/>
        </w:rPr>
        <w:t xml:space="preserve">In line with the Cabinet approval the total cost of rehousing, </w:t>
      </w:r>
      <w:r w:rsidR="001940AE" w:rsidRPr="00E27956">
        <w:rPr>
          <w:rFonts w:ascii="Arial" w:hAnsi="Arial" w:cs="Arial"/>
          <w:sz w:val="24"/>
          <w:szCs w:val="24"/>
        </w:rPr>
        <w:t xml:space="preserve">the </w:t>
      </w:r>
      <w:r w:rsidRPr="00E27956">
        <w:rPr>
          <w:rFonts w:ascii="Arial" w:hAnsi="Arial" w:cs="Arial"/>
          <w:sz w:val="24"/>
          <w:szCs w:val="24"/>
        </w:rPr>
        <w:t>C</w:t>
      </w:r>
      <w:r w:rsidR="001940AE" w:rsidRPr="00E27956">
        <w:rPr>
          <w:rFonts w:ascii="Arial" w:hAnsi="Arial" w:cs="Arial"/>
          <w:sz w:val="24"/>
          <w:szCs w:val="24"/>
        </w:rPr>
        <w:t xml:space="preserve">ompulsory </w:t>
      </w:r>
      <w:r w:rsidRPr="00E27956">
        <w:rPr>
          <w:rFonts w:ascii="Arial" w:hAnsi="Arial" w:cs="Arial"/>
          <w:sz w:val="24"/>
          <w:szCs w:val="24"/>
        </w:rPr>
        <w:t>P</w:t>
      </w:r>
      <w:r w:rsidR="001940AE" w:rsidRPr="00E27956">
        <w:rPr>
          <w:rFonts w:ascii="Arial" w:hAnsi="Arial" w:cs="Arial"/>
          <w:sz w:val="24"/>
          <w:szCs w:val="24"/>
        </w:rPr>
        <w:t xml:space="preserve">urchase </w:t>
      </w:r>
      <w:r w:rsidRPr="00E27956">
        <w:rPr>
          <w:rFonts w:ascii="Arial" w:hAnsi="Arial" w:cs="Arial"/>
          <w:sz w:val="24"/>
          <w:szCs w:val="24"/>
        </w:rPr>
        <w:t>O</w:t>
      </w:r>
      <w:r w:rsidR="001940AE" w:rsidRPr="00E27956">
        <w:rPr>
          <w:rFonts w:ascii="Arial" w:hAnsi="Arial" w:cs="Arial"/>
          <w:sz w:val="24"/>
          <w:szCs w:val="24"/>
        </w:rPr>
        <w:t>rder</w:t>
      </w:r>
      <w:r w:rsidRPr="00E27956">
        <w:rPr>
          <w:rFonts w:ascii="Arial" w:hAnsi="Arial" w:cs="Arial"/>
          <w:sz w:val="24"/>
          <w:szCs w:val="24"/>
        </w:rPr>
        <w:t xml:space="preserve">, </w:t>
      </w:r>
      <w:r w:rsidR="001940AE" w:rsidRPr="00E27956">
        <w:rPr>
          <w:rFonts w:ascii="Arial" w:hAnsi="Arial" w:cs="Arial"/>
          <w:sz w:val="24"/>
          <w:szCs w:val="24"/>
        </w:rPr>
        <w:t>a</w:t>
      </w:r>
      <w:r w:rsidRPr="00E27956">
        <w:rPr>
          <w:rFonts w:ascii="Arial" w:hAnsi="Arial" w:cs="Arial"/>
          <w:sz w:val="24"/>
          <w:szCs w:val="24"/>
        </w:rPr>
        <w:t xml:space="preserve">cquisition and </w:t>
      </w:r>
      <w:r w:rsidR="001940AE" w:rsidRPr="00E27956">
        <w:rPr>
          <w:rFonts w:ascii="Arial" w:hAnsi="Arial" w:cs="Arial"/>
          <w:sz w:val="24"/>
          <w:szCs w:val="24"/>
        </w:rPr>
        <w:t>d</w:t>
      </w:r>
      <w:r w:rsidRPr="00E27956">
        <w:rPr>
          <w:rFonts w:ascii="Arial" w:hAnsi="Arial" w:cs="Arial"/>
          <w:sz w:val="24"/>
          <w:szCs w:val="24"/>
        </w:rPr>
        <w:t xml:space="preserve">emolition is being funded from revenue </w:t>
      </w:r>
      <w:r w:rsidR="003D5F63" w:rsidRPr="00E27956">
        <w:rPr>
          <w:rFonts w:ascii="Arial" w:hAnsi="Arial" w:cs="Arial"/>
          <w:sz w:val="24"/>
          <w:szCs w:val="24"/>
        </w:rPr>
        <w:t>expenditure, through</w:t>
      </w:r>
      <w:r w:rsidR="001940AE" w:rsidRPr="00E27956">
        <w:rPr>
          <w:rFonts w:ascii="Arial" w:hAnsi="Arial" w:cs="Arial"/>
          <w:sz w:val="24"/>
          <w:szCs w:val="24"/>
        </w:rPr>
        <w:t xml:space="preserve"> </w:t>
      </w:r>
      <w:r w:rsidRPr="00E27956">
        <w:rPr>
          <w:rFonts w:ascii="Arial" w:hAnsi="Arial" w:cs="Arial"/>
          <w:sz w:val="24"/>
          <w:szCs w:val="24"/>
        </w:rPr>
        <w:t>HRA income and capital expenditure</w:t>
      </w:r>
      <w:r w:rsidR="001940AE" w:rsidRPr="00E27956">
        <w:rPr>
          <w:rFonts w:ascii="Arial" w:hAnsi="Arial" w:cs="Arial"/>
          <w:sz w:val="24"/>
          <w:szCs w:val="24"/>
        </w:rPr>
        <w:t xml:space="preserve">. This </w:t>
      </w:r>
      <w:r w:rsidR="003D5F63" w:rsidRPr="00E27956">
        <w:rPr>
          <w:rFonts w:ascii="Arial" w:hAnsi="Arial" w:cs="Arial"/>
          <w:sz w:val="24"/>
          <w:szCs w:val="24"/>
        </w:rPr>
        <w:t>is funded</w:t>
      </w:r>
      <w:r w:rsidRPr="00E27956">
        <w:rPr>
          <w:rFonts w:ascii="Arial" w:hAnsi="Arial" w:cs="Arial"/>
          <w:sz w:val="24"/>
          <w:szCs w:val="24"/>
        </w:rPr>
        <w:t xml:space="preserve"> from the overall Public Sector Housing Capital programme financing over the </w:t>
      </w:r>
      <w:r w:rsidR="003D5F63" w:rsidRPr="00E27956">
        <w:rPr>
          <w:rFonts w:ascii="Arial" w:hAnsi="Arial" w:cs="Arial"/>
          <w:sz w:val="24"/>
          <w:szCs w:val="24"/>
        </w:rPr>
        <w:t>7-year</w:t>
      </w:r>
      <w:r w:rsidRPr="00E27956">
        <w:rPr>
          <w:rFonts w:ascii="Arial" w:hAnsi="Arial" w:cs="Arial"/>
          <w:sz w:val="24"/>
          <w:szCs w:val="24"/>
        </w:rPr>
        <w:t xml:space="preserve"> period of the programme.</w:t>
      </w:r>
    </w:p>
    <w:p w14:paraId="50D6507D" w14:textId="77777777" w:rsidR="00E27956" w:rsidRPr="00F70D5A" w:rsidRDefault="00E27956" w:rsidP="00F70D5A">
      <w:pPr>
        <w:pStyle w:val="NoSpacing"/>
        <w:ind w:left="714"/>
        <w:jc w:val="both"/>
        <w:rPr>
          <w:rFonts w:ascii="Arial" w:hAnsi="Arial" w:cs="Arial"/>
          <w:sz w:val="24"/>
          <w:szCs w:val="24"/>
        </w:rPr>
      </w:pPr>
    </w:p>
    <w:p w14:paraId="5AC28A49" w14:textId="002FD20D" w:rsidR="007F1A06" w:rsidRPr="00E27956" w:rsidRDefault="001B380F" w:rsidP="006D0B91">
      <w:pPr>
        <w:pStyle w:val="NoSpacing"/>
        <w:numPr>
          <w:ilvl w:val="1"/>
          <w:numId w:val="3"/>
        </w:numPr>
        <w:ind w:left="567" w:hanging="567"/>
        <w:jc w:val="both"/>
      </w:pPr>
      <w:r w:rsidRPr="00E27956">
        <w:rPr>
          <w:rFonts w:ascii="Arial" w:hAnsi="Arial" w:cs="Arial"/>
          <w:sz w:val="24"/>
          <w:szCs w:val="24"/>
        </w:rPr>
        <w:t xml:space="preserve">The Birmingham City Council Cabinet report entitled </w:t>
      </w:r>
      <w:r w:rsidR="00572FF4" w:rsidRPr="00E27956">
        <w:rPr>
          <w:rFonts w:ascii="Arial" w:hAnsi="Arial" w:cs="Arial"/>
          <w:sz w:val="24"/>
          <w:szCs w:val="24"/>
        </w:rPr>
        <w:t>‘Building Homes on the Pool Farm Estate and Shannon Road site’</w:t>
      </w:r>
      <w:r w:rsidR="0027612F" w:rsidRPr="00E27956">
        <w:rPr>
          <w:rFonts w:ascii="Arial" w:hAnsi="Arial" w:cs="Arial"/>
          <w:sz w:val="24"/>
          <w:szCs w:val="24"/>
        </w:rPr>
        <w:t xml:space="preserve"> - 9</w:t>
      </w:r>
      <w:r w:rsidR="0027612F" w:rsidRPr="00E27956">
        <w:rPr>
          <w:rFonts w:ascii="Arial" w:hAnsi="Arial" w:cs="Arial"/>
          <w:sz w:val="24"/>
          <w:szCs w:val="24"/>
          <w:vertAlign w:val="superscript"/>
        </w:rPr>
        <w:t>th</w:t>
      </w:r>
      <w:r w:rsidR="0027612F" w:rsidRPr="00E27956">
        <w:rPr>
          <w:rFonts w:ascii="Arial" w:hAnsi="Arial" w:cs="Arial"/>
          <w:sz w:val="24"/>
          <w:szCs w:val="24"/>
        </w:rPr>
        <w:t xml:space="preserve"> February 2021</w:t>
      </w:r>
      <w:r w:rsidRPr="00E27956">
        <w:rPr>
          <w:rFonts w:ascii="Arial" w:hAnsi="Arial" w:cs="Arial"/>
          <w:sz w:val="24"/>
          <w:szCs w:val="24"/>
        </w:rPr>
        <w:t xml:space="preserve"> approve</w:t>
      </w:r>
      <w:r w:rsidR="0027612F" w:rsidRPr="00E27956">
        <w:rPr>
          <w:rFonts w:ascii="Arial" w:hAnsi="Arial" w:cs="Arial"/>
          <w:sz w:val="24"/>
          <w:szCs w:val="24"/>
        </w:rPr>
        <w:t>d</w:t>
      </w:r>
      <w:r w:rsidRPr="00E27956">
        <w:rPr>
          <w:rFonts w:ascii="Arial" w:hAnsi="Arial" w:cs="Arial"/>
          <w:sz w:val="24"/>
          <w:szCs w:val="24"/>
        </w:rPr>
        <w:t xml:space="preserve"> the procurement strategy for appointing a development contractor and provides delegated powers to appoint the successful tenderer. The approval is based on the full business case. </w:t>
      </w:r>
    </w:p>
    <w:p w14:paraId="5C7EE46B" w14:textId="77777777" w:rsidR="002B44B3" w:rsidRPr="00EE35E5" w:rsidRDefault="002B44B3" w:rsidP="001B380F">
      <w:pPr>
        <w:pStyle w:val="NoSpacing"/>
        <w:ind w:left="567" w:hanging="567"/>
        <w:jc w:val="both"/>
      </w:pPr>
    </w:p>
    <w:p w14:paraId="743FEF21" w14:textId="0876FDFF" w:rsidR="007F1A06" w:rsidRPr="007F1A06" w:rsidRDefault="007F1A06" w:rsidP="006D0B91">
      <w:pPr>
        <w:pStyle w:val="NoSpacing"/>
        <w:numPr>
          <w:ilvl w:val="0"/>
          <w:numId w:val="3"/>
        </w:numPr>
        <w:ind w:left="567" w:hanging="567"/>
        <w:jc w:val="both"/>
        <w:outlineLvl w:val="0"/>
        <w:rPr>
          <w:rFonts w:ascii="Arial" w:hAnsi="Arial" w:cs="Arial"/>
          <w:sz w:val="24"/>
          <w:szCs w:val="24"/>
          <w:u w:val="single"/>
        </w:rPr>
      </w:pPr>
      <w:bookmarkStart w:id="13" w:name="_Toc68772051"/>
      <w:r w:rsidRPr="007F1A06">
        <w:rPr>
          <w:rFonts w:ascii="Arial" w:hAnsi="Arial" w:cs="Arial"/>
          <w:b/>
          <w:sz w:val="24"/>
          <w:szCs w:val="24"/>
          <w:u w:val="single"/>
        </w:rPr>
        <w:t>Consideration of M</w:t>
      </w:r>
      <w:r w:rsidR="00BD706A">
        <w:rPr>
          <w:rFonts w:ascii="Arial" w:hAnsi="Arial" w:cs="Arial"/>
          <w:b/>
          <w:sz w:val="24"/>
          <w:szCs w:val="24"/>
          <w:u w:val="single"/>
        </w:rPr>
        <w:t>H</w:t>
      </w:r>
      <w:r w:rsidRPr="007F1A06">
        <w:rPr>
          <w:rFonts w:ascii="Arial" w:hAnsi="Arial" w:cs="Arial"/>
          <w:b/>
          <w:sz w:val="24"/>
          <w:szCs w:val="24"/>
          <w:u w:val="single"/>
        </w:rPr>
        <w:t>C</w:t>
      </w:r>
      <w:r w:rsidR="00BD706A">
        <w:rPr>
          <w:rFonts w:ascii="Arial" w:hAnsi="Arial" w:cs="Arial"/>
          <w:b/>
          <w:sz w:val="24"/>
          <w:szCs w:val="24"/>
          <w:u w:val="single"/>
        </w:rPr>
        <w:t>&amp;</w:t>
      </w:r>
      <w:r w:rsidRPr="007F1A06">
        <w:rPr>
          <w:rFonts w:ascii="Arial" w:hAnsi="Arial" w:cs="Arial"/>
          <w:b/>
          <w:sz w:val="24"/>
          <w:szCs w:val="24"/>
          <w:u w:val="single"/>
        </w:rPr>
        <w:t xml:space="preserve">LG Guidance on </w:t>
      </w:r>
      <w:r w:rsidR="004B60F2">
        <w:rPr>
          <w:rFonts w:ascii="Arial" w:hAnsi="Arial" w:cs="Arial"/>
          <w:b/>
          <w:sz w:val="24"/>
          <w:szCs w:val="24"/>
          <w:u w:val="single"/>
        </w:rPr>
        <w:t>C</w:t>
      </w:r>
      <w:r w:rsidRPr="007F1A06">
        <w:rPr>
          <w:rFonts w:ascii="Arial" w:hAnsi="Arial" w:cs="Arial"/>
          <w:b/>
          <w:sz w:val="24"/>
          <w:szCs w:val="24"/>
          <w:u w:val="single"/>
        </w:rPr>
        <w:t>ompulsory Purchase.</w:t>
      </w:r>
      <w:bookmarkEnd w:id="13"/>
    </w:p>
    <w:p w14:paraId="53C5B24F" w14:textId="77777777" w:rsidR="007F1A06" w:rsidRPr="007F1A06" w:rsidRDefault="007F1A06" w:rsidP="007F1A06">
      <w:pPr>
        <w:pStyle w:val="Default"/>
        <w:jc w:val="both"/>
        <w:rPr>
          <w:u w:val="single"/>
        </w:rPr>
      </w:pPr>
    </w:p>
    <w:p w14:paraId="62565B23" w14:textId="57FAE04C" w:rsidR="007F1A06" w:rsidRPr="00EE35E5" w:rsidRDefault="007F1A06" w:rsidP="006D0B91">
      <w:pPr>
        <w:pStyle w:val="NoSpacing"/>
        <w:numPr>
          <w:ilvl w:val="1"/>
          <w:numId w:val="3"/>
        </w:numPr>
        <w:ind w:left="567" w:hanging="567"/>
        <w:jc w:val="both"/>
        <w:rPr>
          <w:rFonts w:ascii="Arial" w:hAnsi="Arial" w:cs="Arial"/>
          <w:sz w:val="24"/>
          <w:szCs w:val="24"/>
        </w:rPr>
      </w:pPr>
      <w:r w:rsidRPr="00EE35E5">
        <w:rPr>
          <w:rFonts w:ascii="Arial" w:hAnsi="Arial" w:cs="Arial"/>
          <w:sz w:val="24"/>
          <w:szCs w:val="24"/>
        </w:rPr>
        <w:t xml:space="preserve">The proposed compulsory purchase order meets the advice set out </w:t>
      </w:r>
      <w:r w:rsidR="003D5F63" w:rsidRPr="00EE35E5">
        <w:rPr>
          <w:rFonts w:ascii="Arial" w:hAnsi="Arial" w:cs="Arial"/>
          <w:sz w:val="24"/>
          <w:szCs w:val="24"/>
        </w:rPr>
        <w:t xml:space="preserve">in </w:t>
      </w:r>
      <w:r w:rsidR="00453356">
        <w:rPr>
          <w:rFonts w:ascii="Arial" w:hAnsi="Arial" w:cs="Arial"/>
          <w:sz w:val="24"/>
          <w:szCs w:val="24"/>
        </w:rPr>
        <w:t>the Ministry of</w:t>
      </w:r>
      <w:r w:rsidRPr="00EE35E5">
        <w:rPr>
          <w:rFonts w:ascii="Arial" w:hAnsi="Arial" w:cs="Arial"/>
          <w:sz w:val="24"/>
          <w:szCs w:val="24"/>
        </w:rPr>
        <w:t xml:space="preserve"> </w:t>
      </w:r>
      <w:r w:rsidR="00453356">
        <w:rPr>
          <w:rFonts w:ascii="Arial" w:hAnsi="Arial" w:cs="Arial"/>
          <w:sz w:val="24"/>
          <w:szCs w:val="24"/>
        </w:rPr>
        <w:t xml:space="preserve">Housing, </w:t>
      </w:r>
      <w:r w:rsidRPr="00EE35E5">
        <w:rPr>
          <w:rFonts w:ascii="Arial" w:hAnsi="Arial" w:cs="Arial"/>
          <w:sz w:val="24"/>
          <w:szCs w:val="24"/>
        </w:rPr>
        <w:t>Communities and Local Government “Guidance on Compulsory purchase process and The Crichel Down Rules</w:t>
      </w:r>
      <w:r w:rsidR="00256EB4">
        <w:rPr>
          <w:rFonts w:ascii="Arial" w:hAnsi="Arial" w:cs="Arial"/>
          <w:sz w:val="24"/>
          <w:szCs w:val="24"/>
        </w:rPr>
        <w:t>”</w:t>
      </w:r>
      <w:r w:rsidRPr="00EE35E5">
        <w:rPr>
          <w:rFonts w:ascii="Arial" w:hAnsi="Arial" w:cs="Arial"/>
          <w:sz w:val="24"/>
          <w:szCs w:val="24"/>
        </w:rPr>
        <w:t xml:space="preserve"> (Revised 2019) </w:t>
      </w:r>
    </w:p>
    <w:p w14:paraId="25F330C6" w14:textId="77777777" w:rsidR="007F1A06" w:rsidRPr="00EE35E5" w:rsidRDefault="007F1A06" w:rsidP="007F1A06">
      <w:pPr>
        <w:pStyle w:val="Default"/>
        <w:jc w:val="both"/>
      </w:pPr>
    </w:p>
    <w:p w14:paraId="3949ABB9" w14:textId="77777777" w:rsidR="00687980" w:rsidRPr="00CB7DB7" w:rsidRDefault="007F1A06" w:rsidP="006D0B91">
      <w:pPr>
        <w:pStyle w:val="NoSpacing"/>
        <w:numPr>
          <w:ilvl w:val="1"/>
          <w:numId w:val="3"/>
        </w:numPr>
        <w:ind w:left="567" w:hanging="567"/>
        <w:jc w:val="both"/>
        <w:rPr>
          <w:rFonts w:ascii="Arial" w:hAnsi="Arial" w:cs="Arial"/>
          <w:sz w:val="24"/>
          <w:szCs w:val="24"/>
        </w:rPr>
      </w:pPr>
      <w:r w:rsidRPr="00CB7DB7">
        <w:rPr>
          <w:rFonts w:ascii="Arial" w:hAnsi="Arial" w:cs="Arial"/>
          <w:sz w:val="24"/>
          <w:szCs w:val="24"/>
        </w:rPr>
        <w:t>There is a compelling case in the public interest – the proposed redevelopment will deliver significantly improved</w:t>
      </w:r>
      <w:r w:rsidR="00A34C95" w:rsidRPr="00CB7DB7">
        <w:rPr>
          <w:rFonts w:ascii="Arial" w:hAnsi="Arial" w:cs="Arial"/>
          <w:sz w:val="24"/>
          <w:szCs w:val="24"/>
        </w:rPr>
        <w:t xml:space="preserve"> housing both in terms of the replacement housing stock but also the design and layout of the redeveloped areas of the Pool Farm estate. </w:t>
      </w:r>
      <w:r w:rsidRPr="00CB7DB7">
        <w:rPr>
          <w:rFonts w:ascii="Arial" w:hAnsi="Arial" w:cs="Arial"/>
          <w:sz w:val="24"/>
          <w:szCs w:val="24"/>
        </w:rPr>
        <w:t xml:space="preserve"> </w:t>
      </w:r>
    </w:p>
    <w:p w14:paraId="5A4DB6C4" w14:textId="77777777" w:rsidR="00687980" w:rsidRPr="00CB7DB7" w:rsidRDefault="00687980" w:rsidP="00CB7DB7">
      <w:pPr>
        <w:pStyle w:val="NoSpacing"/>
        <w:ind w:left="709"/>
        <w:jc w:val="both"/>
        <w:rPr>
          <w:rFonts w:ascii="Arial" w:hAnsi="Arial" w:cs="Arial"/>
          <w:sz w:val="24"/>
          <w:szCs w:val="24"/>
        </w:rPr>
      </w:pPr>
    </w:p>
    <w:p w14:paraId="1740B599" w14:textId="77777777" w:rsidR="00687980" w:rsidRPr="00CB7DB7" w:rsidRDefault="007F1A06" w:rsidP="006D0B91">
      <w:pPr>
        <w:pStyle w:val="NoSpacing"/>
        <w:numPr>
          <w:ilvl w:val="1"/>
          <w:numId w:val="3"/>
        </w:numPr>
        <w:ind w:left="567" w:hanging="567"/>
        <w:jc w:val="both"/>
        <w:rPr>
          <w:rFonts w:ascii="Arial" w:hAnsi="Arial" w:cs="Arial"/>
          <w:sz w:val="24"/>
          <w:szCs w:val="24"/>
        </w:rPr>
      </w:pPr>
      <w:r w:rsidRPr="00CB7DB7">
        <w:rPr>
          <w:rFonts w:ascii="Arial" w:hAnsi="Arial" w:cs="Arial"/>
          <w:sz w:val="24"/>
          <w:szCs w:val="24"/>
        </w:rPr>
        <w:lastRenderedPageBreak/>
        <w:t xml:space="preserve">The Council has considered Human Rights and in taking a balanced view between the intentions of the acquiring authority, the concerns of those with an interest in the land and the wider public interest, the making of the order can be justified. Further details on Human Rights issues are set out under Section </w:t>
      </w:r>
      <w:r w:rsidR="00C6302A" w:rsidRPr="00CB7DB7">
        <w:rPr>
          <w:rFonts w:ascii="Arial" w:hAnsi="Arial" w:cs="Arial"/>
          <w:sz w:val="24"/>
          <w:szCs w:val="24"/>
        </w:rPr>
        <w:t>1</w:t>
      </w:r>
      <w:r w:rsidR="00F23EF8" w:rsidRPr="00CB7DB7">
        <w:rPr>
          <w:rFonts w:ascii="Arial" w:hAnsi="Arial" w:cs="Arial"/>
          <w:sz w:val="24"/>
          <w:szCs w:val="24"/>
        </w:rPr>
        <w:t>3</w:t>
      </w:r>
      <w:r w:rsidR="00C6302A" w:rsidRPr="00CB7DB7">
        <w:rPr>
          <w:rFonts w:ascii="Arial" w:hAnsi="Arial" w:cs="Arial"/>
          <w:sz w:val="24"/>
          <w:szCs w:val="24"/>
        </w:rPr>
        <w:t>.</w:t>
      </w:r>
      <w:r w:rsidRPr="00CB7DB7">
        <w:rPr>
          <w:rFonts w:ascii="Arial" w:hAnsi="Arial" w:cs="Arial"/>
          <w:sz w:val="24"/>
          <w:szCs w:val="24"/>
        </w:rPr>
        <w:t xml:space="preserve"> </w:t>
      </w:r>
    </w:p>
    <w:p w14:paraId="28835E8A" w14:textId="77777777" w:rsidR="00687980" w:rsidRPr="00CB7DB7" w:rsidRDefault="00687980" w:rsidP="00CB7DB7">
      <w:pPr>
        <w:pStyle w:val="NoSpacing"/>
        <w:ind w:left="709"/>
        <w:jc w:val="both"/>
        <w:rPr>
          <w:rFonts w:ascii="Arial" w:hAnsi="Arial" w:cs="Arial"/>
          <w:sz w:val="24"/>
          <w:szCs w:val="24"/>
        </w:rPr>
      </w:pPr>
    </w:p>
    <w:p w14:paraId="399A4E05" w14:textId="77777777" w:rsidR="00687980" w:rsidRPr="00595C93" w:rsidRDefault="007F1A06" w:rsidP="006D0B91">
      <w:pPr>
        <w:pStyle w:val="NoSpacing"/>
        <w:numPr>
          <w:ilvl w:val="1"/>
          <w:numId w:val="3"/>
        </w:numPr>
        <w:ind w:left="567" w:hanging="567"/>
        <w:jc w:val="both"/>
        <w:rPr>
          <w:rFonts w:ascii="Arial" w:hAnsi="Arial" w:cs="Arial"/>
          <w:sz w:val="24"/>
          <w:szCs w:val="24"/>
        </w:rPr>
      </w:pPr>
      <w:r w:rsidRPr="00595C93">
        <w:rPr>
          <w:rFonts w:ascii="Arial" w:hAnsi="Arial" w:cs="Arial"/>
          <w:sz w:val="24"/>
          <w:szCs w:val="24"/>
        </w:rPr>
        <w:t>There are clear proposals for the acquired property. Planning consent was obtained on</w:t>
      </w:r>
      <w:r w:rsidR="00A34C95" w:rsidRPr="00595C93">
        <w:rPr>
          <w:rFonts w:ascii="Arial" w:hAnsi="Arial" w:cs="Arial"/>
          <w:sz w:val="24"/>
          <w:szCs w:val="24"/>
        </w:rPr>
        <w:t xml:space="preserve"> </w:t>
      </w:r>
      <w:r w:rsidR="00572FF4" w:rsidRPr="00595C93">
        <w:rPr>
          <w:rFonts w:ascii="Arial" w:hAnsi="Arial" w:cs="Arial"/>
          <w:sz w:val="24"/>
          <w:szCs w:val="24"/>
        </w:rPr>
        <w:t xml:space="preserve">4th March 2021 </w:t>
      </w:r>
      <w:r w:rsidR="00A34C95" w:rsidRPr="00595C93">
        <w:rPr>
          <w:rFonts w:ascii="Arial" w:hAnsi="Arial" w:cs="Arial"/>
          <w:sz w:val="24"/>
          <w:szCs w:val="24"/>
        </w:rPr>
        <w:t xml:space="preserve">for </w:t>
      </w:r>
      <w:r w:rsidRPr="00595C93">
        <w:rPr>
          <w:rFonts w:ascii="Arial" w:hAnsi="Arial" w:cs="Arial"/>
          <w:sz w:val="24"/>
          <w:szCs w:val="24"/>
        </w:rPr>
        <w:t>the residential development of the site</w:t>
      </w:r>
      <w:r w:rsidR="00A34C95" w:rsidRPr="00595C93">
        <w:rPr>
          <w:rFonts w:ascii="Arial" w:hAnsi="Arial" w:cs="Arial"/>
          <w:sz w:val="24"/>
          <w:szCs w:val="24"/>
        </w:rPr>
        <w:t>s</w:t>
      </w:r>
      <w:r w:rsidRPr="00595C93">
        <w:rPr>
          <w:rFonts w:ascii="Arial" w:hAnsi="Arial" w:cs="Arial"/>
          <w:sz w:val="24"/>
          <w:szCs w:val="24"/>
        </w:rPr>
        <w:t xml:space="preserve"> and adjoining land (planning application reference:</w:t>
      </w:r>
      <w:r w:rsidR="00C6302A" w:rsidRPr="00595C93">
        <w:rPr>
          <w:rFonts w:ascii="Arial" w:hAnsi="Arial" w:cs="Arial"/>
          <w:sz w:val="24"/>
          <w:szCs w:val="24"/>
        </w:rPr>
        <w:t xml:space="preserve"> </w:t>
      </w:r>
      <w:r w:rsidR="00CC06D0" w:rsidRPr="00595C93">
        <w:rPr>
          <w:rFonts w:ascii="Arial" w:hAnsi="Arial" w:cs="Arial"/>
          <w:sz w:val="24"/>
          <w:szCs w:val="24"/>
        </w:rPr>
        <w:t>2020/08312/PA and 2020/08270/PA</w:t>
      </w:r>
      <w:r w:rsidRPr="00595C93">
        <w:rPr>
          <w:rFonts w:ascii="Arial" w:hAnsi="Arial" w:cs="Arial"/>
          <w:sz w:val="24"/>
          <w:szCs w:val="24"/>
        </w:rPr>
        <w:t>).</w:t>
      </w:r>
    </w:p>
    <w:p w14:paraId="6FAFF08D" w14:textId="77777777" w:rsidR="00687980" w:rsidRPr="00595C93" w:rsidRDefault="00687980" w:rsidP="00595C93">
      <w:pPr>
        <w:pStyle w:val="NoSpacing"/>
        <w:ind w:left="709"/>
        <w:jc w:val="both"/>
        <w:rPr>
          <w:rFonts w:ascii="Arial" w:hAnsi="Arial" w:cs="Arial"/>
          <w:sz w:val="24"/>
          <w:szCs w:val="24"/>
        </w:rPr>
      </w:pPr>
    </w:p>
    <w:p w14:paraId="6C372DA1" w14:textId="77777777" w:rsidR="00687980" w:rsidRPr="00595C93" w:rsidRDefault="007F1A06" w:rsidP="006D0B91">
      <w:pPr>
        <w:pStyle w:val="NoSpacing"/>
        <w:numPr>
          <w:ilvl w:val="1"/>
          <w:numId w:val="3"/>
        </w:numPr>
        <w:ind w:left="567" w:hanging="567"/>
        <w:jc w:val="both"/>
        <w:rPr>
          <w:rFonts w:ascii="Arial" w:hAnsi="Arial" w:cs="Arial"/>
          <w:sz w:val="24"/>
          <w:szCs w:val="24"/>
        </w:rPr>
      </w:pPr>
      <w:r w:rsidRPr="00595C93">
        <w:rPr>
          <w:rFonts w:ascii="Arial" w:hAnsi="Arial" w:cs="Arial"/>
          <w:sz w:val="24"/>
          <w:szCs w:val="24"/>
        </w:rPr>
        <w:t xml:space="preserve">The development proposals and the compulsory purchase order will deliver a significant qualitative housing gain. </w:t>
      </w:r>
    </w:p>
    <w:p w14:paraId="1BDE5BB9" w14:textId="77777777" w:rsidR="00687980" w:rsidRPr="00595C93" w:rsidRDefault="00687980" w:rsidP="00595C93">
      <w:pPr>
        <w:pStyle w:val="NoSpacing"/>
        <w:ind w:left="709"/>
        <w:jc w:val="both"/>
        <w:rPr>
          <w:rFonts w:ascii="Arial" w:hAnsi="Arial" w:cs="Arial"/>
          <w:sz w:val="24"/>
          <w:szCs w:val="24"/>
        </w:rPr>
      </w:pPr>
    </w:p>
    <w:p w14:paraId="74DD5A37" w14:textId="77777777" w:rsidR="00687980" w:rsidRPr="00595C93" w:rsidRDefault="007F1A06" w:rsidP="006D0B91">
      <w:pPr>
        <w:pStyle w:val="NoSpacing"/>
        <w:numPr>
          <w:ilvl w:val="1"/>
          <w:numId w:val="3"/>
        </w:numPr>
        <w:ind w:left="567" w:hanging="567"/>
        <w:jc w:val="both"/>
        <w:rPr>
          <w:rFonts w:ascii="Arial" w:hAnsi="Arial" w:cs="Arial"/>
          <w:sz w:val="24"/>
          <w:szCs w:val="24"/>
        </w:rPr>
      </w:pPr>
      <w:r w:rsidRPr="00595C93">
        <w:rPr>
          <w:rFonts w:ascii="Arial" w:hAnsi="Arial" w:cs="Arial"/>
          <w:sz w:val="24"/>
          <w:szCs w:val="24"/>
        </w:rPr>
        <w:t xml:space="preserve">There is funding for the proposed development and an agreed development programme that will see the new properties, subject to the confirmation of the Order, delivered </w:t>
      </w:r>
      <w:r w:rsidR="00572FF4" w:rsidRPr="00595C93">
        <w:rPr>
          <w:rFonts w:ascii="Arial" w:hAnsi="Arial" w:cs="Arial"/>
          <w:sz w:val="24"/>
          <w:szCs w:val="24"/>
        </w:rPr>
        <w:t xml:space="preserve">between 2022 and </w:t>
      </w:r>
      <w:r w:rsidRPr="00595C93">
        <w:rPr>
          <w:rFonts w:ascii="Arial" w:hAnsi="Arial" w:cs="Arial"/>
          <w:sz w:val="24"/>
          <w:szCs w:val="24"/>
        </w:rPr>
        <w:t>20</w:t>
      </w:r>
      <w:r w:rsidR="00CC06D0" w:rsidRPr="00595C93">
        <w:rPr>
          <w:rFonts w:ascii="Arial" w:hAnsi="Arial" w:cs="Arial"/>
          <w:sz w:val="24"/>
          <w:szCs w:val="24"/>
        </w:rPr>
        <w:t>2</w:t>
      </w:r>
      <w:r w:rsidR="00572FF4" w:rsidRPr="00595C93">
        <w:rPr>
          <w:rFonts w:ascii="Arial" w:hAnsi="Arial" w:cs="Arial"/>
          <w:sz w:val="24"/>
          <w:szCs w:val="24"/>
        </w:rPr>
        <w:t>6</w:t>
      </w:r>
      <w:r w:rsidRPr="00595C93">
        <w:rPr>
          <w:rFonts w:ascii="Arial" w:hAnsi="Arial" w:cs="Arial"/>
          <w:sz w:val="24"/>
          <w:szCs w:val="24"/>
        </w:rPr>
        <w:t>.</w:t>
      </w:r>
    </w:p>
    <w:p w14:paraId="6ADAE7CA" w14:textId="77777777" w:rsidR="00687980" w:rsidRPr="00595C93" w:rsidRDefault="00687980" w:rsidP="00595C93">
      <w:pPr>
        <w:pStyle w:val="NoSpacing"/>
        <w:ind w:left="709"/>
        <w:jc w:val="both"/>
        <w:rPr>
          <w:rFonts w:ascii="Arial" w:hAnsi="Arial" w:cs="Arial"/>
          <w:sz w:val="24"/>
          <w:szCs w:val="24"/>
        </w:rPr>
      </w:pPr>
    </w:p>
    <w:p w14:paraId="0B78A170" w14:textId="77777777" w:rsidR="00687980" w:rsidRPr="00595C93" w:rsidRDefault="007F1A06" w:rsidP="006D0B91">
      <w:pPr>
        <w:pStyle w:val="NoSpacing"/>
        <w:numPr>
          <w:ilvl w:val="1"/>
          <w:numId w:val="3"/>
        </w:numPr>
        <w:ind w:left="567" w:hanging="567"/>
        <w:jc w:val="both"/>
        <w:rPr>
          <w:rFonts w:ascii="Arial" w:hAnsi="Arial" w:cs="Arial"/>
          <w:sz w:val="24"/>
          <w:szCs w:val="24"/>
        </w:rPr>
      </w:pPr>
      <w:r w:rsidRPr="00595C93">
        <w:rPr>
          <w:rFonts w:ascii="Arial" w:hAnsi="Arial" w:cs="Arial"/>
          <w:sz w:val="24"/>
          <w:szCs w:val="24"/>
        </w:rPr>
        <w:t>There are no known impediments to the development taking place other than for the acquisition of outstanding land interests and the successful rehousing of existing residents</w:t>
      </w:r>
      <w:r w:rsidR="00687980" w:rsidRPr="00595C93">
        <w:rPr>
          <w:rFonts w:ascii="Arial" w:hAnsi="Arial" w:cs="Arial"/>
          <w:sz w:val="24"/>
          <w:szCs w:val="24"/>
        </w:rPr>
        <w:t>.</w:t>
      </w:r>
    </w:p>
    <w:p w14:paraId="2DD5F737" w14:textId="77777777" w:rsidR="00687980" w:rsidRPr="00595C93" w:rsidRDefault="00687980" w:rsidP="00595C93">
      <w:pPr>
        <w:pStyle w:val="NoSpacing"/>
        <w:ind w:left="709"/>
        <w:jc w:val="both"/>
        <w:rPr>
          <w:rFonts w:ascii="Arial" w:hAnsi="Arial" w:cs="Arial"/>
          <w:sz w:val="24"/>
          <w:szCs w:val="24"/>
        </w:rPr>
      </w:pPr>
    </w:p>
    <w:p w14:paraId="0CFC7C38" w14:textId="77777777" w:rsidR="00687980" w:rsidRPr="00595C93" w:rsidRDefault="007F1A06" w:rsidP="006D0B91">
      <w:pPr>
        <w:pStyle w:val="NoSpacing"/>
        <w:numPr>
          <w:ilvl w:val="1"/>
          <w:numId w:val="3"/>
        </w:numPr>
        <w:ind w:left="567" w:hanging="567"/>
        <w:jc w:val="both"/>
        <w:rPr>
          <w:rFonts w:ascii="Arial" w:hAnsi="Arial" w:cs="Arial"/>
          <w:sz w:val="24"/>
          <w:szCs w:val="24"/>
        </w:rPr>
      </w:pPr>
      <w:r w:rsidRPr="00595C93">
        <w:rPr>
          <w:rFonts w:ascii="Arial" w:hAnsi="Arial" w:cs="Arial"/>
          <w:sz w:val="24"/>
          <w:szCs w:val="24"/>
        </w:rPr>
        <w:t>The proposals are being brought forward within a clear strategic framework – both in terms of the Council’s response to the current housing conditions and the redevelopment proposals according with planning policy and guidance</w:t>
      </w:r>
      <w:r w:rsidR="004A5341" w:rsidRPr="00595C93">
        <w:rPr>
          <w:rFonts w:ascii="Arial" w:hAnsi="Arial" w:cs="Arial"/>
          <w:sz w:val="24"/>
          <w:szCs w:val="24"/>
        </w:rPr>
        <w:t>, including local consultation and the Kings Norton Planning Framework</w:t>
      </w:r>
      <w:r w:rsidRPr="00595C93">
        <w:rPr>
          <w:rFonts w:ascii="Arial" w:hAnsi="Arial" w:cs="Arial"/>
          <w:sz w:val="24"/>
          <w:szCs w:val="24"/>
        </w:rPr>
        <w:t xml:space="preserve">. </w:t>
      </w:r>
    </w:p>
    <w:p w14:paraId="4D363B32" w14:textId="77777777" w:rsidR="00687980" w:rsidRPr="00595C93" w:rsidRDefault="00687980" w:rsidP="001C0F8E">
      <w:pPr>
        <w:pStyle w:val="NoSpacing"/>
        <w:ind w:left="709"/>
        <w:jc w:val="both"/>
        <w:rPr>
          <w:rFonts w:ascii="Arial" w:hAnsi="Arial" w:cs="Arial"/>
          <w:sz w:val="24"/>
          <w:szCs w:val="24"/>
        </w:rPr>
      </w:pPr>
    </w:p>
    <w:p w14:paraId="711AC457" w14:textId="64C8EB0C" w:rsidR="00687980" w:rsidRPr="001C0F8E" w:rsidRDefault="007F1A06" w:rsidP="006D0B91">
      <w:pPr>
        <w:pStyle w:val="NoSpacing"/>
        <w:numPr>
          <w:ilvl w:val="1"/>
          <w:numId w:val="3"/>
        </w:numPr>
        <w:ind w:left="567" w:hanging="567"/>
        <w:jc w:val="both"/>
        <w:rPr>
          <w:rFonts w:ascii="Arial" w:hAnsi="Arial" w:cs="Arial"/>
          <w:sz w:val="24"/>
          <w:szCs w:val="24"/>
        </w:rPr>
      </w:pPr>
      <w:r w:rsidRPr="001C0F8E">
        <w:rPr>
          <w:rFonts w:ascii="Arial" w:hAnsi="Arial" w:cs="Arial"/>
          <w:sz w:val="24"/>
          <w:szCs w:val="24"/>
        </w:rPr>
        <w:t xml:space="preserve">The proposed redevelopment could not be achieved by any other means in that the Council has considered options for the existing </w:t>
      </w:r>
      <w:r w:rsidR="004A5341" w:rsidRPr="001C0F8E">
        <w:rPr>
          <w:rFonts w:ascii="Arial" w:hAnsi="Arial" w:cs="Arial"/>
          <w:sz w:val="24"/>
          <w:szCs w:val="24"/>
        </w:rPr>
        <w:t>properties</w:t>
      </w:r>
      <w:r w:rsidRPr="001C0F8E">
        <w:rPr>
          <w:rFonts w:ascii="Arial" w:hAnsi="Arial" w:cs="Arial"/>
          <w:sz w:val="24"/>
          <w:szCs w:val="24"/>
        </w:rPr>
        <w:t xml:space="preserve"> </w:t>
      </w:r>
      <w:r w:rsidR="00FD5D84" w:rsidRPr="001C0F8E">
        <w:rPr>
          <w:rFonts w:ascii="Arial" w:hAnsi="Arial" w:cs="Arial"/>
          <w:sz w:val="24"/>
          <w:szCs w:val="24"/>
        </w:rPr>
        <w:t xml:space="preserve">in the Housing Clearance Report 14th February 2017 </w:t>
      </w:r>
      <w:r w:rsidRPr="001C0F8E">
        <w:rPr>
          <w:rFonts w:ascii="Arial" w:hAnsi="Arial" w:cs="Arial"/>
          <w:sz w:val="24"/>
          <w:szCs w:val="24"/>
        </w:rPr>
        <w:t xml:space="preserve">and is best placed to bring forward redevelopment proposals for the area. The Council has a successful track record in </w:t>
      </w:r>
      <w:r w:rsidR="004A5341" w:rsidRPr="001C0F8E">
        <w:rPr>
          <w:rFonts w:ascii="Arial" w:hAnsi="Arial" w:cs="Arial"/>
          <w:sz w:val="24"/>
          <w:szCs w:val="24"/>
        </w:rPr>
        <w:t xml:space="preserve">estate regeneration and delivering new housing – as demonstrated across the wider </w:t>
      </w:r>
      <w:r w:rsidR="005613BB" w:rsidRPr="001C0F8E">
        <w:rPr>
          <w:rFonts w:ascii="Arial" w:hAnsi="Arial" w:cs="Arial"/>
          <w:sz w:val="24"/>
          <w:szCs w:val="24"/>
        </w:rPr>
        <w:t xml:space="preserve">Three </w:t>
      </w:r>
      <w:r w:rsidR="004A5341" w:rsidRPr="001C0F8E">
        <w:rPr>
          <w:rFonts w:ascii="Arial" w:hAnsi="Arial" w:cs="Arial"/>
          <w:sz w:val="24"/>
          <w:szCs w:val="24"/>
        </w:rPr>
        <w:t xml:space="preserve">Estates area where significant progress has been made in delivering high quality new homes for local people. </w:t>
      </w:r>
      <w:r w:rsidR="005B06C1" w:rsidRPr="001C0F8E">
        <w:rPr>
          <w:rFonts w:ascii="Arial" w:hAnsi="Arial" w:cs="Arial"/>
          <w:sz w:val="24"/>
          <w:szCs w:val="24"/>
        </w:rPr>
        <w:t xml:space="preserve">The Council has delivered a number of other successful housing regeneration schemes in south Birmingham including the </w:t>
      </w:r>
      <w:r w:rsidR="008C7001" w:rsidRPr="001C0F8E">
        <w:rPr>
          <w:rFonts w:ascii="Arial" w:hAnsi="Arial" w:cs="Arial"/>
          <w:sz w:val="24"/>
          <w:szCs w:val="24"/>
        </w:rPr>
        <w:t xml:space="preserve">Lyndhurst, Meadway </w:t>
      </w:r>
      <w:r w:rsidR="005B06C1" w:rsidRPr="001C0F8E">
        <w:rPr>
          <w:rFonts w:ascii="Arial" w:hAnsi="Arial" w:cs="Arial"/>
          <w:sz w:val="24"/>
          <w:szCs w:val="24"/>
        </w:rPr>
        <w:t xml:space="preserve">and </w:t>
      </w:r>
      <w:r w:rsidR="008C7001" w:rsidRPr="001C0F8E">
        <w:rPr>
          <w:rFonts w:ascii="Arial" w:hAnsi="Arial" w:cs="Arial"/>
          <w:sz w:val="24"/>
          <w:szCs w:val="24"/>
        </w:rPr>
        <w:t xml:space="preserve">Primrose </w:t>
      </w:r>
      <w:r w:rsidR="005B06C1" w:rsidRPr="001C0F8E">
        <w:rPr>
          <w:rFonts w:ascii="Arial" w:hAnsi="Arial" w:cs="Arial"/>
          <w:sz w:val="24"/>
          <w:szCs w:val="24"/>
        </w:rPr>
        <w:t>estates and many other schemes across the wider city.</w:t>
      </w:r>
      <w:r w:rsidR="00BF25AD" w:rsidRPr="001C0F8E">
        <w:rPr>
          <w:rFonts w:ascii="Arial" w:hAnsi="Arial" w:cs="Arial"/>
          <w:sz w:val="24"/>
          <w:szCs w:val="24"/>
        </w:rPr>
        <w:t xml:space="preserve"> Examples of these developments are included at BCC</w:t>
      </w:r>
      <w:r w:rsidR="008C7001" w:rsidRPr="001C0F8E">
        <w:rPr>
          <w:rFonts w:ascii="Arial" w:hAnsi="Arial" w:cs="Arial"/>
          <w:sz w:val="24"/>
          <w:szCs w:val="24"/>
        </w:rPr>
        <w:t>2</w:t>
      </w:r>
      <w:r w:rsidR="008F4EF4" w:rsidRPr="001C0F8E">
        <w:rPr>
          <w:rFonts w:ascii="Arial" w:hAnsi="Arial" w:cs="Arial"/>
          <w:sz w:val="24"/>
          <w:szCs w:val="24"/>
        </w:rPr>
        <w:t>1</w:t>
      </w:r>
      <w:r w:rsidR="00687980" w:rsidRPr="001C0F8E">
        <w:rPr>
          <w:rFonts w:ascii="Arial" w:hAnsi="Arial" w:cs="Arial"/>
          <w:sz w:val="24"/>
          <w:szCs w:val="24"/>
        </w:rPr>
        <w:t>.</w:t>
      </w:r>
    </w:p>
    <w:p w14:paraId="2AEB299E" w14:textId="77777777" w:rsidR="00687980" w:rsidRPr="001C0F8E" w:rsidRDefault="00687980" w:rsidP="001C0F8E">
      <w:pPr>
        <w:pStyle w:val="NoSpacing"/>
        <w:ind w:left="709"/>
        <w:jc w:val="both"/>
        <w:rPr>
          <w:rFonts w:ascii="Arial" w:hAnsi="Arial" w:cs="Arial"/>
          <w:sz w:val="24"/>
          <w:szCs w:val="24"/>
        </w:rPr>
      </w:pPr>
    </w:p>
    <w:p w14:paraId="49055A58" w14:textId="4E7BBA72" w:rsidR="007F1A06" w:rsidRPr="001C0F8E" w:rsidRDefault="007F1A06" w:rsidP="006D0B91">
      <w:pPr>
        <w:pStyle w:val="NoSpacing"/>
        <w:numPr>
          <w:ilvl w:val="1"/>
          <w:numId w:val="3"/>
        </w:numPr>
        <w:ind w:left="567" w:hanging="567"/>
        <w:jc w:val="both"/>
        <w:rPr>
          <w:rFonts w:ascii="Arial" w:hAnsi="Arial" w:cs="Arial"/>
          <w:sz w:val="24"/>
          <w:szCs w:val="24"/>
        </w:rPr>
      </w:pPr>
      <w:r w:rsidRPr="001C0F8E">
        <w:rPr>
          <w:rFonts w:ascii="Arial" w:hAnsi="Arial" w:cs="Arial"/>
          <w:sz w:val="24"/>
          <w:szCs w:val="24"/>
        </w:rPr>
        <w:t>The new properties will have better design, setting, layout and access arrangements which will contribute towards enhanced safety, security and general amenity. They will have more conveniently located and safe curtilage parking as well as secure, private garden space. They will also be built to higher energy efficiency standards</w:t>
      </w:r>
      <w:r w:rsidR="006033B7" w:rsidRPr="001C0F8E">
        <w:rPr>
          <w:rFonts w:ascii="Arial" w:hAnsi="Arial" w:cs="Arial"/>
          <w:sz w:val="24"/>
          <w:szCs w:val="24"/>
        </w:rPr>
        <w:t xml:space="preserve"> and overall the </w:t>
      </w:r>
      <w:r w:rsidR="004B60F2" w:rsidRPr="001C0F8E">
        <w:rPr>
          <w:rFonts w:ascii="Arial" w:hAnsi="Arial" w:cs="Arial"/>
          <w:sz w:val="24"/>
          <w:szCs w:val="24"/>
        </w:rPr>
        <w:t>d</w:t>
      </w:r>
      <w:r w:rsidR="006033B7" w:rsidRPr="001C0F8E">
        <w:rPr>
          <w:rFonts w:ascii="Arial" w:hAnsi="Arial" w:cs="Arial"/>
          <w:sz w:val="24"/>
          <w:szCs w:val="24"/>
        </w:rPr>
        <w:t>evelopment will achieve a significant qualitative housing gain</w:t>
      </w:r>
      <w:r w:rsidR="00282B3C" w:rsidRPr="001C0F8E">
        <w:rPr>
          <w:rFonts w:ascii="Arial" w:hAnsi="Arial" w:cs="Arial"/>
          <w:sz w:val="24"/>
          <w:szCs w:val="24"/>
        </w:rPr>
        <w:t>.</w:t>
      </w:r>
    </w:p>
    <w:p w14:paraId="6D67C2C6" w14:textId="77777777" w:rsidR="007F1A06" w:rsidRPr="00EE35E5" w:rsidRDefault="007F1A06" w:rsidP="007F1A06">
      <w:pPr>
        <w:pStyle w:val="Default"/>
        <w:jc w:val="both"/>
      </w:pPr>
    </w:p>
    <w:p w14:paraId="3B09581E" w14:textId="7AC5AC97" w:rsidR="00E27956" w:rsidRPr="00E27956" w:rsidRDefault="007F1A06" w:rsidP="009626EC">
      <w:pPr>
        <w:pStyle w:val="NoSpacing"/>
        <w:numPr>
          <w:ilvl w:val="0"/>
          <w:numId w:val="3"/>
        </w:numPr>
        <w:ind w:left="567" w:hanging="567"/>
        <w:jc w:val="both"/>
        <w:outlineLvl w:val="0"/>
        <w:rPr>
          <w:rFonts w:ascii="Arial" w:hAnsi="Arial" w:cs="Arial"/>
          <w:sz w:val="24"/>
          <w:szCs w:val="24"/>
          <w:u w:val="single"/>
        </w:rPr>
      </w:pPr>
      <w:bookmarkStart w:id="14" w:name="_Toc68772052"/>
      <w:r w:rsidRPr="007F1A06">
        <w:rPr>
          <w:rFonts w:ascii="Arial" w:hAnsi="Arial" w:cs="Arial"/>
          <w:b/>
          <w:bCs/>
          <w:sz w:val="24"/>
          <w:szCs w:val="24"/>
          <w:u w:val="single"/>
        </w:rPr>
        <w:t>Special Considerations</w:t>
      </w:r>
      <w:bookmarkEnd w:id="14"/>
      <w:r w:rsidRPr="007F1A06">
        <w:rPr>
          <w:rFonts w:ascii="Arial" w:hAnsi="Arial" w:cs="Arial"/>
          <w:b/>
          <w:bCs/>
          <w:sz w:val="24"/>
          <w:szCs w:val="24"/>
          <w:u w:val="single"/>
        </w:rPr>
        <w:t xml:space="preserve"> </w:t>
      </w:r>
    </w:p>
    <w:p w14:paraId="66F1BE68" w14:textId="77777777" w:rsidR="00E27956" w:rsidRPr="00E27956" w:rsidRDefault="00E27956" w:rsidP="00E27956">
      <w:pPr>
        <w:pStyle w:val="NoSpacing"/>
        <w:ind w:left="360"/>
        <w:jc w:val="both"/>
        <w:rPr>
          <w:rFonts w:ascii="Arial" w:hAnsi="Arial" w:cs="Arial"/>
          <w:sz w:val="24"/>
          <w:szCs w:val="24"/>
          <w:u w:val="single"/>
        </w:rPr>
      </w:pPr>
    </w:p>
    <w:p w14:paraId="4EA992E7" w14:textId="21209CDD" w:rsidR="007F1A06" w:rsidRPr="000D0EF9" w:rsidRDefault="007F1A06" w:rsidP="008556B8">
      <w:pPr>
        <w:pStyle w:val="NoSpacing"/>
        <w:numPr>
          <w:ilvl w:val="1"/>
          <w:numId w:val="3"/>
        </w:numPr>
        <w:ind w:left="567" w:hanging="567"/>
        <w:jc w:val="both"/>
        <w:rPr>
          <w:rFonts w:ascii="Arial" w:hAnsi="Arial" w:cs="Arial"/>
          <w:sz w:val="24"/>
          <w:szCs w:val="24"/>
          <w:u w:val="single"/>
        </w:rPr>
      </w:pPr>
      <w:r w:rsidRPr="00456604">
        <w:rPr>
          <w:rFonts w:ascii="Arial" w:hAnsi="Arial" w:cs="Arial"/>
          <w:sz w:val="24"/>
          <w:szCs w:val="24"/>
        </w:rPr>
        <w:t xml:space="preserve">The Order Lands are not within a conservation area, do not contain any ancient monuments, listed buildings or any consecrated land, or lie within an area of flood risk. </w:t>
      </w:r>
    </w:p>
    <w:p w14:paraId="7B2E9968" w14:textId="77777777" w:rsidR="000D0EF9" w:rsidRPr="00456604" w:rsidRDefault="000D0EF9" w:rsidP="000D0EF9">
      <w:pPr>
        <w:pStyle w:val="NoSpacing"/>
        <w:ind w:left="360"/>
        <w:jc w:val="both"/>
        <w:rPr>
          <w:rFonts w:ascii="Arial" w:hAnsi="Arial" w:cs="Arial"/>
          <w:sz w:val="24"/>
          <w:szCs w:val="24"/>
          <w:u w:val="single"/>
        </w:rPr>
      </w:pPr>
    </w:p>
    <w:p w14:paraId="3D743602" w14:textId="62AA2E66" w:rsidR="00E27956" w:rsidRPr="00E27956" w:rsidRDefault="007F1A06" w:rsidP="000D3760">
      <w:pPr>
        <w:pStyle w:val="NoSpacing"/>
        <w:numPr>
          <w:ilvl w:val="0"/>
          <w:numId w:val="3"/>
        </w:numPr>
        <w:ind w:left="567" w:hanging="567"/>
        <w:jc w:val="both"/>
        <w:outlineLvl w:val="0"/>
        <w:rPr>
          <w:rFonts w:ascii="Arial" w:hAnsi="Arial" w:cs="Arial"/>
          <w:sz w:val="24"/>
          <w:szCs w:val="24"/>
          <w:u w:val="single"/>
        </w:rPr>
      </w:pPr>
      <w:bookmarkStart w:id="15" w:name="_Toc68772053"/>
      <w:r w:rsidRPr="007F1A06">
        <w:rPr>
          <w:rFonts w:ascii="Arial" w:hAnsi="Arial" w:cs="Arial"/>
          <w:b/>
          <w:bCs/>
          <w:sz w:val="24"/>
          <w:szCs w:val="24"/>
          <w:u w:val="single"/>
        </w:rPr>
        <w:t>Related Applications, Appeals, Orders etc</w:t>
      </w:r>
      <w:bookmarkEnd w:id="15"/>
    </w:p>
    <w:p w14:paraId="10384D28" w14:textId="77777777" w:rsidR="00E27956" w:rsidRPr="00E27956" w:rsidRDefault="00E27956" w:rsidP="00E27956">
      <w:pPr>
        <w:pStyle w:val="NoSpacing"/>
        <w:ind w:left="360"/>
        <w:jc w:val="both"/>
        <w:rPr>
          <w:rFonts w:ascii="Arial" w:hAnsi="Arial" w:cs="Arial"/>
          <w:sz w:val="24"/>
          <w:szCs w:val="24"/>
          <w:u w:val="single"/>
        </w:rPr>
      </w:pPr>
    </w:p>
    <w:p w14:paraId="71FF8B23" w14:textId="35C2E0D6" w:rsidR="007F1A06" w:rsidRPr="001C1AD1" w:rsidRDefault="007F1A06" w:rsidP="008556B8">
      <w:pPr>
        <w:pStyle w:val="NoSpacing"/>
        <w:numPr>
          <w:ilvl w:val="1"/>
          <w:numId w:val="3"/>
        </w:numPr>
        <w:ind w:left="567" w:hanging="567"/>
        <w:jc w:val="both"/>
        <w:rPr>
          <w:rFonts w:ascii="Arial" w:hAnsi="Arial" w:cs="Arial"/>
          <w:sz w:val="24"/>
          <w:szCs w:val="24"/>
        </w:rPr>
      </w:pPr>
      <w:r w:rsidRPr="00456604">
        <w:rPr>
          <w:rFonts w:ascii="Arial" w:hAnsi="Arial" w:cs="Arial"/>
          <w:sz w:val="24"/>
          <w:szCs w:val="24"/>
        </w:rPr>
        <w:t>There are no related applications, appeals or orders which will require a coordinated decision by the Secretary of State</w:t>
      </w:r>
    </w:p>
    <w:p w14:paraId="7389C4F5" w14:textId="77777777" w:rsidR="007F1A06" w:rsidRPr="004629DC" w:rsidRDefault="007F1A06" w:rsidP="007F1A06">
      <w:pPr>
        <w:pStyle w:val="Default"/>
        <w:jc w:val="both"/>
      </w:pPr>
    </w:p>
    <w:p w14:paraId="0755E5F7" w14:textId="77777777" w:rsidR="007F1A06" w:rsidRPr="007F1A06" w:rsidRDefault="007F1A06" w:rsidP="000D3760">
      <w:pPr>
        <w:pStyle w:val="NoSpacing"/>
        <w:numPr>
          <w:ilvl w:val="0"/>
          <w:numId w:val="3"/>
        </w:numPr>
        <w:ind w:left="567" w:hanging="567"/>
        <w:jc w:val="both"/>
        <w:outlineLvl w:val="0"/>
        <w:rPr>
          <w:rFonts w:ascii="Arial" w:hAnsi="Arial" w:cs="Arial"/>
          <w:b/>
          <w:bCs/>
          <w:sz w:val="24"/>
          <w:szCs w:val="24"/>
          <w:u w:val="single"/>
        </w:rPr>
      </w:pPr>
      <w:bookmarkStart w:id="16" w:name="_Toc68772054"/>
      <w:r w:rsidRPr="007F1A06">
        <w:rPr>
          <w:rFonts w:ascii="Arial" w:hAnsi="Arial" w:cs="Arial"/>
          <w:b/>
          <w:bCs/>
          <w:sz w:val="24"/>
          <w:szCs w:val="24"/>
          <w:u w:val="single"/>
        </w:rPr>
        <w:t>Human Rights and Equalities</w:t>
      </w:r>
      <w:bookmarkEnd w:id="16"/>
      <w:r w:rsidRPr="007F1A06">
        <w:rPr>
          <w:rFonts w:ascii="Arial" w:hAnsi="Arial" w:cs="Arial"/>
          <w:b/>
          <w:bCs/>
          <w:sz w:val="24"/>
          <w:szCs w:val="24"/>
          <w:u w:val="single"/>
        </w:rPr>
        <w:t xml:space="preserve"> </w:t>
      </w:r>
    </w:p>
    <w:p w14:paraId="0563EB0F" w14:textId="77777777" w:rsidR="007F1A06" w:rsidRPr="004629DC" w:rsidRDefault="007F1A06" w:rsidP="007F1A06">
      <w:pPr>
        <w:pStyle w:val="Default"/>
        <w:jc w:val="both"/>
      </w:pPr>
    </w:p>
    <w:p w14:paraId="653D4602" w14:textId="77777777" w:rsidR="007F1A06" w:rsidRPr="004629DC" w:rsidRDefault="007F1A06" w:rsidP="000D3760">
      <w:pPr>
        <w:pStyle w:val="NoSpacing"/>
        <w:numPr>
          <w:ilvl w:val="1"/>
          <w:numId w:val="3"/>
        </w:numPr>
        <w:ind w:left="567" w:hanging="567"/>
        <w:jc w:val="both"/>
        <w:rPr>
          <w:rFonts w:ascii="Arial" w:hAnsi="Arial" w:cs="Arial"/>
          <w:sz w:val="24"/>
          <w:szCs w:val="24"/>
        </w:rPr>
      </w:pPr>
      <w:r w:rsidRPr="004629DC">
        <w:rPr>
          <w:rFonts w:ascii="Arial" w:hAnsi="Arial" w:cs="Arial"/>
          <w:sz w:val="24"/>
          <w:szCs w:val="24"/>
        </w:rPr>
        <w:t xml:space="preserve">Section 6 Human Rights Act 1998 prohibits public authorities from acting in a way that is incompatible with the Convention on Human Rights. </w:t>
      </w:r>
    </w:p>
    <w:p w14:paraId="7AB3B754" w14:textId="77777777" w:rsidR="007F1A06" w:rsidRPr="001C1AD1" w:rsidRDefault="007F1A06" w:rsidP="001C1AD1">
      <w:pPr>
        <w:pStyle w:val="NoSpacing"/>
        <w:ind w:left="709"/>
        <w:jc w:val="both"/>
        <w:rPr>
          <w:rFonts w:ascii="Arial" w:hAnsi="Arial" w:cs="Arial"/>
          <w:sz w:val="24"/>
          <w:szCs w:val="24"/>
        </w:rPr>
      </w:pPr>
    </w:p>
    <w:p w14:paraId="5B8D1457" w14:textId="77777777" w:rsidR="007F1A06" w:rsidRPr="004629DC" w:rsidRDefault="007F1A06" w:rsidP="000D3760">
      <w:pPr>
        <w:pStyle w:val="NoSpacing"/>
        <w:numPr>
          <w:ilvl w:val="1"/>
          <w:numId w:val="3"/>
        </w:numPr>
        <w:ind w:left="567" w:hanging="567"/>
        <w:jc w:val="both"/>
        <w:rPr>
          <w:rFonts w:ascii="Arial" w:hAnsi="Arial" w:cs="Arial"/>
          <w:sz w:val="24"/>
          <w:szCs w:val="24"/>
        </w:rPr>
      </w:pPr>
      <w:r w:rsidRPr="004629DC">
        <w:rPr>
          <w:rFonts w:ascii="Arial" w:hAnsi="Arial" w:cs="Arial"/>
          <w:sz w:val="24"/>
          <w:szCs w:val="24"/>
        </w:rPr>
        <w:t xml:space="preserve">The main articles of the Convention which are of importance in circumstances where the Council is considering making a compulsory purchase order (CPO) are Article 8 – the right to respect for private and family life and his/her home and Article 1 of the First Protocol – the protection of property. </w:t>
      </w:r>
    </w:p>
    <w:p w14:paraId="4E522D23" w14:textId="77777777" w:rsidR="007F1A06" w:rsidRPr="004629DC" w:rsidRDefault="007F1A06" w:rsidP="007F1A06">
      <w:pPr>
        <w:pStyle w:val="Default"/>
        <w:jc w:val="both"/>
      </w:pPr>
    </w:p>
    <w:p w14:paraId="419A8842" w14:textId="7D45BEB2" w:rsidR="007F1A06" w:rsidRPr="004629DC" w:rsidRDefault="007F1A06" w:rsidP="000D3760">
      <w:pPr>
        <w:pStyle w:val="NoSpacing"/>
        <w:numPr>
          <w:ilvl w:val="1"/>
          <w:numId w:val="3"/>
        </w:numPr>
        <w:ind w:left="567" w:hanging="567"/>
        <w:jc w:val="both"/>
        <w:rPr>
          <w:rFonts w:ascii="Arial" w:hAnsi="Arial" w:cs="Arial"/>
          <w:sz w:val="24"/>
          <w:szCs w:val="24"/>
        </w:rPr>
      </w:pPr>
      <w:r w:rsidRPr="004629DC">
        <w:rPr>
          <w:rFonts w:ascii="Arial" w:hAnsi="Arial" w:cs="Arial"/>
          <w:sz w:val="24"/>
          <w:szCs w:val="24"/>
        </w:rPr>
        <w:t xml:space="preserve">The approach to be taken to give effect to rights under the Convention is also reflected </w:t>
      </w:r>
      <w:r w:rsidR="00BE23DF" w:rsidRPr="004629DC">
        <w:rPr>
          <w:rFonts w:ascii="Arial" w:hAnsi="Arial" w:cs="Arial"/>
          <w:sz w:val="24"/>
          <w:szCs w:val="24"/>
        </w:rPr>
        <w:t xml:space="preserve">in </w:t>
      </w:r>
      <w:r w:rsidR="00BE23DF">
        <w:rPr>
          <w:rFonts w:ascii="Arial" w:hAnsi="Arial" w:cs="Arial"/>
          <w:sz w:val="24"/>
          <w:szCs w:val="24"/>
        </w:rPr>
        <w:t>Ministry</w:t>
      </w:r>
      <w:r w:rsidR="002002CD">
        <w:rPr>
          <w:rFonts w:ascii="Arial" w:hAnsi="Arial" w:cs="Arial"/>
          <w:sz w:val="24"/>
          <w:szCs w:val="24"/>
        </w:rPr>
        <w:t xml:space="preserve"> of Housing Communities and Local Government </w:t>
      </w:r>
      <w:r w:rsidRPr="004629DC">
        <w:rPr>
          <w:rFonts w:ascii="Arial" w:hAnsi="Arial" w:cs="Arial"/>
          <w:sz w:val="24"/>
          <w:szCs w:val="24"/>
        </w:rPr>
        <w:t>Guidance</w:t>
      </w:r>
      <w:r w:rsidR="002002CD">
        <w:rPr>
          <w:rFonts w:ascii="Arial" w:hAnsi="Arial" w:cs="Arial"/>
          <w:sz w:val="24"/>
          <w:szCs w:val="24"/>
        </w:rPr>
        <w:t xml:space="preserve"> on </w:t>
      </w:r>
      <w:r w:rsidRPr="004629DC">
        <w:rPr>
          <w:rFonts w:ascii="Arial" w:hAnsi="Arial" w:cs="Arial"/>
          <w:sz w:val="24"/>
          <w:szCs w:val="24"/>
        </w:rPr>
        <w:t xml:space="preserve"> Compulsory Purchase </w:t>
      </w:r>
      <w:r w:rsidR="002002CD">
        <w:rPr>
          <w:rFonts w:ascii="Arial" w:hAnsi="Arial" w:cs="Arial"/>
          <w:sz w:val="24"/>
          <w:szCs w:val="24"/>
        </w:rPr>
        <w:t>p</w:t>
      </w:r>
      <w:r w:rsidRPr="004629DC">
        <w:rPr>
          <w:rFonts w:ascii="Arial" w:hAnsi="Arial" w:cs="Arial"/>
          <w:sz w:val="24"/>
          <w:szCs w:val="24"/>
        </w:rPr>
        <w:t>rocess</w:t>
      </w:r>
      <w:r w:rsidR="002002CD">
        <w:rPr>
          <w:rFonts w:ascii="Arial" w:hAnsi="Arial" w:cs="Arial"/>
          <w:sz w:val="24"/>
          <w:szCs w:val="24"/>
        </w:rPr>
        <w:t xml:space="preserve"> and The Crichel Down Rules</w:t>
      </w:r>
      <w:r w:rsidRPr="004629DC">
        <w:rPr>
          <w:rFonts w:ascii="Arial" w:hAnsi="Arial" w:cs="Arial"/>
          <w:sz w:val="24"/>
          <w:szCs w:val="24"/>
        </w:rPr>
        <w:t xml:space="preserve"> July  2019 paragraphs 12 and 13:</w:t>
      </w:r>
    </w:p>
    <w:p w14:paraId="606A1F12" w14:textId="77777777" w:rsidR="007F1A06" w:rsidRPr="004629DC" w:rsidRDefault="007F1A06" w:rsidP="007F1A06">
      <w:pPr>
        <w:pStyle w:val="Default"/>
        <w:jc w:val="both"/>
      </w:pPr>
    </w:p>
    <w:p w14:paraId="6236E03C" w14:textId="77777777" w:rsidR="007F1A06" w:rsidRDefault="007F1A06" w:rsidP="007F1A06">
      <w:pPr>
        <w:pStyle w:val="Default"/>
        <w:ind w:left="540"/>
        <w:jc w:val="both"/>
        <w:rPr>
          <w:i/>
          <w:iCs/>
        </w:rPr>
      </w:pPr>
      <w:r w:rsidRPr="00762774">
        <w:t>“</w:t>
      </w:r>
      <w:r w:rsidRPr="00762774">
        <w:rPr>
          <w:i/>
          <w:iCs/>
        </w:rPr>
        <w:t xml:space="preserve">A Compulsory Purchase Order should only be made where there is a compelling case in the public interest. An acquiring authority should be sure that the purposes for which the Compulsory Purchase Order is made justify interfering with the human rights of those with an interest in the land affected. Particular consideration should be given to the provisions of Article 1 of the First Protocol to the European Convention on Human Rights and, in the case of a dwelling, Article 8 of the Convention”. </w:t>
      </w:r>
    </w:p>
    <w:p w14:paraId="6E4550CF" w14:textId="77777777" w:rsidR="007F1A06" w:rsidRPr="00762774" w:rsidRDefault="007F1A06" w:rsidP="007F1A06">
      <w:pPr>
        <w:pStyle w:val="Default"/>
        <w:ind w:left="540"/>
        <w:jc w:val="both"/>
      </w:pPr>
    </w:p>
    <w:p w14:paraId="743A0E6E" w14:textId="77777777" w:rsidR="007F1A06" w:rsidRDefault="007F1A06" w:rsidP="007F1A06">
      <w:pPr>
        <w:pStyle w:val="Default"/>
        <w:ind w:left="540"/>
        <w:jc w:val="both"/>
        <w:rPr>
          <w:i/>
          <w:iCs/>
        </w:rPr>
      </w:pPr>
      <w:r w:rsidRPr="00762774">
        <w:t>“</w:t>
      </w:r>
      <w:r w:rsidRPr="00762774">
        <w:rPr>
          <w:i/>
          <w:iCs/>
        </w:rPr>
        <w:t xml:space="preserve">The Minister confirming the Order has to </w:t>
      </w:r>
      <w:r>
        <w:rPr>
          <w:i/>
          <w:iCs/>
        </w:rPr>
        <w:t xml:space="preserve">be able to </w:t>
      </w:r>
      <w:r w:rsidRPr="00762774">
        <w:rPr>
          <w:i/>
          <w:iCs/>
        </w:rPr>
        <w:t>take a balanced view between the intentions of the acquiring authority</w:t>
      </w:r>
      <w:r>
        <w:rPr>
          <w:i/>
          <w:iCs/>
        </w:rPr>
        <w:t xml:space="preserve"> and</w:t>
      </w:r>
      <w:r w:rsidRPr="00762774">
        <w:rPr>
          <w:i/>
          <w:iCs/>
        </w:rPr>
        <w:t xml:space="preserve">, the concerns of those with an interest in the land that it is proposing to acquire </w:t>
      </w:r>
      <w:r>
        <w:rPr>
          <w:i/>
          <w:iCs/>
        </w:rPr>
        <w:t xml:space="preserve">compulsorily </w:t>
      </w:r>
      <w:r w:rsidRPr="00762774">
        <w:rPr>
          <w:i/>
          <w:iCs/>
        </w:rPr>
        <w:t xml:space="preserve">and the wider public interest”. </w:t>
      </w:r>
    </w:p>
    <w:p w14:paraId="72488E44" w14:textId="77777777" w:rsidR="007F1A06" w:rsidRPr="004629DC" w:rsidRDefault="007F1A06" w:rsidP="007F1A06">
      <w:pPr>
        <w:pStyle w:val="Default"/>
        <w:jc w:val="both"/>
      </w:pPr>
    </w:p>
    <w:p w14:paraId="6486ADBA" w14:textId="77777777" w:rsidR="007F1A06" w:rsidRPr="004629DC" w:rsidRDefault="007F1A06" w:rsidP="000D3760">
      <w:pPr>
        <w:pStyle w:val="NoSpacing"/>
        <w:numPr>
          <w:ilvl w:val="1"/>
          <w:numId w:val="3"/>
        </w:numPr>
        <w:ind w:left="567" w:hanging="567"/>
        <w:jc w:val="both"/>
        <w:rPr>
          <w:rFonts w:ascii="Arial" w:hAnsi="Arial" w:cs="Arial"/>
          <w:sz w:val="24"/>
          <w:szCs w:val="24"/>
        </w:rPr>
      </w:pPr>
      <w:r w:rsidRPr="004629DC">
        <w:rPr>
          <w:rFonts w:ascii="Arial" w:hAnsi="Arial" w:cs="Arial"/>
          <w:sz w:val="24"/>
          <w:szCs w:val="24"/>
        </w:rPr>
        <w:t xml:space="preserve">The Council considers that after considering and balancing these various interests, the use of compulsory purchase powers in this case is justified. </w:t>
      </w:r>
    </w:p>
    <w:p w14:paraId="1DC3AF7C" w14:textId="77777777" w:rsidR="007F1A06" w:rsidRPr="004629DC" w:rsidRDefault="007F1A06" w:rsidP="007F1A06">
      <w:pPr>
        <w:pStyle w:val="Default"/>
        <w:jc w:val="both"/>
      </w:pPr>
    </w:p>
    <w:p w14:paraId="772FE5A3" w14:textId="77777777" w:rsidR="007F1A06" w:rsidRPr="004629DC" w:rsidRDefault="007F1A06" w:rsidP="000D3760">
      <w:pPr>
        <w:pStyle w:val="NoSpacing"/>
        <w:numPr>
          <w:ilvl w:val="1"/>
          <w:numId w:val="3"/>
        </w:numPr>
        <w:ind w:left="567" w:hanging="567"/>
        <w:jc w:val="both"/>
        <w:rPr>
          <w:rFonts w:ascii="Arial" w:hAnsi="Arial" w:cs="Arial"/>
          <w:sz w:val="24"/>
          <w:szCs w:val="24"/>
        </w:rPr>
      </w:pPr>
      <w:r w:rsidRPr="004629DC">
        <w:rPr>
          <w:rFonts w:ascii="Arial" w:hAnsi="Arial" w:cs="Arial"/>
          <w:sz w:val="24"/>
          <w:szCs w:val="24"/>
        </w:rPr>
        <w:t xml:space="preserve">The European Court of Human Rights has recognised in the context of Article 1 of the First Protocol that “regard must be had to the fair balance that has to be struck between the competing interests of the individual and of the community as a whole”, i.e. compulsory purchase must be proportionate. Both public and private interests are to be taken into account in the exercise of the Council’s powers. Similarly, any interference with Article 8 rights must be “necessary in a democratic society” i.e. proportionate. In pursuing a CPO, the Council has to carefully consider the balance to be struck between individual rights and the wider public interest having regard also to the availability of compensation for compulsory purchase. </w:t>
      </w:r>
    </w:p>
    <w:p w14:paraId="038983E6" w14:textId="77777777" w:rsidR="007F1A06" w:rsidRPr="004629DC" w:rsidRDefault="007F1A06" w:rsidP="007F1A06">
      <w:pPr>
        <w:pStyle w:val="Default"/>
        <w:jc w:val="both"/>
      </w:pPr>
    </w:p>
    <w:p w14:paraId="4D95AE66" w14:textId="77777777" w:rsidR="007F1A06" w:rsidRPr="004629DC" w:rsidRDefault="007F1A06" w:rsidP="000D3760">
      <w:pPr>
        <w:pStyle w:val="NoSpacing"/>
        <w:numPr>
          <w:ilvl w:val="1"/>
          <w:numId w:val="3"/>
        </w:numPr>
        <w:ind w:left="567" w:hanging="567"/>
        <w:jc w:val="both"/>
        <w:rPr>
          <w:rFonts w:ascii="Arial" w:hAnsi="Arial" w:cs="Arial"/>
          <w:sz w:val="24"/>
          <w:szCs w:val="24"/>
        </w:rPr>
      </w:pPr>
      <w:r w:rsidRPr="004629DC">
        <w:rPr>
          <w:rFonts w:ascii="Arial" w:hAnsi="Arial" w:cs="Arial"/>
          <w:sz w:val="24"/>
          <w:szCs w:val="24"/>
        </w:rPr>
        <w:lastRenderedPageBreak/>
        <w:t xml:space="preserve">Article 8(1) provides that everyone has the right to respect for his/her property, but Article 8(2) allows the State to restrict the rights to respect for the property to the extent necessary in a democratic society and for certain listed public interest purposes e.g. public safety, economic well-being, protection of health and protection of the rights of others. </w:t>
      </w:r>
    </w:p>
    <w:p w14:paraId="02506077" w14:textId="77777777" w:rsidR="007F1A06" w:rsidRPr="004629DC" w:rsidRDefault="007F1A06" w:rsidP="007F1A06">
      <w:pPr>
        <w:pStyle w:val="Default"/>
        <w:jc w:val="both"/>
      </w:pPr>
    </w:p>
    <w:p w14:paraId="60916DCD" w14:textId="1EEBF5B4" w:rsidR="007F1A06" w:rsidRDefault="007F1A06" w:rsidP="000D3760">
      <w:pPr>
        <w:pStyle w:val="NoSpacing"/>
        <w:numPr>
          <w:ilvl w:val="1"/>
          <w:numId w:val="3"/>
        </w:numPr>
        <w:ind w:left="567" w:hanging="567"/>
        <w:jc w:val="both"/>
        <w:rPr>
          <w:rFonts w:ascii="Arial" w:hAnsi="Arial" w:cs="Arial"/>
          <w:sz w:val="24"/>
          <w:szCs w:val="24"/>
        </w:rPr>
      </w:pPr>
      <w:r w:rsidRPr="004629DC">
        <w:rPr>
          <w:rFonts w:ascii="Arial" w:hAnsi="Arial" w:cs="Arial"/>
          <w:sz w:val="24"/>
          <w:szCs w:val="24"/>
        </w:rPr>
        <w:t xml:space="preserve">In considering Article 8 in the context of a CPO it is necessary to consider the following questions: </w:t>
      </w:r>
    </w:p>
    <w:p w14:paraId="241E39FC" w14:textId="77777777" w:rsidR="00CD638E" w:rsidRDefault="00CD638E" w:rsidP="000D3760">
      <w:pPr>
        <w:pStyle w:val="ListParagraph"/>
        <w:spacing w:after="0" w:line="240" w:lineRule="auto"/>
        <w:rPr>
          <w:rFonts w:ascii="Arial" w:hAnsi="Arial" w:cs="Arial"/>
          <w:sz w:val="24"/>
          <w:szCs w:val="24"/>
        </w:rPr>
      </w:pPr>
    </w:p>
    <w:p w14:paraId="584F0B65" w14:textId="77777777" w:rsidR="00E648CB" w:rsidRDefault="007F1A06" w:rsidP="00E648CB">
      <w:pPr>
        <w:pStyle w:val="Default"/>
        <w:spacing w:after="20"/>
        <w:ind w:left="540" w:firstLine="169"/>
        <w:jc w:val="both"/>
      </w:pPr>
      <w:r w:rsidRPr="00762774">
        <w:t>1.</w:t>
      </w:r>
      <w:r w:rsidR="00E648CB">
        <w:tab/>
      </w:r>
      <w:r w:rsidRPr="00762774">
        <w:t>Does a right protected by this article apply?</w:t>
      </w:r>
    </w:p>
    <w:p w14:paraId="750C9B8D" w14:textId="03553166" w:rsidR="007F1A06" w:rsidRPr="00762774" w:rsidRDefault="007F1A06" w:rsidP="00E648CB">
      <w:pPr>
        <w:pStyle w:val="Default"/>
        <w:spacing w:after="20"/>
        <w:ind w:left="1440" w:hanging="731"/>
        <w:jc w:val="both"/>
      </w:pPr>
      <w:r w:rsidRPr="00762774">
        <w:t>2.</w:t>
      </w:r>
      <w:r w:rsidR="00E648CB">
        <w:tab/>
      </w:r>
      <w:r w:rsidRPr="00762774">
        <w:t xml:space="preserve">Has an interference with that right taken place or will take place as a result of the CPO being made? </w:t>
      </w:r>
    </w:p>
    <w:p w14:paraId="7FB87538" w14:textId="77777777" w:rsidR="007F1A06" w:rsidRPr="004629DC" w:rsidRDefault="007F1A06" w:rsidP="007F1A06">
      <w:pPr>
        <w:pStyle w:val="Default"/>
        <w:jc w:val="both"/>
      </w:pPr>
    </w:p>
    <w:p w14:paraId="6275CF11" w14:textId="77777777" w:rsidR="007F1A06" w:rsidRPr="004629DC" w:rsidRDefault="007F1A06" w:rsidP="000D3760">
      <w:pPr>
        <w:pStyle w:val="NoSpacing"/>
        <w:numPr>
          <w:ilvl w:val="1"/>
          <w:numId w:val="3"/>
        </w:numPr>
        <w:ind w:left="567" w:hanging="567"/>
        <w:jc w:val="both"/>
        <w:rPr>
          <w:rFonts w:ascii="Arial" w:hAnsi="Arial" w:cs="Arial"/>
          <w:sz w:val="24"/>
          <w:szCs w:val="24"/>
        </w:rPr>
      </w:pPr>
      <w:r w:rsidRPr="004629DC">
        <w:rPr>
          <w:rFonts w:ascii="Arial" w:hAnsi="Arial" w:cs="Arial"/>
          <w:sz w:val="24"/>
          <w:szCs w:val="24"/>
        </w:rPr>
        <w:t xml:space="preserve">Clearly Article 8 does apply and therefore it is necessary for the Council to consider the possible justifications for the interference (Article 8(2)) as follows: </w:t>
      </w:r>
    </w:p>
    <w:p w14:paraId="5C95A467" w14:textId="77777777" w:rsidR="007F1A06" w:rsidRPr="004629DC" w:rsidRDefault="007F1A06" w:rsidP="007F1A06">
      <w:pPr>
        <w:pStyle w:val="Default"/>
        <w:jc w:val="both"/>
      </w:pPr>
    </w:p>
    <w:p w14:paraId="73D0EC77" w14:textId="77777777" w:rsidR="007F1A06" w:rsidRPr="00762774" w:rsidRDefault="007F1A06" w:rsidP="000D3760">
      <w:pPr>
        <w:pStyle w:val="Default"/>
        <w:numPr>
          <w:ilvl w:val="0"/>
          <w:numId w:val="29"/>
        </w:numPr>
        <w:ind w:left="1276" w:hanging="567"/>
        <w:jc w:val="both"/>
      </w:pPr>
      <w:r w:rsidRPr="00762774">
        <w:t xml:space="preserve">Is the interference in accordance with law? There is a clear legal basis for making the CPO under section </w:t>
      </w:r>
      <w:r>
        <w:t xml:space="preserve">17 of the Housing </w:t>
      </w:r>
      <w:r w:rsidRPr="00762774">
        <w:t>Act</w:t>
      </w:r>
      <w:r>
        <w:t xml:space="preserve"> 1985</w:t>
      </w:r>
      <w:r w:rsidRPr="00762774">
        <w:t xml:space="preserve">. </w:t>
      </w:r>
    </w:p>
    <w:p w14:paraId="310C8466" w14:textId="77777777" w:rsidR="007F1A06" w:rsidRPr="00762774" w:rsidRDefault="007F1A06" w:rsidP="000D3760">
      <w:pPr>
        <w:pStyle w:val="Default"/>
        <w:ind w:left="1276" w:hanging="567"/>
        <w:jc w:val="both"/>
      </w:pPr>
    </w:p>
    <w:p w14:paraId="483FF793" w14:textId="77777777" w:rsidR="007F1A06" w:rsidRPr="00762774" w:rsidRDefault="007F1A06" w:rsidP="000D3760">
      <w:pPr>
        <w:pStyle w:val="Default"/>
        <w:numPr>
          <w:ilvl w:val="0"/>
          <w:numId w:val="29"/>
        </w:numPr>
        <w:ind w:left="1276" w:hanging="567"/>
        <w:jc w:val="both"/>
      </w:pPr>
      <w:r w:rsidRPr="00762774">
        <w:t>Does the interference pursue a legitimate aim? The CPO is necessary to implement the Scheme, which seeks overall redevelopment of the Site in accordance with planning policy, local consultation</w:t>
      </w:r>
      <w:r>
        <w:t xml:space="preserve"> and planning permission</w:t>
      </w:r>
      <w:r w:rsidRPr="00762774">
        <w:t xml:space="preserve">. </w:t>
      </w:r>
    </w:p>
    <w:p w14:paraId="590996EC" w14:textId="77777777" w:rsidR="007F1A06" w:rsidRPr="00762774" w:rsidRDefault="007F1A06" w:rsidP="000D3760">
      <w:pPr>
        <w:pStyle w:val="Default"/>
        <w:ind w:left="1276" w:hanging="567"/>
        <w:jc w:val="both"/>
      </w:pPr>
    </w:p>
    <w:p w14:paraId="5FEFB160" w14:textId="77777777" w:rsidR="007F1A06" w:rsidRPr="00762774" w:rsidRDefault="007F1A06" w:rsidP="000D3760">
      <w:pPr>
        <w:pStyle w:val="Default"/>
        <w:numPr>
          <w:ilvl w:val="0"/>
          <w:numId w:val="29"/>
        </w:numPr>
        <w:ind w:left="1276" w:hanging="567"/>
        <w:jc w:val="both"/>
      </w:pPr>
      <w:r w:rsidRPr="00762774">
        <w:t xml:space="preserve">Is the interference necessary in a democratic society? This requires a balanced judgement to be made between the public interest and the rights of individuals. The CPO is considered to be both necessary and proportionate in that the land to be acquired </w:t>
      </w:r>
      <w:r>
        <w:t>is the minimum to achieve this s</w:t>
      </w:r>
      <w:r w:rsidRPr="00762774">
        <w:t>che</w:t>
      </w:r>
      <w:r>
        <w:t>me’s objectives.</w:t>
      </w:r>
    </w:p>
    <w:p w14:paraId="0974A152" w14:textId="77777777" w:rsidR="007F1A06" w:rsidRPr="004629DC" w:rsidRDefault="007F1A06" w:rsidP="007F1A06">
      <w:pPr>
        <w:pStyle w:val="Default"/>
        <w:ind w:left="540" w:hanging="191"/>
        <w:jc w:val="both"/>
      </w:pPr>
    </w:p>
    <w:p w14:paraId="5A5D7A6A" w14:textId="77777777" w:rsidR="007F1A06" w:rsidRPr="004629DC" w:rsidRDefault="007F1A06" w:rsidP="000D3760">
      <w:pPr>
        <w:pStyle w:val="NoSpacing"/>
        <w:numPr>
          <w:ilvl w:val="1"/>
          <w:numId w:val="3"/>
        </w:numPr>
        <w:ind w:left="567" w:hanging="567"/>
        <w:jc w:val="both"/>
        <w:rPr>
          <w:rFonts w:ascii="Arial" w:hAnsi="Arial" w:cs="Arial"/>
          <w:sz w:val="24"/>
          <w:szCs w:val="24"/>
        </w:rPr>
      </w:pPr>
      <w:r w:rsidRPr="004629DC">
        <w:rPr>
          <w:rFonts w:ascii="Arial" w:hAnsi="Arial" w:cs="Arial"/>
          <w:sz w:val="24"/>
          <w:szCs w:val="24"/>
        </w:rPr>
        <w:t xml:space="preserve">The second relevant article is Article 1 of the First Protocol, which provides that: </w:t>
      </w:r>
    </w:p>
    <w:p w14:paraId="4F2E141E" w14:textId="77777777" w:rsidR="007F1A06" w:rsidRPr="004629DC" w:rsidRDefault="007F1A06" w:rsidP="007F1A06">
      <w:pPr>
        <w:pStyle w:val="Default"/>
        <w:jc w:val="both"/>
      </w:pPr>
    </w:p>
    <w:p w14:paraId="35C6940C" w14:textId="77777777" w:rsidR="007F1A06" w:rsidRPr="00762774" w:rsidRDefault="007F1A06" w:rsidP="007F1A06">
      <w:pPr>
        <w:pStyle w:val="Default"/>
        <w:numPr>
          <w:ilvl w:val="0"/>
          <w:numId w:val="30"/>
        </w:numPr>
        <w:ind w:left="900" w:hanging="191"/>
        <w:jc w:val="both"/>
      </w:pPr>
      <w:r w:rsidRPr="00762774">
        <w:t>Every natural or legal person is entitled to the peacef</w:t>
      </w:r>
      <w:r>
        <w:t>ul enjoyment of his possessions.</w:t>
      </w:r>
    </w:p>
    <w:p w14:paraId="1E2A5F56" w14:textId="77777777" w:rsidR="007F1A06" w:rsidRPr="00762774" w:rsidRDefault="007F1A06" w:rsidP="007F1A06">
      <w:pPr>
        <w:pStyle w:val="Default"/>
        <w:ind w:left="900" w:hanging="191"/>
        <w:jc w:val="both"/>
      </w:pPr>
    </w:p>
    <w:p w14:paraId="5A982AF3" w14:textId="77777777" w:rsidR="007F1A06" w:rsidRPr="00762774" w:rsidRDefault="007F1A06" w:rsidP="007F1A06">
      <w:pPr>
        <w:pStyle w:val="Default"/>
        <w:numPr>
          <w:ilvl w:val="0"/>
          <w:numId w:val="30"/>
        </w:numPr>
        <w:ind w:left="900" w:hanging="191"/>
        <w:jc w:val="both"/>
      </w:pPr>
      <w:r w:rsidRPr="00762774">
        <w:t xml:space="preserve">No one shall be deprived of those possessions except in the public interest and subject to the conditions provided for by law. </w:t>
      </w:r>
    </w:p>
    <w:p w14:paraId="1AB49BC6" w14:textId="77777777" w:rsidR="007F1A06" w:rsidRPr="003316BB" w:rsidRDefault="007F1A06" w:rsidP="007F1A06">
      <w:pPr>
        <w:pStyle w:val="Default"/>
        <w:jc w:val="both"/>
      </w:pPr>
    </w:p>
    <w:p w14:paraId="1DC8B933" w14:textId="77777777" w:rsidR="007F1A06" w:rsidRPr="003316BB" w:rsidRDefault="007F1A06" w:rsidP="001B37BE">
      <w:pPr>
        <w:pStyle w:val="NoSpacing"/>
        <w:numPr>
          <w:ilvl w:val="1"/>
          <w:numId w:val="3"/>
        </w:numPr>
        <w:ind w:left="567" w:hanging="567"/>
        <w:jc w:val="both"/>
        <w:rPr>
          <w:rFonts w:ascii="Arial" w:hAnsi="Arial" w:cs="Arial"/>
          <w:sz w:val="24"/>
          <w:szCs w:val="24"/>
        </w:rPr>
      </w:pPr>
      <w:r w:rsidRPr="003316BB">
        <w:rPr>
          <w:rFonts w:ascii="Arial" w:hAnsi="Arial" w:cs="Arial"/>
          <w:sz w:val="24"/>
          <w:szCs w:val="24"/>
        </w:rPr>
        <w:t xml:space="preserve">The Council has considered the effect of the above articles of the Human Rights Act and decided that on balance it is in the interest of the community to make the CPO over and above the interest of the individuals affected. Interference with Convention rights is considered by the Council to be justified for the reasons set out in this Statement of Reasons. The Council in making this order also had particular regard to the rights of the individuals to compensation and assistance that will be given with respect to rehousing. </w:t>
      </w:r>
    </w:p>
    <w:p w14:paraId="38758AD5" w14:textId="77777777" w:rsidR="007F1A06" w:rsidRPr="003316BB" w:rsidRDefault="007F1A06" w:rsidP="007F1A06">
      <w:pPr>
        <w:pStyle w:val="Default"/>
        <w:jc w:val="both"/>
      </w:pPr>
    </w:p>
    <w:p w14:paraId="105BD4CA" w14:textId="77777777" w:rsidR="007F1A06" w:rsidRPr="003316BB" w:rsidRDefault="007F1A06" w:rsidP="001B37BE">
      <w:pPr>
        <w:pStyle w:val="NoSpacing"/>
        <w:numPr>
          <w:ilvl w:val="1"/>
          <w:numId w:val="3"/>
        </w:numPr>
        <w:ind w:left="567" w:hanging="567"/>
        <w:jc w:val="both"/>
        <w:rPr>
          <w:rFonts w:ascii="Arial" w:hAnsi="Arial" w:cs="Arial"/>
          <w:sz w:val="24"/>
          <w:szCs w:val="24"/>
        </w:rPr>
      </w:pPr>
      <w:r w:rsidRPr="003316BB">
        <w:rPr>
          <w:rFonts w:ascii="Arial" w:hAnsi="Arial" w:cs="Arial"/>
          <w:sz w:val="24"/>
          <w:szCs w:val="24"/>
        </w:rPr>
        <w:t xml:space="preserve">Article 6 also requires that those whose civil rights may be affected by a decision are given a fair hearing by an independent and impartial tribunal. This is secured by means of the CPO process, including the holding of an Inquiry into </w:t>
      </w:r>
      <w:r w:rsidRPr="003316BB">
        <w:rPr>
          <w:rFonts w:ascii="Arial" w:hAnsi="Arial" w:cs="Arial"/>
          <w:sz w:val="24"/>
          <w:szCs w:val="24"/>
        </w:rPr>
        <w:lastRenderedPageBreak/>
        <w:t xml:space="preserve">any objections which may be made, and the ability to challenge any CPO confirmation decision in the High Court. </w:t>
      </w:r>
    </w:p>
    <w:p w14:paraId="2DFF00D5" w14:textId="77777777" w:rsidR="007F1A06" w:rsidRPr="003316BB" w:rsidRDefault="007F1A06" w:rsidP="007F1A06">
      <w:pPr>
        <w:pStyle w:val="Default"/>
        <w:jc w:val="both"/>
      </w:pPr>
    </w:p>
    <w:p w14:paraId="2ACFAEBE" w14:textId="63E1B36A" w:rsidR="007F1A06" w:rsidRPr="003316BB" w:rsidRDefault="007F1A06" w:rsidP="001B37BE">
      <w:pPr>
        <w:pStyle w:val="NoSpacing"/>
        <w:numPr>
          <w:ilvl w:val="1"/>
          <w:numId w:val="3"/>
        </w:numPr>
        <w:ind w:left="567" w:hanging="567"/>
        <w:jc w:val="both"/>
        <w:rPr>
          <w:rFonts w:ascii="Arial" w:hAnsi="Arial" w:cs="Arial"/>
          <w:sz w:val="24"/>
          <w:szCs w:val="24"/>
        </w:rPr>
      </w:pPr>
      <w:r w:rsidRPr="003316BB">
        <w:rPr>
          <w:rFonts w:ascii="Arial" w:hAnsi="Arial" w:cs="Arial"/>
          <w:sz w:val="24"/>
          <w:szCs w:val="24"/>
        </w:rPr>
        <w:t xml:space="preserve">The opportunity has been given to landowners to make representations regarding the Council planning policies that underpin the proposed CPO and also during the consultation on the future of </w:t>
      </w:r>
      <w:r w:rsidR="002B44B3">
        <w:rPr>
          <w:rFonts w:ascii="Arial" w:hAnsi="Arial" w:cs="Arial"/>
          <w:sz w:val="24"/>
          <w:szCs w:val="24"/>
        </w:rPr>
        <w:t xml:space="preserve">properties affected </w:t>
      </w:r>
      <w:r w:rsidRPr="003316BB">
        <w:rPr>
          <w:rFonts w:ascii="Arial" w:hAnsi="Arial" w:cs="Arial"/>
          <w:sz w:val="24"/>
          <w:szCs w:val="24"/>
        </w:rPr>
        <w:t>and the subsequent planning application for redevelopment. Objections may be made to the making of the CPO. Further representations can be made in the event of any Public Local Inquiry that the Secretary of State may decide to hold in connection with the CPO. Those directly affected by the CPO will be entitled to compensation under the compensation legislation, equivalent to the loss that they incur as a result of the acquisition.</w:t>
      </w:r>
    </w:p>
    <w:p w14:paraId="7C6F6DCF" w14:textId="77777777" w:rsidR="007F1A06" w:rsidRPr="003316BB" w:rsidRDefault="007F1A06" w:rsidP="007F1A06">
      <w:pPr>
        <w:pStyle w:val="Default"/>
        <w:jc w:val="both"/>
      </w:pPr>
    </w:p>
    <w:p w14:paraId="59D4A6A4" w14:textId="77777777" w:rsidR="007F1A06" w:rsidRPr="006C1124" w:rsidRDefault="007F1A06" w:rsidP="007F1A06">
      <w:pPr>
        <w:pStyle w:val="Default"/>
        <w:ind w:firstLine="540"/>
        <w:jc w:val="both"/>
        <w:rPr>
          <w:u w:val="single"/>
        </w:rPr>
      </w:pPr>
      <w:r w:rsidRPr="006C1124">
        <w:rPr>
          <w:u w:val="single"/>
        </w:rPr>
        <w:t xml:space="preserve">Equalities </w:t>
      </w:r>
    </w:p>
    <w:p w14:paraId="4E09D8F0" w14:textId="77777777" w:rsidR="007F1A06" w:rsidRPr="003316BB" w:rsidRDefault="007F1A06" w:rsidP="007F1A06">
      <w:pPr>
        <w:pStyle w:val="Default"/>
        <w:jc w:val="both"/>
      </w:pPr>
    </w:p>
    <w:p w14:paraId="6AD45696" w14:textId="77777777" w:rsidR="007F1A06" w:rsidRPr="003316BB" w:rsidRDefault="007F1A06" w:rsidP="001B37BE">
      <w:pPr>
        <w:pStyle w:val="NoSpacing"/>
        <w:numPr>
          <w:ilvl w:val="1"/>
          <w:numId w:val="3"/>
        </w:numPr>
        <w:ind w:left="567" w:hanging="567"/>
        <w:jc w:val="both"/>
        <w:rPr>
          <w:rFonts w:ascii="Arial" w:hAnsi="Arial" w:cs="Arial"/>
          <w:sz w:val="24"/>
          <w:szCs w:val="24"/>
        </w:rPr>
      </w:pPr>
      <w:r w:rsidRPr="003316BB">
        <w:rPr>
          <w:rFonts w:ascii="Arial" w:hAnsi="Arial" w:cs="Arial"/>
          <w:sz w:val="24"/>
          <w:szCs w:val="24"/>
        </w:rPr>
        <w:t>Paragraph 6 of the July 2019 Guidance provides that “…</w:t>
      </w:r>
      <w:r w:rsidRPr="003316BB">
        <w:rPr>
          <w:rFonts w:ascii="Arial" w:hAnsi="Arial" w:cs="Arial"/>
          <w:i/>
          <w:iCs/>
          <w:sz w:val="24"/>
          <w:szCs w:val="24"/>
        </w:rPr>
        <w:t>acquiring authorities are bound by the Public Sector Equality Duty as set out in Section 149 of the Equality Act 2010. Throughout the compulsory purchase process acquiring authorities must have due regard to the need to: (a) eliminate unlawful discrimination, harassment, victimisation; (B) of opportunity between persons who share a relevant protected characteristic and persons who do not share it; and (C) foster good relations between persons who share a relevant protected characteristic and persons who do not share it.…..As part of the Public Sector Equality Duty, acquiring authorities must have due regard to the need to promote equality of opportunity between persons who share a relevant protected characteristic and persons who do not share it</w:t>
      </w:r>
    </w:p>
    <w:p w14:paraId="6F0AABCE" w14:textId="77777777" w:rsidR="007F1A06" w:rsidRPr="003316BB" w:rsidRDefault="007F1A06" w:rsidP="007F1A06">
      <w:pPr>
        <w:pStyle w:val="Default"/>
        <w:jc w:val="both"/>
      </w:pPr>
    </w:p>
    <w:p w14:paraId="076DECA9" w14:textId="6DA590D5" w:rsidR="007F1A06" w:rsidRPr="003316BB" w:rsidRDefault="007F1A06" w:rsidP="00772F3F">
      <w:pPr>
        <w:pStyle w:val="NoSpacing"/>
        <w:numPr>
          <w:ilvl w:val="1"/>
          <w:numId w:val="3"/>
        </w:numPr>
        <w:ind w:left="567" w:hanging="567"/>
        <w:jc w:val="both"/>
        <w:rPr>
          <w:rFonts w:ascii="Arial" w:hAnsi="Arial" w:cs="Arial"/>
          <w:sz w:val="24"/>
          <w:szCs w:val="24"/>
        </w:rPr>
      </w:pPr>
      <w:r w:rsidRPr="003316BB">
        <w:rPr>
          <w:rFonts w:ascii="Arial" w:hAnsi="Arial" w:cs="Arial"/>
          <w:sz w:val="24"/>
          <w:szCs w:val="24"/>
        </w:rPr>
        <w:t xml:space="preserve">The Council considers that making the CPO to bring forward redevelopment of the </w:t>
      </w:r>
      <w:r w:rsidR="002B44B3">
        <w:rPr>
          <w:rFonts w:ascii="Arial" w:hAnsi="Arial" w:cs="Arial"/>
          <w:sz w:val="24"/>
          <w:szCs w:val="24"/>
        </w:rPr>
        <w:t>Pool Farm Estate and Shannon Road</w:t>
      </w:r>
      <w:r w:rsidRPr="003316BB">
        <w:rPr>
          <w:rFonts w:ascii="Arial" w:hAnsi="Arial" w:cs="Arial"/>
          <w:sz w:val="24"/>
          <w:szCs w:val="24"/>
        </w:rPr>
        <w:t xml:space="preserve"> is justified and there is no </w:t>
      </w:r>
      <w:r w:rsidR="007E5A9D">
        <w:rPr>
          <w:rFonts w:ascii="Arial" w:hAnsi="Arial" w:cs="Arial"/>
          <w:sz w:val="24"/>
          <w:szCs w:val="24"/>
        </w:rPr>
        <w:t xml:space="preserve">unlawful </w:t>
      </w:r>
      <w:r w:rsidR="007E5A9D" w:rsidRPr="003316BB">
        <w:rPr>
          <w:rFonts w:ascii="Arial" w:hAnsi="Arial" w:cs="Arial"/>
          <w:sz w:val="24"/>
          <w:szCs w:val="24"/>
        </w:rPr>
        <w:t>discrimination</w:t>
      </w:r>
      <w:r w:rsidRPr="003316BB">
        <w:rPr>
          <w:rFonts w:ascii="Arial" w:hAnsi="Arial" w:cs="Arial"/>
          <w:sz w:val="24"/>
          <w:szCs w:val="24"/>
        </w:rPr>
        <w:t xml:space="preserve">. </w:t>
      </w:r>
    </w:p>
    <w:p w14:paraId="1F1CB563" w14:textId="77777777" w:rsidR="007F1A06" w:rsidRPr="003316BB" w:rsidRDefault="007F1A06" w:rsidP="007F1A06">
      <w:pPr>
        <w:pStyle w:val="Default"/>
        <w:jc w:val="both"/>
      </w:pPr>
    </w:p>
    <w:p w14:paraId="2B674DF7" w14:textId="0D85BE02" w:rsidR="007F1A06" w:rsidRPr="003316BB" w:rsidRDefault="007F1A06" w:rsidP="00772F3F">
      <w:pPr>
        <w:pStyle w:val="NoSpacing"/>
        <w:numPr>
          <w:ilvl w:val="1"/>
          <w:numId w:val="3"/>
        </w:numPr>
        <w:ind w:left="567" w:hanging="567"/>
        <w:jc w:val="both"/>
        <w:rPr>
          <w:rFonts w:ascii="Arial" w:hAnsi="Arial" w:cs="Arial"/>
          <w:sz w:val="24"/>
          <w:szCs w:val="24"/>
        </w:rPr>
      </w:pPr>
      <w:r w:rsidRPr="003316BB">
        <w:rPr>
          <w:rFonts w:ascii="Arial" w:hAnsi="Arial" w:cs="Arial"/>
          <w:sz w:val="24"/>
          <w:szCs w:val="24"/>
        </w:rPr>
        <w:t xml:space="preserve">The Council can provide copies of this Statement of Reasons in braille, audio tape or in different languages. The Council has published all the CPO core documents on its website to make them as accessible and available as early as possible and copies of documents will be made available </w:t>
      </w:r>
      <w:r w:rsidR="00BA7914">
        <w:rPr>
          <w:rFonts w:ascii="Arial" w:hAnsi="Arial" w:cs="Arial"/>
          <w:sz w:val="24"/>
          <w:szCs w:val="24"/>
        </w:rPr>
        <w:t xml:space="preserve">online and </w:t>
      </w:r>
      <w:r w:rsidRPr="003316BB">
        <w:rPr>
          <w:rFonts w:ascii="Arial" w:hAnsi="Arial" w:cs="Arial"/>
          <w:sz w:val="24"/>
          <w:szCs w:val="24"/>
        </w:rPr>
        <w:t>at a local venue</w:t>
      </w:r>
      <w:r w:rsidR="00BA7914">
        <w:rPr>
          <w:rFonts w:ascii="Arial" w:hAnsi="Arial" w:cs="Arial"/>
          <w:sz w:val="24"/>
          <w:szCs w:val="24"/>
        </w:rPr>
        <w:t xml:space="preserve"> specified below</w:t>
      </w:r>
      <w:r w:rsidRPr="003316BB">
        <w:rPr>
          <w:rFonts w:ascii="Arial" w:hAnsi="Arial" w:cs="Arial"/>
          <w:sz w:val="24"/>
          <w:szCs w:val="24"/>
        </w:rPr>
        <w:t xml:space="preserve">. It will also provide hard copies of CPO documents for those without access to the internet. Those affected by the CPO are encouraged to seek professional advice and the Council will meet professional fees in appropriate circumstances </w:t>
      </w:r>
    </w:p>
    <w:p w14:paraId="3526BCA5" w14:textId="77777777" w:rsidR="007F1A06" w:rsidRPr="003316BB" w:rsidRDefault="007F1A06" w:rsidP="007F1A06">
      <w:pPr>
        <w:pStyle w:val="Default"/>
        <w:jc w:val="both"/>
      </w:pPr>
    </w:p>
    <w:p w14:paraId="2A1FDD76" w14:textId="3D361E0F" w:rsidR="007F1A06" w:rsidRDefault="007F1A06" w:rsidP="00772F3F">
      <w:pPr>
        <w:pStyle w:val="NoSpacing"/>
        <w:numPr>
          <w:ilvl w:val="1"/>
          <w:numId w:val="3"/>
        </w:numPr>
        <w:ind w:left="567" w:hanging="567"/>
        <w:jc w:val="both"/>
        <w:rPr>
          <w:rFonts w:ascii="Arial" w:hAnsi="Arial" w:cs="Arial"/>
          <w:sz w:val="24"/>
          <w:szCs w:val="24"/>
        </w:rPr>
      </w:pPr>
      <w:r w:rsidRPr="003316BB">
        <w:rPr>
          <w:rFonts w:ascii="Arial" w:hAnsi="Arial" w:cs="Arial"/>
          <w:sz w:val="24"/>
          <w:szCs w:val="24"/>
        </w:rPr>
        <w:t>As the CPO progresses, should there be a need for a Public Local Inquiry, when choosing a venue, the Council will have regard to those with disabilities and will consider what other steps it can take in respect of eliminating/minimising discrimination for those with protected characteristics.</w:t>
      </w:r>
    </w:p>
    <w:p w14:paraId="237FB157" w14:textId="6A9A35ED" w:rsidR="007F1A06" w:rsidRDefault="007F1A06" w:rsidP="007F1A06">
      <w:pPr>
        <w:pStyle w:val="Default"/>
        <w:jc w:val="both"/>
      </w:pPr>
    </w:p>
    <w:p w14:paraId="3913A8AE" w14:textId="423ADE0C" w:rsidR="00D768CB" w:rsidRDefault="00D768CB" w:rsidP="007F1A06">
      <w:pPr>
        <w:pStyle w:val="Default"/>
        <w:jc w:val="both"/>
      </w:pPr>
    </w:p>
    <w:p w14:paraId="67654D18" w14:textId="584C5307" w:rsidR="00D768CB" w:rsidRDefault="00D768CB" w:rsidP="007F1A06">
      <w:pPr>
        <w:pStyle w:val="Default"/>
        <w:jc w:val="both"/>
      </w:pPr>
    </w:p>
    <w:p w14:paraId="031A21C4" w14:textId="60FF5CAB" w:rsidR="00D768CB" w:rsidRDefault="00D768CB" w:rsidP="007F1A06">
      <w:pPr>
        <w:pStyle w:val="Default"/>
        <w:jc w:val="both"/>
      </w:pPr>
    </w:p>
    <w:p w14:paraId="3F92F65F" w14:textId="77777777" w:rsidR="00D768CB" w:rsidRPr="003316BB" w:rsidRDefault="00D768CB" w:rsidP="007F1A06">
      <w:pPr>
        <w:pStyle w:val="Default"/>
        <w:jc w:val="both"/>
      </w:pPr>
    </w:p>
    <w:p w14:paraId="74C3164B" w14:textId="77777777" w:rsidR="007F1A06" w:rsidRPr="007F1A06" w:rsidRDefault="007F1A06" w:rsidP="00772F3F">
      <w:pPr>
        <w:pStyle w:val="NoSpacing"/>
        <w:numPr>
          <w:ilvl w:val="0"/>
          <w:numId w:val="3"/>
        </w:numPr>
        <w:ind w:left="567" w:hanging="567"/>
        <w:jc w:val="both"/>
        <w:outlineLvl w:val="0"/>
        <w:rPr>
          <w:rFonts w:ascii="Arial" w:hAnsi="Arial" w:cs="Arial"/>
          <w:bCs/>
          <w:sz w:val="24"/>
          <w:szCs w:val="24"/>
          <w:u w:val="single"/>
        </w:rPr>
      </w:pPr>
      <w:bookmarkStart w:id="17" w:name="_Toc68772055"/>
      <w:r w:rsidRPr="007F1A06">
        <w:rPr>
          <w:rFonts w:ascii="Arial" w:hAnsi="Arial" w:cs="Arial"/>
          <w:b/>
          <w:bCs/>
          <w:sz w:val="24"/>
          <w:szCs w:val="24"/>
          <w:u w:val="single"/>
        </w:rPr>
        <w:lastRenderedPageBreak/>
        <w:t>Contacts for further Information</w:t>
      </w:r>
      <w:bookmarkEnd w:id="17"/>
      <w:r w:rsidRPr="007F1A06">
        <w:rPr>
          <w:rFonts w:ascii="Arial" w:hAnsi="Arial" w:cs="Arial"/>
          <w:b/>
          <w:bCs/>
          <w:sz w:val="24"/>
          <w:szCs w:val="24"/>
          <w:u w:val="single"/>
        </w:rPr>
        <w:t xml:space="preserve"> </w:t>
      </w:r>
    </w:p>
    <w:p w14:paraId="7B3B2438" w14:textId="77777777" w:rsidR="007F1A06" w:rsidRPr="003316BB" w:rsidRDefault="007F1A06" w:rsidP="007F1A06">
      <w:pPr>
        <w:pStyle w:val="Default"/>
        <w:jc w:val="both"/>
      </w:pPr>
    </w:p>
    <w:p w14:paraId="26E9649E" w14:textId="77777777" w:rsidR="007F1A06" w:rsidRPr="003316BB" w:rsidRDefault="007F1A06" w:rsidP="00772F3F">
      <w:pPr>
        <w:pStyle w:val="NoSpacing"/>
        <w:numPr>
          <w:ilvl w:val="1"/>
          <w:numId w:val="3"/>
        </w:numPr>
        <w:ind w:left="567" w:hanging="567"/>
        <w:jc w:val="both"/>
        <w:rPr>
          <w:rFonts w:ascii="Arial" w:hAnsi="Arial" w:cs="Arial"/>
          <w:sz w:val="24"/>
          <w:szCs w:val="24"/>
        </w:rPr>
      </w:pPr>
      <w:r w:rsidRPr="003316BB">
        <w:rPr>
          <w:rFonts w:ascii="Arial" w:hAnsi="Arial" w:cs="Arial"/>
          <w:sz w:val="24"/>
          <w:szCs w:val="24"/>
        </w:rPr>
        <w:t xml:space="preserve">The following Council officers of can be contacted for further information: </w:t>
      </w:r>
    </w:p>
    <w:p w14:paraId="62C5C701" w14:textId="77777777" w:rsidR="007F1A06" w:rsidRPr="003316BB" w:rsidRDefault="007F1A06" w:rsidP="007F1A06">
      <w:pPr>
        <w:pStyle w:val="Default"/>
        <w:jc w:val="both"/>
      </w:pPr>
    </w:p>
    <w:p w14:paraId="587067C0" w14:textId="06B9EB4D" w:rsidR="007F1A06" w:rsidRDefault="007F1A06" w:rsidP="00DB2832">
      <w:pPr>
        <w:pStyle w:val="Default"/>
        <w:ind w:left="709"/>
        <w:jc w:val="both"/>
      </w:pPr>
      <w:r w:rsidRPr="00285E2B">
        <w:t xml:space="preserve">General enquiries about housing and the overall development proposals: </w:t>
      </w:r>
    </w:p>
    <w:p w14:paraId="2584AC7C" w14:textId="77777777" w:rsidR="00EB1973" w:rsidRPr="00285E2B" w:rsidRDefault="00EB1973" w:rsidP="00DB2832">
      <w:pPr>
        <w:pStyle w:val="Default"/>
        <w:ind w:left="709"/>
        <w:jc w:val="both"/>
      </w:pPr>
    </w:p>
    <w:p w14:paraId="6B490A49" w14:textId="79658F7B" w:rsidR="007F1A06" w:rsidRDefault="001F566E" w:rsidP="00DB2832">
      <w:pPr>
        <w:pStyle w:val="Default"/>
        <w:ind w:left="709"/>
        <w:jc w:val="both"/>
      </w:pPr>
      <w:r>
        <w:t>Clive French</w:t>
      </w:r>
    </w:p>
    <w:p w14:paraId="6C1C950B" w14:textId="77777777" w:rsidR="007F1A06" w:rsidRDefault="007F1A06" w:rsidP="00DB2832">
      <w:pPr>
        <w:pStyle w:val="Default"/>
        <w:ind w:left="709"/>
        <w:jc w:val="both"/>
      </w:pPr>
      <w:r>
        <w:t>Principal Housing Development Officer</w:t>
      </w:r>
    </w:p>
    <w:p w14:paraId="1F8EB106" w14:textId="77777777" w:rsidR="007F1A06" w:rsidRPr="00285E2B" w:rsidRDefault="007F1A06" w:rsidP="00DB2832">
      <w:pPr>
        <w:pStyle w:val="Default"/>
        <w:ind w:left="709"/>
        <w:jc w:val="both"/>
      </w:pPr>
      <w:r>
        <w:t xml:space="preserve">Birmingham City Council </w:t>
      </w:r>
    </w:p>
    <w:p w14:paraId="4029E78E" w14:textId="77777777" w:rsidR="007F1A06" w:rsidRPr="00285E2B" w:rsidRDefault="007F1A06" w:rsidP="00DB2832">
      <w:pPr>
        <w:pStyle w:val="Default"/>
        <w:ind w:left="709"/>
        <w:jc w:val="both"/>
      </w:pPr>
      <w:r w:rsidRPr="00285E2B">
        <w:t xml:space="preserve">PO Box 16572 </w:t>
      </w:r>
    </w:p>
    <w:p w14:paraId="22A50B27" w14:textId="77777777" w:rsidR="007F1A06" w:rsidRPr="00285E2B" w:rsidRDefault="007F1A06" w:rsidP="00DB2832">
      <w:pPr>
        <w:pStyle w:val="Default"/>
        <w:ind w:left="709"/>
        <w:jc w:val="both"/>
      </w:pPr>
      <w:r w:rsidRPr="00285E2B">
        <w:t xml:space="preserve">Birmingham </w:t>
      </w:r>
    </w:p>
    <w:p w14:paraId="30A9A578" w14:textId="77777777" w:rsidR="007F1A06" w:rsidRPr="00285E2B" w:rsidRDefault="007F1A06" w:rsidP="00DB2832">
      <w:pPr>
        <w:pStyle w:val="Default"/>
        <w:ind w:left="709"/>
        <w:jc w:val="both"/>
      </w:pPr>
      <w:r w:rsidRPr="00285E2B">
        <w:t xml:space="preserve">B2 2GL </w:t>
      </w:r>
    </w:p>
    <w:p w14:paraId="16E14E49" w14:textId="645CD2D9" w:rsidR="007F1A06" w:rsidRPr="00285E2B" w:rsidRDefault="007F1A06" w:rsidP="00DB2832">
      <w:pPr>
        <w:pStyle w:val="Default"/>
        <w:ind w:left="709"/>
        <w:jc w:val="both"/>
      </w:pPr>
      <w:r w:rsidRPr="00285E2B">
        <w:t>Email</w:t>
      </w:r>
      <w:r>
        <w:t xml:space="preserve">: </w:t>
      </w:r>
      <w:hyperlink r:id="rId11" w:history="1">
        <w:r w:rsidR="00BB0B44" w:rsidRPr="002F56EA">
          <w:rPr>
            <w:rStyle w:val="Hyperlink"/>
          </w:rPr>
          <w:t>clive.french@birmingham.gov.uk</w:t>
        </w:r>
      </w:hyperlink>
      <w:r w:rsidR="00BB0B44">
        <w:t xml:space="preserve"> </w:t>
      </w:r>
    </w:p>
    <w:p w14:paraId="5C85017D" w14:textId="77777777" w:rsidR="007F1A06" w:rsidRDefault="007F1A06" w:rsidP="00DB2832">
      <w:pPr>
        <w:pStyle w:val="Default"/>
        <w:ind w:left="709"/>
        <w:jc w:val="both"/>
      </w:pPr>
    </w:p>
    <w:p w14:paraId="7596F05F" w14:textId="77777777" w:rsidR="007F1A06" w:rsidRDefault="007F1A06" w:rsidP="00DB2832">
      <w:pPr>
        <w:pStyle w:val="Default"/>
        <w:ind w:left="709"/>
        <w:jc w:val="both"/>
      </w:pPr>
      <w:r w:rsidRPr="00285E2B">
        <w:t xml:space="preserve">OR </w:t>
      </w:r>
    </w:p>
    <w:p w14:paraId="3A907628" w14:textId="77777777" w:rsidR="007F1A06" w:rsidRPr="00285E2B" w:rsidRDefault="007F1A06" w:rsidP="00DB2832">
      <w:pPr>
        <w:pStyle w:val="Default"/>
        <w:ind w:left="709"/>
        <w:jc w:val="both"/>
      </w:pPr>
    </w:p>
    <w:p w14:paraId="5311A9EE" w14:textId="77777777" w:rsidR="007F1A06" w:rsidRPr="00285E2B" w:rsidRDefault="007F1A06" w:rsidP="00DB2832">
      <w:pPr>
        <w:pStyle w:val="Default"/>
        <w:ind w:left="709"/>
        <w:jc w:val="both"/>
      </w:pPr>
      <w:r w:rsidRPr="00285E2B">
        <w:t xml:space="preserve">General enquiries about Planning and the Compulsory Purchase Order: </w:t>
      </w:r>
    </w:p>
    <w:p w14:paraId="67B101A6" w14:textId="77777777" w:rsidR="007F1A06" w:rsidRDefault="007F1A06" w:rsidP="00DB2832">
      <w:pPr>
        <w:pStyle w:val="Default"/>
        <w:ind w:left="709"/>
        <w:jc w:val="both"/>
      </w:pPr>
    </w:p>
    <w:p w14:paraId="0C99369E" w14:textId="77777777" w:rsidR="007F1A06" w:rsidRDefault="007F1A06" w:rsidP="00DB2832">
      <w:pPr>
        <w:pStyle w:val="Default"/>
        <w:ind w:left="709"/>
        <w:jc w:val="both"/>
      </w:pPr>
      <w:r w:rsidRPr="00285E2B">
        <w:t xml:space="preserve">Richard Thomas </w:t>
      </w:r>
    </w:p>
    <w:p w14:paraId="6CD101CB" w14:textId="77777777" w:rsidR="007F1A06" w:rsidRDefault="007F1A06" w:rsidP="00DB2832">
      <w:pPr>
        <w:pStyle w:val="Default"/>
        <w:ind w:left="709"/>
        <w:jc w:val="both"/>
      </w:pPr>
      <w:r>
        <w:t>Principal Planning Officer</w:t>
      </w:r>
    </w:p>
    <w:p w14:paraId="293EC401" w14:textId="77777777" w:rsidR="007F1A06" w:rsidRDefault="007F1A06" w:rsidP="00DB2832">
      <w:pPr>
        <w:pStyle w:val="Default"/>
        <w:ind w:left="709"/>
        <w:jc w:val="both"/>
      </w:pPr>
      <w:r w:rsidRPr="00285E2B">
        <w:t xml:space="preserve">Planning and </w:t>
      </w:r>
      <w:r>
        <w:t>Development</w:t>
      </w:r>
    </w:p>
    <w:p w14:paraId="67F22C8F" w14:textId="77777777" w:rsidR="007F1A06" w:rsidRPr="00285E2B" w:rsidRDefault="007F1A06" w:rsidP="00DB2832">
      <w:pPr>
        <w:pStyle w:val="Default"/>
        <w:ind w:left="709"/>
        <w:jc w:val="both"/>
      </w:pPr>
      <w:r w:rsidRPr="00285E2B">
        <w:t xml:space="preserve">PO Box 28 </w:t>
      </w:r>
    </w:p>
    <w:p w14:paraId="50A44DC1" w14:textId="77777777" w:rsidR="007F1A06" w:rsidRPr="00285E2B" w:rsidRDefault="007F1A06" w:rsidP="00DB2832">
      <w:pPr>
        <w:pStyle w:val="Default"/>
        <w:ind w:left="709"/>
        <w:jc w:val="both"/>
      </w:pPr>
      <w:r w:rsidRPr="00285E2B">
        <w:t xml:space="preserve">Birmingham </w:t>
      </w:r>
    </w:p>
    <w:p w14:paraId="4A47BCDB" w14:textId="77777777" w:rsidR="007F1A06" w:rsidRPr="00285E2B" w:rsidRDefault="007F1A06" w:rsidP="00DB2832">
      <w:pPr>
        <w:pStyle w:val="Default"/>
        <w:ind w:left="709"/>
        <w:jc w:val="both"/>
      </w:pPr>
      <w:r w:rsidRPr="00285E2B">
        <w:t xml:space="preserve">B1 1TU </w:t>
      </w:r>
    </w:p>
    <w:p w14:paraId="3D24EBEF" w14:textId="384A58CB" w:rsidR="007F1A06" w:rsidRPr="00285E2B" w:rsidRDefault="007F1A06" w:rsidP="00DB2832">
      <w:pPr>
        <w:pStyle w:val="Default"/>
        <w:ind w:left="709"/>
        <w:jc w:val="both"/>
      </w:pPr>
      <w:r w:rsidRPr="0070667C">
        <w:t xml:space="preserve">Telephone </w:t>
      </w:r>
      <w:r w:rsidR="0070667C">
        <w:t>07517 536415</w:t>
      </w:r>
      <w:r w:rsidRPr="00285E2B">
        <w:t xml:space="preserve"> </w:t>
      </w:r>
    </w:p>
    <w:p w14:paraId="4C7C0983" w14:textId="4B807E23" w:rsidR="007F1A06" w:rsidRDefault="007F1A06" w:rsidP="00DB2832">
      <w:pPr>
        <w:pStyle w:val="Default"/>
        <w:ind w:left="709"/>
        <w:jc w:val="both"/>
      </w:pPr>
      <w:r w:rsidRPr="00285E2B">
        <w:t>Email</w:t>
      </w:r>
      <w:r>
        <w:t>:</w:t>
      </w:r>
      <w:r w:rsidRPr="00285E2B">
        <w:t xml:space="preserve"> </w:t>
      </w:r>
      <w:hyperlink r:id="rId12" w:history="1">
        <w:r w:rsidR="001F566E" w:rsidRPr="000B728D">
          <w:rPr>
            <w:rStyle w:val="Hyperlink"/>
          </w:rPr>
          <w:t>richard.l.thomas@birmingham.gov.uk</w:t>
        </w:r>
      </w:hyperlink>
      <w:r>
        <w:t xml:space="preserve"> </w:t>
      </w:r>
    </w:p>
    <w:p w14:paraId="4D85D0B0" w14:textId="77777777" w:rsidR="007F1A06" w:rsidRPr="00285E2B" w:rsidRDefault="007F1A06" w:rsidP="00DB2832">
      <w:pPr>
        <w:pStyle w:val="Default"/>
        <w:ind w:left="709"/>
        <w:jc w:val="both"/>
      </w:pPr>
    </w:p>
    <w:p w14:paraId="21A3D192" w14:textId="77777777" w:rsidR="007F1A06" w:rsidRDefault="007F1A06" w:rsidP="00DB2832">
      <w:pPr>
        <w:pStyle w:val="Default"/>
        <w:ind w:left="709"/>
        <w:jc w:val="both"/>
      </w:pPr>
      <w:r w:rsidRPr="00285E2B">
        <w:t xml:space="preserve">The Council will make all efforts to assist business, community and residential occupiers with their relocation and rehousing requirements. Residential property owners should contact: </w:t>
      </w:r>
    </w:p>
    <w:p w14:paraId="24AB9B84" w14:textId="77777777" w:rsidR="007F1A06" w:rsidRPr="00285E2B" w:rsidRDefault="007F1A06" w:rsidP="00DB2832">
      <w:pPr>
        <w:pStyle w:val="Default"/>
        <w:ind w:left="709"/>
        <w:jc w:val="both"/>
      </w:pPr>
    </w:p>
    <w:p w14:paraId="6679E9BF" w14:textId="6D432503" w:rsidR="007F1A06" w:rsidRDefault="007F1A06" w:rsidP="00DB2832">
      <w:pPr>
        <w:pStyle w:val="Default"/>
        <w:ind w:left="709"/>
        <w:jc w:val="both"/>
      </w:pPr>
      <w:r>
        <w:t>Allyson Marke-Wilson</w:t>
      </w:r>
      <w:r w:rsidR="00EB1973">
        <w:t>/ Dawn Smith</w:t>
      </w:r>
    </w:p>
    <w:p w14:paraId="6E093992" w14:textId="62418395" w:rsidR="007F1A06" w:rsidRPr="00285E2B" w:rsidRDefault="007F1A06" w:rsidP="00DB2832">
      <w:pPr>
        <w:pStyle w:val="Default"/>
        <w:ind w:left="709"/>
        <w:jc w:val="both"/>
      </w:pPr>
      <w:r>
        <w:t>Valuations and Acquisitions</w:t>
      </w:r>
    </w:p>
    <w:p w14:paraId="72F29989" w14:textId="77777777" w:rsidR="007F1A06" w:rsidRPr="00285E2B" w:rsidRDefault="007F1A06" w:rsidP="00DB2832">
      <w:pPr>
        <w:pStyle w:val="Default"/>
        <w:ind w:left="709"/>
        <w:jc w:val="both"/>
      </w:pPr>
      <w:r w:rsidRPr="00285E2B">
        <w:t xml:space="preserve">Birmingham Property Services </w:t>
      </w:r>
    </w:p>
    <w:p w14:paraId="5FF91494" w14:textId="77777777" w:rsidR="007F1A06" w:rsidRPr="00285E2B" w:rsidRDefault="007F1A06" w:rsidP="00DB2832">
      <w:pPr>
        <w:pStyle w:val="Default"/>
        <w:ind w:left="709"/>
        <w:jc w:val="both"/>
      </w:pPr>
      <w:r w:rsidRPr="00285E2B">
        <w:t xml:space="preserve">PO Box 16255 </w:t>
      </w:r>
    </w:p>
    <w:p w14:paraId="71975CB0" w14:textId="77777777" w:rsidR="007F1A06" w:rsidRPr="00285E2B" w:rsidRDefault="007F1A06" w:rsidP="00DB2832">
      <w:pPr>
        <w:pStyle w:val="Default"/>
        <w:ind w:left="709"/>
        <w:jc w:val="both"/>
      </w:pPr>
      <w:r w:rsidRPr="00285E2B">
        <w:t xml:space="preserve">Woodcock Street </w:t>
      </w:r>
    </w:p>
    <w:p w14:paraId="56CBAD7E" w14:textId="77777777" w:rsidR="007F1A06" w:rsidRPr="00285E2B" w:rsidRDefault="007F1A06" w:rsidP="00DB2832">
      <w:pPr>
        <w:pStyle w:val="Default"/>
        <w:ind w:left="709"/>
        <w:jc w:val="both"/>
      </w:pPr>
      <w:r w:rsidRPr="00285E2B">
        <w:t xml:space="preserve">Birmingham </w:t>
      </w:r>
    </w:p>
    <w:p w14:paraId="5ECBA7CB" w14:textId="77777777" w:rsidR="007F1A06" w:rsidRPr="00285E2B" w:rsidRDefault="007F1A06" w:rsidP="00DB2832">
      <w:pPr>
        <w:pStyle w:val="Default"/>
        <w:ind w:left="709"/>
        <w:jc w:val="both"/>
      </w:pPr>
      <w:r w:rsidRPr="00285E2B">
        <w:t xml:space="preserve">B2 2WT </w:t>
      </w:r>
    </w:p>
    <w:p w14:paraId="45F0FB99" w14:textId="0F78F93C" w:rsidR="007F1A06" w:rsidRPr="00285E2B" w:rsidRDefault="007F1A06" w:rsidP="00DB2832">
      <w:pPr>
        <w:pStyle w:val="Default"/>
        <w:ind w:left="709"/>
        <w:jc w:val="both"/>
      </w:pPr>
      <w:r w:rsidRPr="00285E2B">
        <w:t>Telephone 0121 303 34</w:t>
      </w:r>
      <w:r>
        <w:t>70</w:t>
      </w:r>
      <w:r w:rsidRPr="00285E2B">
        <w:t xml:space="preserve"> </w:t>
      </w:r>
      <w:r w:rsidR="00077469">
        <w:t>or 07594 509518</w:t>
      </w:r>
    </w:p>
    <w:p w14:paraId="48F10927" w14:textId="0661CE30" w:rsidR="007F1A06" w:rsidRDefault="007F1A06" w:rsidP="00DB2832">
      <w:pPr>
        <w:pStyle w:val="Default"/>
        <w:ind w:left="709"/>
        <w:jc w:val="both"/>
      </w:pPr>
      <w:r w:rsidRPr="00285E2B">
        <w:t>Email</w:t>
      </w:r>
      <w:r>
        <w:t>:</w:t>
      </w:r>
      <w:r w:rsidRPr="00285E2B">
        <w:t xml:space="preserve"> </w:t>
      </w:r>
      <w:hyperlink r:id="rId13" w:history="1">
        <w:r w:rsidRPr="00106F72">
          <w:rPr>
            <w:rStyle w:val="Hyperlink"/>
          </w:rPr>
          <w:t>Allyson.Marke.Wilson@birmingham.gov.uk</w:t>
        </w:r>
      </w:hyperlink>
      <w:r>
        <w:t xml:space="preserve"> </w:t>
      </w:r>
    </w:p>
    <w:p w14:paraId="712FBFDB" w14:textId="5D29EC61" w:rsidR="00EB1973" w:rsidRPr="00285E2B" w:rsidRDefault="00EB1973" w:rsidP="00DB2832">
      <w:pPr>
        <w:pStyle w:val="Default"/>
        <w:ind w:left="709"/>
        <w:jc w:val="both"/>
      </w:pPr>
      <w:r>
        <w:tab/>
      </w:r>
      <w:hyperlink r:id="rId14" w:history="1">
        <w:r w:rsidRPr="002F56EA">
          <w:rPr>
            <w:rStyle w:val="Hyperlink"/>
          </w:rPr>
          <w:t>Dawn.E.Smith@birmingham.gov.uk</w:t>
        </w:r>
      </w:hyperlink>
      <w:r>
        <w:t xml:space="preserve"> </w:t>
      </w:r>
    </w:p>
    <w:p w14:paraId="61F8FE93" w14:textId="77777777" w:rsidR="007F1A06" w:rsidRDefault="007F1A06" w:rsidP="00DB2832">
      <w:pPr>
        <w:pStyle w:val="Default"/>
        <w:ind w:left="709"/>
        <w:jc w:val="both"/>
      </w:pPr>
    </w:p>
    <w:p w14:paraId="284B2C57" w14:textId="346A7674" w:rsidR="007F1A06" w:rsidRDefault="007F1A06" w:rsidP="00DB2832">
      <w:pPr>
        <w:pStyle w:val="Default"/>
        <w:ind w:left="709"/>
        <w:jc w:val="both"/>
      </w:pPr>
      <w:r w:rsidRPr="00285E2B">
        <w:t>Advice on rehousing opportunities can be obtained from:</w:t>
      </w:r>
    </w:p>
    <w:p w14:paraId="734F06A5" w14:textId="77777777" w:rsidR="00EB1973" w:rsidRPr="00285E2B" w:rsidRDefault="00EB1973" w:rsidP="00DB2832">
      <w:pPr>
        <w:pStyle w:val="Default"/>
        <w:ind w:left="709"/>
        <w:jc w:val="both"/>
      </w:pPr>
    </w:p>
    <w:p w14:paraId="66F0BE66" w14:textId="77777777" w:rsidR="007F1A06" w:rsidRDefault="007F1A06" w:rsidP="00DB2832">
      <w:pPr>
        <w:pStyle w:val="Default"/>
        <w:ind w:left="709"/>
        <w:jc w:val="both"/>
      </w:pPr>
      <w:r w:rsidRPr="00285E2B">
        <w:t xml:space="preserve">Collette McCann </w:t>
      </w:r>
    </w:p>
    <w:p w14:paraId="3CC5431E" w14:textId="77777777" w:rsidR="007F1A06" w:rsidRPr="00285E2B" w:rsidRDefault="007F1A06" w:rsidP="00DB2832">
      <w:pPr>
        <w:pStyle w:val="Default"/>
        <w:ind w:left="709"/>
        <w:jc w:val="both"/>
      </w:pPr>
      <w:r>
        <w:t>Head of Service</w:t>
      </w:r>
    </w:p>
    <w:p w14:paraId="76ACBD99" w14:textId="77777777" w:rsidR="007F1A06" w:rsidRPr="00285E2B" w:rsidRDefault="007F1A06" w:rsidP="00DB2832">
      <w:pPr>
        <w:pStyle w:val="Default"/>
        <w:ind w:left="709"/>
        <w:jc w:val="both"/>
      </w:pPr>
      <w:r w:rsidRPr="00285E2B">
        <w:t xml:space="preserve">Housing Regeneration and Development </w:t>
      </w:r>
    </w:p>
    <w:p w14:paraId="5BF27F68" w14:textId="77777777" w:rsidR="007F1A06" w:rsidRDefault="007F1A06" w:rsidP="00DB2832">
      <w:pPr>
        <w:pStyle w:val="Default"/>
        <w:ind w:left="709"/>
        <w:jc w:val="both"/>
      </w:pPr>
      <w:r>
        <w:t xml:space="preserve">c/o </w:t>
      </w:r>
      <w:r w:rsidRPr="00285E2B">
        <w:t xml:space="preserve">1 Lancaster Circus </w:t>
      </w:r>
    </w:p>
    <w:p w14:paraId="010E971F" w14:textId="77777777" w:rsidR="007F1A06" w:rsidRPr="00285E2B" w:rsidRDefault="007F1A06" w:rsidP="00DB2832">
      <w:pPr>
        <w:pStyle w:val="Default"/>
        <w:ind w:left="709"/>
        <w:jc w:val="both"/>
      </w:pPr>
      <w:r>
        <w:t>2</w:t>
      </w:r>
      <w:r w:rsidRPr="00BD0BC1">
        <w:rPr>
          <w:vertAlign w:val="superscript"/>
        </w:rPr>
        <w:t>nd</w:t>
      </w:r>
      <w:r>
        <w:t xml:space="preserve"> Floor / Zone 11</w:t>
      </w:r>
    </w:p>
    <w:p w14:paraId="27C827AD" w14:textId="77777777" w:rsidR="007F1A06" w:rsidRPr="00285E2B" w:rsidRDefault="007F1A06" w:rsidP="00DB2832">
      <w:pPr>
        <w:pStyle w:val="Default"/>
        <w:ind w:left="709"/>
        <w:jc w:val="both"/>
      </w:pPr>
      <w:r w:rsidRPr="00285E2B">
        <w:lastRenderedPageBreak/>
        <w:t xml:space="preserve">PO Box 16572 </w:t>
      </w:r>
    </w:p>
    <w:p w14:paraId="44A6E028" w14:textId="77777777" w:rsidR="007F1A06" w:rsidRPr="00285E2B" w:rsidRDefault="007F1A06" w:rsidP="00DB2832">
      <w:pPr>
        <w:pStyle w:val="Default"/>
        <w:ind w:left="709"/>
        <w:jc w:val="both"/>
      </w:pPr>
      <w:r w:rsidRPr="00285E2B">
        <w:t xml:space="preserve">Birmingham </w:t>
      </w:r>
    </w:p>
    <w:p w14:paraId="50F2285F" w14:textId="77777777" w:rsidR="007F1A06" w:rsidRPr="00285E2B" w:rsidRDefault="007F1A06" w:rsidP="00DB2832">
      <w:pPr>
        <w:pStyle w:val="Default"/>
        <w:ind w:left="709"/>
        <w:jc w:val="both"/>
      </w:pPr>
      <w:r w:rsidRPr="00285E2B">
        <w:t xml:space="preserve">B2 2GL </w:t>
      </w:r>
    </w:p>
    <w:p w14:paraId="7503B1C1" w14:textId="77777777" w:rsidR="007F1A06" w:rsidRPr="00285E2B" w:rsidRDefault="007F1A06" w:rsidP="00DB2832">
      <w:pPr>
        <w:pStyle w:val="Default"/>
        <w:ind w:left="709"/>
        <w:jc w:val="both"/>
      </w:pPr>
      <w:r w:rsidRPr="00285E2B">
        <w:t xml:space="preserve">Telephone 0121 675 3521 </w:t>
      </w:r>
    </w:p>
    <w:p w14:paraId="6B6C8A28" w14:textId="2E237491" w:rsidR="00EB1973" w:rsidRPr="00285E2B" w:rsidRDefault="007F1A06" w:rsidP="00DB2832">
      <w:pPr>
        <w:pStyle w:val="Default"/>
        <w:ind w:left="709"/>
        <w:jc w:val="both"/>
      </w:pPr>
      <w:r>
        <w:t xml:space="preserve">Email: </w:t>
      </w:r>
      <w:hyperlink r:id="rId15" w:history="1">
        <w:r w:rsidRPr="00106F72">
          <w:rPr>
            <w:rStyle w:val="Hyperlink"/>
          </w:rPr>
          <w:t>collette.mccann@birmingham.gov.uk</w:t>
        </w:r>
      </w:hyperlink>
    </w:p>
    <w:p w14:paraId="59F7754B" w14:textId="77777777" w:rsidR="007F1A06" w:rsidRDefault="007F1A06" w:rsidP="00DB2832">
      <w:pPr>
        <w:pStyle w:val="Default"/>
        <w:ind w:left="709"/>
        <w:jc w:val="both"/>
      </w:pPr>
    </w:p>
    <w:p w14:paraId="055BA7C0" w14:textId="77777777" w:rsidR="007F1A06" w:rsidRPr="00285E2B" w:rsidRDefault="007F1A06" w:rsidP="00DB2832">
      <w:pPr>
        <w:pStyle w:val="Default"/>
        <w:ind w:left="709"/>
        <w:jc w:val="both"/>
      </w:pPr>
      <w:r w:rsidRPr="00285E2B">
        <w:t xml:space="preserve">Enquiries about legal issues: </w:t>
      </w:r>
    </w:p>
    <w:p w14:paraId="704E5DC8" w14:textId="77777777" w:rsidR="00F92708" w:rsidRDefault="00F92708" w:rsidP="00DB2832">
      <w:pPr>
        <w:pStyle w:val="Default"/>
        <w:ind w:left="709"/>
        <w:jc w:val="both"/>
      </w:pPr>
      <w:r>
        <w:t>Linda Brown</w:t>
      </w:r>
    </w:p>
    <w:p w14:paraId="17EDA74C" w14:textId="0D402168" w:rsidR="007F1A06" w:rsidRPr="00285E2B" w:rsidRDefault="007F1A06" w:rsidP="00DB2832">
      <w:pPr>
        <w:pStyle w:val="Default"/>
        <w:ind w:left="709"/>
        <w:jc w:val="both"/>
      </w:pPr>
      <w:r w:rsidRPr="00285E2B">
        <w:t xml:space="preserve">Legal Services </w:t>
      </w:r>
    </w:p>
    <w:p w14:paraId="1337DE69" w14:textId="77777777" w:rsidR="007F1A06" w:rsidRPr="00285E2B" w:rsidRDefault="007F1A06" w:rsidP="00DB2832">
      <w:pPr>
        <w:pStyle w:val="Default"/>
        <w:ind w:left="709"/>
        <w:jc w:val="both"/>
      </w:pPr>
      <w:r w:rsidRPr="00285E2B">
        <w:t xml:space="preserve">Birmingham City Council </w:t>
      </w:r>
    </w:p>
    <w:p w14:paraId="615C26C7" w14:textId="0AEE0833" w:rsidR="007F1A06" w:rsidRPr="00285E2B" w:rsidRDefault="007F1A06" w:rsidP="00DB2832">
      <w:pPr>
        <w:pStyle w:val="Default"/>
        <w:ind w:left="709"/>
        <w:jc w:val="both"/>
      </w:pPr>
      <w:r>
        <w:t>P O Box 15992</w:t>
      </w:r>
    </w:p>
    <w:p w14:paraId="274888D2" w14:textId="77777777" w:rsidR="007F1A06" w:rsidRPr="00285E2B" w:rsidRDefault="007F1A06" w:rsidP="00DB2832">
      <w:pPr>
        <w:pStyle w:val="Default"/>
        <w:ind w:left="709"/>
        <w:jc w:val="both"/>
      </w:pPr>
      <w:r w:rsidRPr="00285E2B">
        <w:t xml:space="preserve">Birmingham </w:t>
      </w:r>
    </w:p>
    <w:p w14:paraId="24B5A2AD" w14:textId="77777777" w:rsidR="007F1A06" w:rsidRPr="00285E2B" w:rsidRDefault="007F1A06" w:rsidP="00DB2832">
      <w:pPr>
        <w:pStyle w:val="Default"/>
        <w:ind w:left="709"/>
        <w:jc w:val="both"/>
      </w:pPr>
      <w:r w:rsidRPr="00285E2B">
        <w:t xml:space="preserve">B2 2UQ </w:t>
      </w:r>
    </w:p>
    <w:p w14:paraId="672E9E23" w14:textId="0CA80C1E" w:rsidR="007F1A06" w:rsidRPr="00285E2B" w:rsidRDefault="007F1A06" w:rsidP="00DB2832">
      <w:pPr>
        <w:pStyle w:val="Default"/>
        <w:tabs>
          <w:tab w:val="left" w:pos="3735"/>
        </w:tabs>
        <w:ind w:left="709"/>
        <w:jc w:val="both"/>
      </w:pPr>
      <w:r w:rsidRPr="00285E2B">
        <w:t xml:space="preserve">Telephone </w:t>
      </w:r>
      <w:r w:rsidR="00077469">
        <w:t>07885 236534</w:t>
      </w:r>
      <w:r w:rsidRPr="00285E2B">
        <w:t xml:space="preserve"> </w:t>
      </w:r>
      <w:r w:rsidR="00EE1E57">
        <w:tab/>
      </w:r>
    </w:p>
    <w:p w14:paraId="02759603" w14:textId="475C7489" w:rsidR="007F1A06" w:rsidRDefault="007F1A06" w:rsidP="00DB2832">
      <w:pPr>
        <w:pStyle w:val="Default"/>
        <w:ind w:left="709"/>
        <w:jc w:val="both"/>
      </w:pPr>
      <w:r w:rsidRPr="00285E2B">
        <w:t>Email</w:t>
      </w:r>
      <w:r>
        <w:t>:</w:t>
      </w:r>
      <w:r w:rsidRPr="00285E2B">
        <w:t xml:space="preserve"> </w:t>
      </w:r>
      <w:hyperlink r:id="rId16" w:history="1">
        <w:r w:rsidR="00EB1973" w:rsidRPr="002F56EA">
          <w:rPr>
            <w:rStyle w:val="Hyperlink"/>
          </w:rPr>
          <w:t>CPOLegal@birmingham.gov.uk</w:t>
        </w:r>
      </w:hyperlink>
      <w:r w:rsidR="00BB0B44">
        <w:t xml:space="preserve"> </w:t>
      </w:r>
    </w:p>
    <w:p w14:paraId="740896C7" w14:textId="77777777" w:rsidR="007F1A06" w:rsidRDefault="007F1A06" w:rsidP="00DB2832">
      <w:pPr>
        <w:pStyle w:val="Default"/>
        <w:ind w:left="709"/>
        <w:jc w:val="both"/>
      </w:pPr>
    </w:p>
    <w:p w14:paraId="088D3826" w14:textId="77777777" w:rsidR="007F1A06" w:rsidRPr="00285E2B" w:rsidRDefault="007F1A06" w:rsidP="00DB2832">
      <w:pPr>
        <w:pStyle w:val="Default"/>
        <w:ind w:left="709"/>
        <w:jc w:val="both"/>
      </w:pPr>
      <w:r w:rsidRPr="00285E2B">
        <w:t>Further Advice and Assistance.</w:t>
      </w:r>
    </w:p>
    <w:p w14:paraId="2CAFCAEB" w14:textId="77777777" w:rsidR="007F1A06" w:rsidRPr="00285E2B" w:rsidRDefault="007F1A06" w:rsidP="00DB2832">
      <w:pPr>
        <w:pStyle w:val="Default"/>
        <w:ind w:left="709"/>
        <w:jc w:val="both"/>
      </w:pPr>
    </w:p>
    <w:p w14:paraId="313AD0D4" w14:textId="386A3047" w:rsidR="00BB0B44" w:rsidRPr="00285E2B" w:rsidRDefault="007F1A06" w:rsidP="00DB2832">
      <w:pPr>
        <w:pStyle w:val="Default"/>
        <w:ind w:left="709"/>
        <w:jc w:val="both"/>
      </w:pPr>
      <w:r>
        <w:t>Those s</w:t>
      </w:r>
      <w:r w:rsidRPr="00285E2B">
        <w:t xml:space="preserve">erved with notice of the CPO may wish to appoint a Surveyor or Solicitor to help understand how the CPO affects you and negotiate your compensation entitlement. </w:t>
      </w:r>
      <w:r>
        <w:t xml:space="preserve">  </w:t>
      </w:r>
      <w:r w:rsidRPr="00285E2B">
        <w:t>The Council will pay reasonable surveyor /</w:t>
      </w:r>
      <w:r>
        <w:t xml:space="preserve"> </w:t>
      </w:r>
      <w:r w:rsidRPr="00285E2B">
        <w:t xml:space="preserve">legal fees relating to the acquisition of property of those affected. </w:t>
      </w:r>
      <w:r>
        <w:t xml:space="preserve">  </w:t>
      </w:r>
      <w:r w:rsidRPr="00285E2B">
        <w:t xml:space="preserve">Advice on appointing a </w:t>
      </w:r>
      <w:r>
        <w:t>s</w:t>
      </w:r>
      <w:r w:rsidRPr="00285E2B">
        <w:t>urveyor can be found on The Royal Institution of Chartered Surveyors we</w:t>
      </w:r>
      <w:r>
        <w:t xml:space="preserve">b site at: </w:t>
      </w:r>
      <w:hyperlink r:id="rId17" w:history="1">
        <w:r w:rsidR="00F92708" w:rsidRPr="00E94ED3">
          <w:rPr>
            <w:rStyle w:val="Hyperlink"/>
          </w:rPr>
          <w:t>http://www.rics.org/uk</w:t>
        </w:r>
      </w:hyperlink>
      <w:r>
        <w:t xml:space="preserve"> Or </w:t>
      </w:r>
      <w:hyperlink r:id="rId18" w:history="1">
        <w:r w:rsidRPr="00106F72">
          <w:rPr>
            <w:rStyle w:val="Hyperlink"/>
          </w:rPr>
          <w:t>http://ricsfirms.com</w:t>
        </w:r>
      </w:hyperlink>
      <w:r>
        <w:t xml:space="preserve"> </w:t>
      </w:r>
    </w:p>
    <w:p w14:paraId="31559A82" w14:textId="77777777" w:rsidR="007F1A06" w:rsidRDefault="007F1A06" w:rsidP="00DB2832">
      <w:pPr>
        <w:pStyle w:val="Default"/>
        <w:ind w:left="709"/>
        <w:jc w:val="both"/>
      </w:pPr>
    </w:p>
    <w:p w14:paraId="3C1532FC" w14:textId="011C2CDB" w:rsidR="007F1A06" w:rsidRDefault="007F1A06" w:rsidP="00DB2832">
      <w:pPr>
        <w:pStyle w:val="Default"/>
        <w:ind w:left="709"/>
        <w:jc w:val="both"/>
      </w:pPr>
      <w:r w:rsidRPr="00285E2B">
        <w:t xml:space="preserve">Advice on appointing a Solicitor can be found on the Law Society web site at </w:t>
      </w:r>
      <w:hyperlink r:id="rId19" w:history="1">
        <w:r w:rsidRPr="00106F72">
          <w:rPr>
            <w:rStyle w:val="Hyperlink"/>
          </w:rPr>
          <w:t>http://www.lawsociety.org.uk</w:t>
        </w:r>
      </w:hyperlink>
      <w:r w:rsidRPr="00285E2B">
        <w:t xml:space="preserve"> </w:t>
      </w:r>
    </w:p>
    <w:p w14:paraId="30F18A7A" w14:textId="3D5A37A6" w:rsidR="00BB0B44" w:rsidRDefault="00BB0B44" w:rsidP="00DB2832">
      <w:pPr>
        <w:pStyle w:val="Default"/>
        <w:ind w:left="709"/>
        <w:jc w:val="both"/>
      </w:pPr>
    </w:p>
    <w:p w14:paraId="4915ABAA" w14:textId="2228AD8D" w:rsidR="00BB0B44" w:rsidRDefault="00BB0B44" w:rsidP="00DB2832">
      <w:pPr>
        <w:pStyle w:val="Default"/>
        <w:ind w:left="709"/>
        <w:jc w:val="both"/>
      </w:pPr>
      <w:r w:rsidRPr="00BB0B44">
        <w:t>Councils and owners are being encouraged to use Alternative Dispute Resolution (ADR) as a way of reaching agreement in compulsory purchase order matters. ADR provides for parties to ask an independent qualified person to determine matters such as compensation or other disputes.  The use of ADR techniques can save time and money and its relative speed and informality may help, for example, in clarifying concerns. Please let the Valuers know if you wish to proceed in this way.</w:t>
      </w:r>
    </w:p>
    <w:p w14:paraId="5F3AD37C" w14:textId="77777777" w:rsidR="00DB2832" w:rsidRDefault="00DB2832"/>
    <w:p w14:paraId="1451CB83" w14:textId="1DF51BDE" w:rsidR="00DB2832" w:rsidRDefault="00DB2832">
      <w:pPr>
        <w:rPr>
          <w:rFonts w:ascii="Arial" w:hAnsi="Arial" w:cs="Arial"/>
          <w:color w:val="000000"/>
          <w:sz w:val="24"/>
          <w:szCs w:val="24"/>
          <w:lang w:eastAsia="en-GB"/>
        </w:rPr>
      </w:pPr>
      <w:r>
        <w:br w:type="page"/>
      </w:r>
    </w:p>
    <w:p w14:paraId="20F90B87" w14:textId="77777777" w:rsidR="007F1A06" w:rsidRPr="003316BB" w:rsidRDefault="007F1A06" w:rsidP="008E3DC7">
      <w:pPr>
        <w:pStyle w:val="NoSpacing"/>
        <w:numPr>
          <w:ilvl w:val="0"/>
          <w:numId w:val="3"/>
        </w:numPr>
        <w:ind w:left="567" w:hanging="567"/>
        <w:jc w:val="both"/>
        <w:outlineLvl w:val="0"/>
        <w:rPr>
          <w:rFonts w:ascii="Arial" w:hAnsi="Arial" w:cs="Arial"/>
          <w:sz w:val="24"/>
          <w:szCs w:val="24"/>
        </w:rPr>
      </w:pPr>
      <w:bookmarkStart w:id="18" w:name="_Toc68772056"/>
      <w:r w:rsidRPr="003316BB">
        <w:rPr>
          <w:rFonts w:ascii="Arial" w:hAnsi="Arial" w:cs="Arial"/>
          <w:b/>
          <w:bCs/>
          <w:sz w:val="24"/>
          <w:szCs w:val="24"/>
        </w:rPr>
        <w:lastRenderedPageBreak/>
        <w:t>Inspection of Order Documents and Plans</w:t>
      </w:r>
      <w:bookmarkEnd w:id="18"/>
      <w:r w:rsidRPr="003316BB">
        <w:rPr>
          <w:rFonts w:ascii="Arial" w:hAnsi="Arial" w:cs="Arial"/>
          <w:b/>
          <w:bCs/>
          <w:sz w:val="24"/>
          <w:szCs w:val="24"/>
        </w:rPr>
        <w:t xml:space="preserve"> </w:t>
      </w:r>
    </w:p>
    <w:p w14:paraId="0D3BF098" w14:textId="77777777" w:rsidR="007F1A06" w:rsidRPr="003316BB" w:rsidRDefault="007F1A06" w:rsidP="007F1A06">
      <w:pPr>
        <w:pStyle w:val="Default"/>
        <w:jc w:val="both"/>
      </w:pPr>
    </w:p>
    <w:p w14:paraId="174C502B" w14:textId="3D40D042" w:rsidR="007F1A06" w:rsidRPr="00BA7914" w:rsidRDefault="007F1A06" w:rsidP="008E3DC7">
      <w:pPr>
        <w:pStyle w:val="NoSpacing"/>
        <w:numPr>
          <w:ilvl w:val="1"/>
          <w:numId w:val="3"/>
        </w:numPr>
        <w:ind w:left="567" w:hanging="567"/>
        <w:jc w:val="both"/>
        <w:rPr>
          <w:rFonts w:ascii="Arial" w:hAnsi="Arial" w:cs="Arial"/>
          <w:sz w:val="24"/>
          <w:szCs w:val="24"/>
        </w:rPr>
      </w:pPr>
      <w:r w:rsidRPr="003316BB">
        <w:rPr>
          <w:rFonts w:ascii="Arial" w:hAnsi="Arial" w:cs="Arial"/>
          <w:sz w:val="24"/>
          <w:szCs w:val="24"/>
        </w:rPr>
        <w:t>Copies of the Order, plans and related documents can be inspected at the following offices during normal opening hours</w:t>
      </w:r>
      <w:r w:rsidR="00DF1E31">
        <w:rPr>
          <w:rFonts w:ascii="Arial" w:hAnsi="Arial" w:cs="Arial"/>
          <w:sz w:val="24"/>
          <w:szCs w:val="24"/>
        </w:rPr>
        <w:t>, in light o</w:t>
      </w:r>
      <w:r w:rsidR="00562AC1">
        <w:rPr>
          <w:rFonts w:ascii="Arial" w:hAnsi="Arial" w:cs="Arial"/>
          <w:sz w:val="24"/>
          <w:szCs w:val="24"/>
        </w:rPr>
        <w:t>f</w:t>
      </w:r>
      <w:r w:rsidR="00DF1E31">
        <w:rPr>
          <w:rFonts w:ascii="Arial" w:hAnsi="Arial" w:cs="Arial"/>
          <w:sz w:val="24"/>
          <w:szCs w:val="24"/>
        </w:rPr>
        <w:t xml:space="preserve"> </w:t>
      </w:r>
      <w:r w:rsidR="00562AC1">
        <w:rPr>
          <w:rFonts w:ascii="Arial" w:hAnsi="Arial" w:cs="Arial"/>
          <w:sz w:val="24"/>
          <w:szCs w:val="24"/>
        </w:rPr>
        <w:t>possible COVID restrictions please ring for opening hours of venues below</w:t>
      </w:r>
      <w:r w:rsidRPr="003316BB">
        <w:rPr>
          <w:rFonts w:ascii="Arial" w:hAnsi="Arial" w:cs="Arial"/>
          <w:sz w:val="24"/>
          <w:szCs w:val="24"/>
        </w:rPr>
        <w:t xml:space="preserve">: </w:t>
      </w:r>
    </w:p>
    <w:p w14:paraId="64291DC4" w14:textId="2607DA78" w:rsidR="00471908" w:rsidRDefault="00471908" w:rsidP="007F1A06">
      <w:pPr>
        <w:pStyle w:val="Default"/>
        <w:jc w:val="both"/>
      </w:pPr>
    </w:p>
    <w:p w14:paraId="57010103" w14:textId="77777777" w:rsidR="00471908" w:rsidRDefault="00471908" w:rsidP="008E3DC7">
      <w:pPr>
        <w:pStyle w:val="Default"/>
        <w:ind w:left="709" w:hanging="142"/>
        <w:jc w:val="both"/>
      </w:pPr>
      <w:r>
        <w:t xml:space="preserve">Kings Norton Library, </w:t>
      </w:r>
    </w:p>
    <w:p w14:paraId="369CEC92" w14:textId="77777777" w:rsidR="00471908" w:rsidRDefault="00471908" w:rsidP="008E3DC7">
      <w:pPr>
        <w:pStyle w:val="Default"/>
        <w:ind w:left="709" w:hanging="142"/>
        <w:jc w:val="both"/>
      </w:pPr>
      <w:r>
        <w:t xml:space="preserve">278 Pershore Road South, </w:t>
      </w:r>
    </w:p>
    <w:p w14:paraId="5A290BF5" w14:textId="5C90B5D7" w:rsidR="00471908" w:rsidRDefault="00471908" w:rsidP="008E3DC7">
      <w:pPr>
        <w:pStyle w:val="Default"/>
        <w:ind w:left="709" w:hanging="142"/>
        <w:jc w:val="both"/>
      </w:pPr>
      <w:r>
        <w:t>Birmingham, B30 3EU</w:t>
      </w:r>
    </w:p>
    <w:p w14:paraId="707AC46D" w14:textId="30CE8CCC" w:rsidR="00BA7914" w:rsidRPr="00285E2B" w:rsidRDefault="00471908" w:rsidP="008E3DC7">
      <w:pPr>
        <w:pStyle w:val="Default"/>
        <w:ind w:left="709" w:hanging="142"/>
        <w:jc w:val="both"/>
      </w:pPr>
      <w:r>
        <w:t>Phone: 0121 464 1532</w:t>
      </w:r>
    </w:p>
    <w:p w14:paraId="1E2F8735" w14:textId="77777777" w:rsidR="007F1A06" w:rsidRDefault="007F1A06" w:rsidP="008E3DC7">
      <w:pPr>
        <w:pStyle w:val="Default"/>
        <w:ind w:left="709" w:hanging="142"/>
        <w:jc w:val="both"/>
      </w:pPr>
    </w:p>
    <w:p w14:paraId="2062C888" w14:textId="77777777" w:rsidR="007F1A06" w:rsidRPr="00285E2B" w:rsidRDefault="007F1A06" w:rsidP="008E3DC7">
      <w:pPr>
        <w:pStyle w:val="Default"/>
        <w:ind w:left="567"/>
        <w:jc w:val="both"/>
      </w:pPr>
      <w:r w:rsidRPr="00285E2B">
        <w:t xml:space="preserve">The Order and related documents can also be viewed on the Council’s website at </w:t>
      </w:r>
    </w:p>
    <w:p w14:paraId="08B3DFCD" w14:textId="31D8B5B5" w:rsidR="007F1A06" w:rsidRPr="00BD0BC1" w:rsidRDefault="00077469" w:rsidP="008E3DC7">
      <w:pPr>
        <w:pStyle w:val="NoSpacing"/>
        <w:ind w:left="709" w:hanging="142"/>
        <w:jc w:val="both"/>
        <w:rPr>
          <w:rFonts w:ascii="Arial" w:hAnsi="Arial" w:cs="Arial"/>
          <w:sz w:val="24"/>
          <w:szCs w:val="24"/>
        </w:rPr>
      </w:pPr>
      <w:hyperlink r:id="rId20" w:history="1">
        <w:r w:rsidR="006C506B" w:rsidRPr="006C506B">
          <w:rPr>
            <w:rStyle w:val="Hyperlink"/>
            <w:rFonts w:ascii="Arial" w:hAnsi="Arial" w:cs="Arial"/>
            <w:sz w:val="24"/>
            <w:szCs w:val="24"/>
          </w:rPr>
          <w:t>www.bimingham.gov.uk/poolfarmcpo</w:t>
        </w:r>
      </w:hyperlink>
    </w:p>
    <w:p w14:paraId="779D7F81" w14:textId="77777777" w:rsidR="007F1A06" w:rsidRPr="003316BB" w:rsidRDefault="007F1A06" w:rsidP="008E3DC7">
      <w:pPr>
        <w:pStyle w:val="NoSpacing"/>
        <w:ind w:hanging="142"/>
        <w:jc w:val="both"/>
        <w:rPr>
          <w:rFonts w:ascii="Arial" w:hAnsi="Arial" w:cs="Arial"/>
          <w:sz w:val="24"/>
          <w:szCs w:val="24"/>
        </w:rPr>
      </w:pPr>
    </w:p>
    <w:p w14:paraId="7031755E" w14:textId="77777777" w:rsidR="007F1A06" w:rsidRPr="007F1A06" w:rsidRDefault="007F1A06" w:rsidP="008E3DC7">
      <w:pPr>
        <w:pStyle w:val="NoSpacing"/>
        <w:numPr>
          <w:ilvl w:val="0"/>
          <w:numId w:val="3"/>
        </w:numPr>
        <w:ind w:left="567" w:hanging="567"/>
        <w:jc w:val="both"/>
        <w:outlineLvl w:val="0"/>
        <w:rPr>
          <w:rFonts w:ascii="Arial" w:hAnsi="Arial" w:cs="Arial"/>
          <w:sz w:val="24"/>
          <w:szCs w:val="24"/>
          <w:u w:val="single"/>
        </w:rPr>
      </w:pPr>
      <w:bookmarkStart w:id="19" w:name="_Toc68772057"/>
      <w:r w:rsidRPr="007F1A06">
        <w:rPr>
          <w:rFonts w:ascii="Arial" w:hAnsi="Arial" w:cs="Arial"/>
          <w:b/>
          <w:bCs/>
          <w:sz w:val="24"/>
          <w:szCs w:val="24"/>
          <w:u w:val="single"/>
        </w:rPr>
        <w:t>Inquiries Procedure Rules</w:t>
      </w:r>
      <w:bookmarkEnd w:id="19"/>
      <w:r w:rsidRPr="007F1A06">
        <w:rPr>
          <w:rFonts w:ascii="Arial" w:hAnsi="Arial" w:cs="Arial"/>
          <w:b/>
          <w:bCs/>
          <w:sz w:val="24"/>
          <w:szCs w:val="24"/>
          <w:u w:val="single"/>
        </w:rPr>
        <w:t xml:space="preserve"> </w:t>
      </w:r>
    </w:p>
    <w:p w14:paraId="34707A94" w14:textId="77777777" w:rsidR="007F1A06" w:rsidRPr="003316BB" w:rsidRDefault="007F1A06" w:rsidP="007F1A06">
      <w:pPr>
        <w:pStyle w:val="Default"/>
        <w:jc w:val="both"/>
      </w:pPr>
    </w:p>
    <w:p w14:paraId="76F800C3" w14:textId="00B304FA" w:rsidR="00BA7914" w:rsidRDefault="007F1A06" w:rsidP="008E3DC7">
      <w:pPr>
        <w:pStyle w:val="NoSpacing"/>
        <w:numPr>
          <w:ilvl w:val="1"/>
          <w:numId w:val="3"/>
        </w:numPr>
        <w:ind w:left="567" w:hanging="567"/>
        <w:jc w:val="both"/>
        <w:rPr>
          <w:rFonts w:ascii="Arial" w:hAnsi="Arial" w:cs="Arial"/>
          <w:sz w:val="24"/>
          <w:szCs w:val="24"/>
        </w:rPr>
      </w:pPr>
      <w:r w:rsidRPr="00EB1973">
        <w:rPr>
          <w:rFonts w:ascii="Arial" w:hAnsi="Arial" w:cs="Arial"/>
          <w:sz w:val="24"/>
          <w:szCs w:val="24"/>
        </w:rPr>
        <w:t xml:space="preserve">This Statement of Reasons is not intended to be a Statement of Case in accordance with the Compulsory Purchase by Non-Ministerial Acquiring Authorities (Inquiries Procedure) Rules 1990, but a list of documents which may be referred to at an Inquiry is attached. </w:t>
      </w:r>
    </w:p>
    <w:p w14:paraId="6ED29860" w14:textId="77777777" w:rsidR="00EB1973" w:rsidRPr="00EB1973" w:rsidRDefault="00EB1973" w:rsidP="00EB1973">
      <w:pPr>
        <w:pStyle w:val="NoSpacing"/>
        <w:ind w:left="720"/>
        <w:jc w:val="both"/>
        <w:rPr>
          <w:rFonts w:ascii="Arial" w:hAnsi="Arial" w:cs="Arial"/>
          <w:sz w:val="24"/>
          <w:szCs w:val="24"/>
        </w:rPr>
      </w:pPr>
    </w:p>
    <w:p w14:paraId="3DB2F6D5" w14:textId="65FC2725" w:rsidR="00DB2832" w:rsidRDefault="00DB2832">
      <w:pPr>
        <w:rPr>
          <w:rFonts w:ascii="Arial" w:hAnsi="Arial" w:cs="Arial"/>
          <w:sz w:val="24"/>
          <w:szCs w:val="24"/>
        </w:rPr>
      </w:pPr>
      <w:r>
        <w:rPr>
          <w:rFonts w:ascii="Arial" w:hAnsi="Arial" w:cs="Arial"/>
          <w:sz w:val="24"/>
          <w:szCs w:val="24"/>
        </w:rPr>
        <w:br w:type="page"/>
      </w:r>
    </w:p>
    <w:p w14:paraId="459A9C63" w14:textId="61BFB918" w:rsidR="007F1A06" w:rsidRPr="00BD0BC1" w:rsidRDefault="007F1A06" w:rsidP="008E3DC7">
      <w:pPr>
        <w:pStyle w:val="NoSpacing"/>
        <w:numPr>
          <w:ilvl w:val="0"/>
          <w:numId w:val="3"/>
        </w:numPr>
        <w:ind w:left="567" w:hanging="567"/>
        <w:jc w:val="both"/>
        <w:outlineLvl w:val="0"/>
        <w:rPr>
          <w:rFonts w:ascii="Arial" w:hAnsi="Arial" w:cs="Arial"/>
          <w:b/>
          <w:bCs/>
          <w:sz w:val="24"/>
          <w:szCs w:val="24"/>
        </w:rPr>
      </w:pPr>
      <w:bookmarkStart w:id="20" w:name="_Toc68772058"/>
      <w:r w:rsidRPr="007F1A06">
        <w:rPr>
          <w:rFonts w:ascii="Arial" w:hAnsi="Arial" w:cs="Arial"/>
          <w:b/>
          <w:bCs/>
          <w:sz w:val="24"/>
          <w:szCs w:val="24"/>
          <w:u w:val="single"/>
        </w:rPr>
        <w:lastRenderedPageBreak/>
        <w:t>Background Documents</w:t>
      </w:r>
      <w:bookmarkEnd w:id="20"/>
    </w:p>
    <w:p w14:paraId="576E57AF" w14:textId="77777777" w:rsidR="007F1A06" w:rsidRDefault="007F1A06" w:rsidP="007F1A06">
      <w:pPr>
        <w:pStyle w:val="NoSpacing"/>
        <w:jc w:val="both"/>
        <w:rPr>
          <w:b/>
          <w:bCs/>
          <w:sz w:val="24"/>
          <w:szCs w:val="24"/>
        </w:rPr>
      </w:pPr>
    </w:p>
    <w:tbl>
      <w:tblPr>
        <w:tblStyle w:val="TableGrid1"/>
        <w:tblW w:w="0" w:type="auto"/>
        <w:tblLook w:val="04A0" w:firstRow="1" w:lastRow="0" w:firstColumn="1" w:lastColumn="0" w:noHBand="0" w:noVBand="1"/>
        <w:tblCaption w:val="List of background documents"/>
        <w:tblDescription w:val="The documents set out further information about the compulsory purchase order, policy backgound, the planning permissions and funding of the development."/>
      </w:tblPr>
      <w:tblGrid>
        <w:gridCol w:w="1242"/>
        <w:gridCol w:w="7655"/>
      </w:tblGrid>
      <w:tr w:rsidR="000A3838" w:rsidRPr="000A3838" w14:paraId="207FEA5B" w14:textId="77777777" w:rsidTr="009C0D76">
        <w:trPr>
          <w:tblHeader/>
        </w:trPr>
        <w:tc>
          <w:tcPr>
            <w:tcW w:w="1242" w:type="dxa"/>
          </w:tcPr>
          <w:p w14:paraId="334809B8" w14:textId="77777777" w:rsidR="000A3838" w:rsidRPr="000A3838" w:rsidRDefault="000A3838" w:rsidP="000A3838">
            <w:pPr>
              <w:rPr>
                <w:rFonts w:ascii="Arial" w:eastAsiaTheme="minorHAnsi" w:hAnsi="Arial" w:cs="Arial"/>
              </w:rPr>
            </w:pPr>
            <w:r w:rsidRPr="000A3838">
              <w:rPr>
                <w:rFonts w:ascii="Arial" w:eastAsiaTheme="minorHAnsi" w:hAnsi="Arial" w:cs="Arial"/>
              </w:rPr>
              <w:t>Ref</w:t>
            </w:r>
          </w:p>
        </w:tc>
        <w:tc>
          <w:tcPr>
            <w:tcW w:w="7655" w:type="dxa"/>
          </w:tcPr>
          <w:p w14:paraId="6DA9A731" w14:textId="77777777" w:rsidR="000A3838" w:rsidRPr="000A3838" w:rsidRDefault="000A3838" w:rsidP="000A3838">
            <w:pPr>
              <w:rPr>
                <w:rFonts w:ascii="Arial" w:eastAsiaTheme="minorHAnsi" w:hAnsi="Arial" w:cs="Arial"/>
              </w:rPr>
            </w:pPr>
            <w:r w:rsidRPr="000A3838">
              <w:rPr>
                <w:rFonts w:ascii="Arial" w:eastAsiaTheme="minorHAnsi" w:hAnsi="Arial" w:cs="Arial"/>
              </w:rPr>
              <w:t>Document</w:t>
            </w:r>
          </w:p>
        </w:tc>
      </w:tr>
      <w:tr w:rsidR="000A3838" w:rsidRPr="000A3838" w14:paraId="2052D3B1" w14:textId="77777777" w:rsidTr="009C0D76">
        <w:trPr>
          <w:tblHeader/>
        </w:trPr>
        <w:tc>
          <w:tcPr>
            <w:tcW w:w="1242" w:type="dxa"/>
          </w:tcPr>
          <w:p w14:paraId="664E59BB" w14:textId="77777777" w:rsidR="000A3838" w:rsidRPr="000A3838" w:rsidRDefault="000A3838" w:rsidP="000A3838">
            <w:pPr>
              <w:rPr>
                <w:rFonts w:ascii="Arial" w:eastAsiaTheme="minorHAnsi" w:hAnsi="Arial" w:cs="Arial"/>
              </w:rPr>
            </w:pPr>
            <w:r w:rsidRPr="000A3838">
              <w:rPr>
                <w:rFonts w:ascii="Arial" w:eastAsiaTheme="minorHAnsi" w:hAnsi="Arial" w:cs="Arial"/>
              </w:rPr>
              <w:t>BCC 1</w:t>
            </w:r>
          </w:p>
        </w:tc>
        <w:tc>
          <w:tcPr>
            <w:tcW w:w="7655" w:type="dxa"/>
          </w:tcPr>
          <w:p w14:paraId="66D54F5F" w14:textId="12593F47" w:rsidR="000A3838" w:rsidRPr="000A3838" w:rsidRDefault="00BA7914" w:rsidP="000A3838">
            <w:pPr>
              <w:rPr>
                <w:rFonts w:ascii="Arial" w:eastAsiaTheme="minorHAnsi" w:hAnsi="Arial" w:cs="Arial"/>
              </w:rPr>
            </w:pPr>
            <w:r>
              <w:rPr>
                <w:rFonts w:ascii="Arial" w:eastAsiaTheme="minorHAnsi" w:hAnsi="Arial" w:cs="Arial"/>
                <w:bCs/>
              </w:rPr>
              <w:t xml:space="preserve">The </w:t>
            </w:r>
            <w:r w:rsidR="000A3838" w:rsidRPr="000A3838">
              <w:rPr>
                <w:rFonts w:ascii="Arial" w:eastAsiaTheme="minorHAnsi" w:hAnsi="Arial" w:cs="Arial"/>
                <w:bCs/>
              </w:rPr>
              <w:t>Birmingham City Council (Pool Farm Estate, Kings Norton) compulsory purchase order 2021 Statement of Reasons</w:t>
            </w:r>
          </w:p>
        </w:tc>
      </w:tr>
      <w:tr w:rsidR="000A3838" w:rsidRPr="000A3838" w14:paraId="196AB658" w14:textId="77777777" w:rsidTr="009C0D76">
        <w:trPr>
          <w:tblHeader/>
        </w:trPr>
        <w:tc>
          <w:tcPr>
            <w:tcW w:w="1242" w:type="dxa"/>
          </w:tcPr>
          <w:p w14:paraId="24900186" w14:textId="77777777" w:rsidR="000A3838" w:rsidRPr="000A3838" w:rsidRDefault="000A3838" w:rsidP="000A3838">
            <w:pPr>
              <w:rPr>
                <w:rFonts w:ascii="Arial" w:eastAsiaTheme="minorHAnsi" w:hAnsi="Arial" w:cs="Arial"/>
              </w:rPr>
            </w:pPr>
            <w:r w:rsidRPr="000A3838">
              <w:rPr>
                <w:rFonts w:ascii="Arial" w:eastAsiaTheme="minorHAnsi" w:hAnsi="Arial" w:cs="Arial"/>
              </w:rPr>
              <w:t>BCC 2</w:t>
            </w:r>
          </w:p>
        </w:tc>
        <w:tc>
          <w:tcPr>
            <w:tcW w:w="7655" w:type="dxa"/>
          </w:tcPr>
          <w:p w14:paraId="43972B73" w14:textId="77777777" w:rsidR="000A3838" w:rsidRPr="000A3838" w:rsidRDefault="000A3838" w:rsidP="000A3838">
            <w:pPr>
              <w:rPr>
                <w:rFonts w:ascii="Arial" w:eastAsiaTheme="minorHAnsi" w:hAnsi="Arial" w:cs="Arial"/>
                <w:bCs/>
              </w:rPr>
            </w:pPr>
            <w:r w:rsidRPr="000A3838">
              <w:rPr>
                <w:rFonts w:ascii="Arial" w:eastAsiaTheme="minorHAnsi" w:hAnsi="Arial" w:cs="Arial"/>
                <w:bCs/>
              </w:rPr>
              <w:t xml:space="preserve">The Compulsory Purchase Order </w:t>
            </w:r>
          </w:p>
        </w:tc>
      </w:tr>
      <w:tr w:rsidR="000A3838" w:rsidRPr="000A3838" w14:paraId="4473675A" w14:textId="77777777" w:rsidTr="009C0D76">
        <w:trPr>
          <w:tblHeader/>
        </w:trPr>
        <w:tc>
          <w:tcPr>
            <w:tcW w:w="1242" w:type="dxa"/>
          </w:tcPr>
          <w:p w14:paraId="2DE20019" w14:textId="77777777" w:rsidR="000A3838" w:rsidRPr="000A3838" w:rsidRDefault="000A3838" w:rsidP="000A3838">
            <w:pPr>
              <w:rPr>
                <w:rFonts w:ascii="Arial" w:eastAsiaTheme="minorHAnsi" w:hAnsi="Arial" w:cs="Arial"/>
              </w:rPr>
            </w:pPr>
            <w:r w:rsidRPr="000A3838">
              <w:rPr>
                <w:rFonts w:ascii="Arial" w:eastAsiaTheme="minorHAnsi" w:hAnsi="Arial" w:cs="Arial"/>
              </w:rPr>
              <w:t>BCC 3</w:t>
            </w:r>
          </w:p>
        </w:tc>
        <w:tc>
          <w:tcPr>
            <w:tcW w:w="7655" w:type="dxa"/>
          </w:tcPr>
          <w:p w14:paraId="522A866A" w14:textId="77777777" w:rsidR="000A3838" w:rsidRPr="000A3838" w:rsidRDefault="000A3838" w:rsidP="000A3838">
            <w:pPr>
              <w:rPr>
                <w:rFonts w:ascii="Arial" w:eastAsiaTheme="minorHAnsi" w:hAnsi="Arial" w:cs="Arial"/>
              </w:rPr>
            </w:pPr>
            <w:r w:rsidRPr="000A3838">
              <w:rPr>
                <w:rFonts w:ascii="Arial" w:eastAsiaTheme="minorHAnsi" w:hAnsi="Arial" w:cs="Arial"/>
                <w:bCs/>
              </w:rPr>
              <w:t>The Order Map sealed and dated</w:t>
            </w:r>
          </w:p>
        </w:tc>
      </w:tr>
      <w:tr w:rsidR="000A3838" w:rsidRPr="000A3838" w14:paraId="127FB4C3" w14:textId="77777777" w:rsidTr="009C0D76">
        <w:trPr>
          <w:tblHeader/>
        </w:trPr>
        <w:tc>
          <w:tcPr>
            <w:tcW w:w="1242" w:type="dxa"/>
          </w:tcPr>
          <w:p w14:paraId="38D64999" w14:textId="2254C082" w:rsidR="000A3838" w:rsidRPr="000A3838" w:rsidRDefault="000A3838" w:rsidP="000A3838">
            <w:pPr>
              <w:rPr>
                <w:rFonts w:ascii="Arial" w:eastAsiaTheme="minorHAnsi" w:hAnsi="Arial" w:cs="Arial"/>
              </w:rPr>
            </w:pPr>
            <w:r w:rsidRPr="000A3838">
              <w:rPr>
                <w:rFonts w:ascii="Arial" w:eastAsiaTheme="minorHAnsi" w:hAnsi="Arial" w:cs="Arial"/>
              </w:rPr>
              <w:t xml:space="preserve">BCC </w:t>
            </w:r>
            <w:r w:rsidR="00D21F86">
              <w:rPr>
                <w:rFonts w:ascii="Arial" w:eastAsiaTheme="minorHAnsi" w:hAnsi="Arial" w:cs="Arial"/>
              </w:rPr>
              <w:t>4</w:t>
            </w:r>
          </w:p>
        </w:tc>
        <w:tc>
          <w:tcPr>
            <w:tcW w:w="7655" w:type="dxa"/>
          </w:tcPr>
          <w:p w14:paraId="0FD25125" w14:textId="77777777" w:rsidR="000A3838" w:rsidRPr="000A3838" w:rsidRDefault="000A3838" w:rsidP="000A3838">
            <w:pPr>
              <w:rPr>
                <w:rFonts w:ascii="Arial" w:eastAsiaTheme="minorHAnsi" w:hAnsi="Arial" w:cs="Arial"/>
              </w:rPr>
            </w:pPr>
            <w:r w:rsidRPr="000A3838">
              <w:rPr>
                <w:rFonts w:ascii="Arial" w:eastAsiaTheme="minorHAnsi" w:hAnsi="Arial" w:cs="Arial"/>
                <w:bCs/>
              </w:rPr>
              <w:t xml:space="preserve">Cabinet Report Housing Clearance Programme 14 February 2017  </w:t>
            </w:r>
          </w:p>
        </w:tc>
      </w:tr>
      <w:tr w:rsidR="000A3838" w:rsidRPr="000A3838" w14:paraId="2CD9271E" w14:textId="77777777" w:rsidTr="009C0D76">
        <w:trPr>
          <w:tblHeader/>
        </w:trPr>
        <w:tc>
          <w:tcPr>
            <w:tcW w:w="1242" w:type="dxa"/>
          </w:tcPr>
          <w:p w14:paraId="484658C8" w14:textId="7EE299E0" w:rsidR="000A3838" w:rsidRPr="000A3838" w:rsidRDefault="000A3838" w:rsidP="000A3838">
            <w:pPr>
              <w:rPr>
                <w:rFonts w:ascii="Arial" w:eastAsiaTheme="minorHAnsi" w:hAnsi="Arial" w:cs="Arial"/>
              </w:rPr>
            </w:pPr>
            <w:r w:rsidRPr="000A3838">
              <w:rPr>
                <w:rFonts w:ascii="Arial" w:eastAsiaTheme="minorHAnsi" w:hAnsi="Arial" w:cs="Arial"/>
              </w:rPr>
              <w:t xml:space="preserve">BCC </w:t>
            </w:r>
            <w:r w:rsidR="00F87E1D">
              <w:rPr>
                <w:rFonts w:ascii="Arial" w:eastAsiaTheme="minorHAnsi" w:hAnsi="Arial" w:cs="Arial"/>
              </w:rPr>
              <w:t>5</w:t>
            </w:r>
          </w:p>
        </w:tc>
        <w:tc>
          <w:tcPr>
            <w:tcW w:w="7655" w:type="dxa"/>
          </w:tcPr>
          <w:p w14:paraId="4DC8D67C" w14:textId="77777777" w:rsidR="000A3838" w:rsidRPr="000A3838" w:rsidRDefault="000A3838" w:rsidP="000A3838">
            <w:pPr>
              <w:rPr>
                <w:rFonts w:ascii="Arial" w:eastAsiaTheme="minorHAnsi" w:hAnsi="Arial" w:cs="Arial"/>
              </w:rPr>
            </w:pPr>
            <w:r w:rsidRPr="000A3838">
              <w:rPr>
                <w:rFonts w:ascii="Arial" w:eastAsiaTheme="minorHAnsi" w:hAnsi="Arial" w:cs="Arial"/>
              </w:rPr>
              <w:t>Planning Application (Full) 2020/08312/PA Report to Planning Committee 4 March 2021 (Gildas Avenue)</w:t>
            </w:r>
          </w:p>
        </w:tc>
      </w:tr>
      <w:tr w:rsidR="000A3838" w:rsidRPr="000A3838" w14:paraId="06A1546D" w14:textId="77777777" w:rsidTr="009C0D76">
        <w:trPr>
          <w:tblHeader/>
        </w:trPr>
        <w:tc>
          <w:tcPr>
            <w:tcW w:w="1242" w:type="dxa"/>
          </w:tcPr>
          <w:p w14:paraId="21BE7C19" w14:textId="776442A5" w:rsidR="000A3838" w:rsidRPr="000A3838" w:rsidRDefault="000A3838" w:rsidP="000A3838">
            <w:pPr>
              <w:rPr>
                <w:rFonts w:ascii="Arial" w:eastAsiaTheme="minorHAnsi" w:hAnsi="Arial" w:cs="Arial"/>
              </w:rPr>
            </w:pPr>
            <w:r w:rsidRPr="000A3838">
              <w:rPr>
                <w:rFonts w:ascii="Arial" w:eastAsiaTheme="minorHAnsi" w:hAnsi="Arial" w:cs="Arial"/>
              </w:rPr>
              <w:t xml:space="preserve">BCC </w:t>
            </w:r>
            <w:r w:rsidR="00F87E1D">
              <w:rPr>
                <w:rFonts w:ascii="Arial" w:eastAsiaTheme="minorHAnsi" w:hAnsi="Arial" w:cs="Arial"/>
              </w:rPr>
              <w:t>6</w:t>
            </w:r>
          </w:p>
        </w:tc>
        <w:tc>
          <w:tcPr>
            <w:tcW w:w="7655" w:type="dxa"/>
          </w:tcPr>
          <w:p w14:paraId="23AB8886" w14:textId="77777777" w:rsidR="000A3838" w:rsidRPr="000A3838" w:rsidRDefault="000A3838" w:rsidP="000A3838">
            <w:pPr>
              <w:rPr>
                <w:rFonts w:ascii="Arial" w:eastAsiaTheme="minorHAnsi" w:hAnsi="Arial" w:cs="Arial"/>
              </w:rPr>
            </w:pPr>
            <w:r w:rsidRPr="000A3838">
              <w:rPr>
                <w:rFonts w:ascii="Arial" w:eastAsiaTheme="minorHAnsi" w:hAnsi="Arial" w:cs="Arial"/>
              </w:rPr>
              <w:t>Planning Application (Full) 2020/08312/PA Site layout</w:t>
            </w:r>
          </w:p>
        </w:tc>
      </w:tr>
      <w:tr w:rsidR="000A3838" w:rsidRPr="000A3838" w14:paraId="32320E99" w14:textId="77777777" w:rsidTr="009C0D76">
        <w:trPr>
          <w:tblHeader/>
        </w:trPr>
        <w:tc>
          <w:tcPr>
            <w:tcW w:w="1242" w:type="dxa"/>
          </w:tcPr>
          <w:p w14:paraId="7630819B" w14:textId="12AC5791" w:rsidR="000A3838" w:rsidRPr="000A3838" w:rsidRDefault="000A3838" w:rsidP="000A3838">
            <w:pPr>
              <w:rPr>
                <w:rFonts w:ascii="Arial" w:eastAsiaTheme="minorHAnsi" w:hAnsi="Arial" w:cs="Arial"/>
              </w:rPr>
            </w:pPr>
            <w:r w:rsidRPr="000A3838">
              <w:rPr>
                <w:rFonts w:ascii="Arial" w:eastAsiaTheme="minorHAnsi" w:hAnsi="Arial" w:cs="Arial"/>
              </w:rPr>
              <w:t xml:space="preserve">BCC </w:t>
            </w:r>
            <w:r w:rsidR="00F87E1D">
              <w:rPr>
                <w:rFonts w:ascii="Arial" w:eastAsiaTheme="minorHAnsi" w:hAnsi="Arial" w:cs="Arial"/>
              </w:rPr>
              <w:t>7</w:t>
            </w:r>
          </w:p>
        </w:tc>
        <w:tc>
          <w:tcPr>
            <w:tcW w:w="7655" w:type="dxa"/>
          </w:tcPr>
          <w:p w14:paraId="3DE9175D" w14:textId="77777777" w:rsidR="000A3838" w:rsidRPr="000A3838" w:rsidRDefault="000A3838" w:rsidP="000A3838">
            <w:pPr>
              <w:rPr>
                <w:rFonts w:ascii="Arial" w:eastAsiaTheme="minorHAnsi" w:hAnsi="Arial" w:cs="Arial"/>
              </w:rPr>
            </w:pPr>
            <w:r w:rsidRPr="000A3838">
              <w:rPr>
                <w:rFonts w:ascii="Arial" w:eastAsiaTheme="minorHAnsi" w:hAnsi="Arial" w:cs="Arial"/>
              </w:rPr>
              <w:t xml:space="preserve">Planning Application (Full) 2020/08312/PA Decision Document </w:t>
            </w:r>
          </w:p>
        </w:tc>
      </w:tr>
      <w:tr w:rsidR="000A3838" w:rsidRPr="000A3838" w14:paraId="6400D71C" w14:textId="77777777" w:rsidTr="009C0D76">
        <w:trPr>
          <w:tblHeader/>
        </w:trPr>
        <w:tc>
          <w:tcPr>
            <w:tcW w:w="1242" w:type="dxa"/>
          </w:tcPr>
          <w:p w14:paraId="4566C5D2" w14:textId="6325FB4F" w:rsidR="000A3838" w:rsidRPr="000A3838" w:rsidRDefault="000A3838" w:rsidP="000A3838">
            <w:pPr>
              <w:rPr>
                <w:rFonts w:ascii="Arial" w:eastAsiaTheme="minorHAnsi" w:hAnsi="Arial" w:cs="Arial"/>
              </w:rPr>
            </w:pPr>
            <w:r w:rsidRPr="000A3838">
              <w:rPr>
                <w:rFonts w:ascii="Arial" w:eastAsiaTheme="minorHAnsi" w:hAnsi="Arial" w:cs="Arial"/>
              </w:rPr>
              <w:t xml:space="preserve">BCC </w:t>
            </w:r>
            <w:r w:rsidR="00F87E1D">
              <w:rPr>
                <w:rFonts w:ascii="Arial" w:eastAsiaTheme="minorHAnsi" w:hAnsi="Arial" w:cs="Arial"/>
              </w:rPr>
              <w:t>8</w:t>
            </w:r>
          </w:p>
        </w:tc>
        <w:tc>
          <w:tcPr>
            <w:tcW w:w="7655" w:type="dxa"/>
          </w:tcPr>
          <w:p w14:paraId="12BFD2A6" w14:textId="77777777" w:rsidR="000A3838" w:rsidRPr="000A3838" w:rsidRDefault="000A3838" w:rsidP="000A3838">
            <w:pPr>
              <w:rPr>
                <w:rFonts w:ascii="Arial" w:eastAsiaTheme="minorHAnsi" w:hAnsi="Arial" w:cs="Arial"/>
              </w:rPr>
            </w:pPr>
            <w:r w:rsidRPr="000A3838">
              <w:rPr>
                <w:rFonts w:ascii="Arial" w:eastAsiaTheme="minorHAnsi" w:hAnsi="Arial" w:cs="Arial"/>
              </w:rPr>
              <w:t>Planning Application (Outline) 2020/08270/PA Report to Planning Committee 4 March 2021 (Hillmeads and Shannon Road)</w:t>
            </w:r>
          </w:p>
        </w:tc>
      </w:tr>
      <w:tr w:rsidR="000A3838" w:rsidRPr="000A3838" w14:paraId="7DC5EE75" w14:textId="77777777" w:rsidTr="009C0D76">
        <w:trPr>
          <w:tblHeader/>
        </w:trPr>
        <w:tc>
          <w:tcPr>
            <w:tcW w:w="1242" w:type="dxa"/>
          </w:tcPr>
          <w:p w14:paraId="0F493ED7" w14:textId="74B7EB25" w:rsidR="000A3838" w:rsidRPr="000A3838" w:rsidRDefault="000A3838" w:rsidP="000A3838">
            <w:pPr>
              <w:rPr>
                <w:rFonts w:ascii="Arial" w:eastAsiaTheme="minorHAnsi" w:hAnsi="Arial" w:cs="Arial"/>
              </w:rPr>
            </w:pPr>
            <w:r w:rsidRPr="000A3838">
              <w:rPr>
                <w:rFonts w:ascii="Arial" w:eastAsiaTheme="minorHAnsi" w:hAnsi="Arial" w:cs="Arial"/>
              </w:rPr>
              <w:t xml:space="preserve">BCC </w:t>
            </w:r>
            <w:r w:rsidR="00F87E1D">
              <w:rPr>
                <w:rFonts w:ascii="Arial" w:eastAsiaTheme="minorHAnsi" w:hAnsi="Arial" w:cs="Arial"/>
              </w:rPr>
              <w:t>9</w:t>
            </w:r>
          </w:p>
        </w:tc>
        <w:tc>
          <w:tcPr>
            <w:tcW w:w="7655" w:type="dxa"/>
          </w:tcPr>
          <w:p w14:paraId="07FC86A4" w14:textId="77777777" w:rsidR="000A3838" w:rsidRPr="000A3838" w:rsidRDefault="000A3838" w:rsidP="000A3838">
            <w:pPr>
              <w:rPr>
                <w:rFonts w:ascii="Arial" w:eastAsiaTheme="minorHAnsi" w:hAnsi="Arial" w:cs="Arial"/>
              </w:rPr>
            </w:pPr>
            <w:r w:rsidRPr="000A3838">
              <w:rPr>
                <w:rFonts w:ascii="Arial" w:eastAsiaTheme="minorHAnsi" w:hAnsi="Arial" w:cs="Arial"/>
              </w:rPr>
              <w:t>Planning Application (Outline) 2020/08270/PA Indicative site layout</w:t>
            </w:r>
          </w:p>
        </w:tc>
      </w:tr>
      <w:tr w:rsidR="000A3838" w:rsidRPr="000A3838" w14:paraId="72D222C5" w14:textId="77777777" w:rsidTr="009C0D76">
        <w:trPr>
          <w:tblHeader/>
        </w:trPr>
        <w:tc>
          <w:tcPr>
            <w:tcW w:w="1242" w:type="dxa"/>
          </w:tcPr>
          <w:p w14:paraId="2D59F724" w14:textId="70CCCBE5" w:rsidR="000A3838" w:rsidRPr="000A3838" w:rsidRDefault="000A3838" w:rsidP="000A3838">
            <w:pPr>
              <w:rPr>
                <w:rFonts w:ascii="Arial" w:eastAsiaTheme="minorHAnsi" w:hAnsi="Arial" w:cs="Arial"/>
              </w:rPr>
            </w:pPr>
            <w:r w:rsidRPr="000A3838">
              <w:rPr>
                <w:rFonts w:ascii="Arial" w:eastAsiaTheme="minorHAnsi" w:hAnsi="Arial" w:cs="Arial"/>
              </w:rPr>
              <w:t>BCC 1</w:t>
            </w:r>
            <w:r w:rsidR="00F87E1D">
              <w:rPr>
                <w:rFonts w:ascii="Arial" w:eastAsiaTheme="minorHAnsi" w:hAnsi="Arial" w:cs="Arial"/>
              </w:rPr>
              <w:t>0</w:t>
            </w:r>
          </w:p>
        </w:tc>
        <w:tc>
          <w:tcPr>
            <w:tcW w:w="7655" w:type="dxa"/>
          </w:tcPr>
          <w:p w14:paraId="6F6AE4A3" w14:textId="77777777" w:rsidR="000A3838" w:rsidRPr="000A3838" w:rsidRDefault="000A3838" w:rsidP="000A3838">
            <w:pPr>
              <w:rPr>
                <w:rFonts w:ascii="Arial" w:eastAsiaTheme="minorHAnsi" w:hAnsi="Arial" w:cs="Arial"/>
              </w:rPr>
            </w:pPr>
            <w:r w:rsidRPr="000A3838">
              <w:rPr>
                <w:rFonts w:ascii="Arial" w:eastAsiaTheme="minorHAnsi" w:hAnsi="Arial" w:cs="Arial"/>
              </w:rPr>
              <w:t>Planning Application (Outline) 2020/08270/PA Decision Document.</w:t>
            </w:r>
          </w:p>
        </w:tc>
      </w:tr>
      <w:tr w:rsidR="000A3838" w:rsidRPr="000A3838" w14:paraId="5E38AB69" w14:textId="77777777" w:rsidTr="009C0D76">
        <w:trPr>
          <w:tblHeader/>
        </w:trPr>
        <w:tc>
          <w:tcPr>
            <w:tcW w:w="1242" w:type="dxa"/>
          </w:tcPr>
          <w:p w14:paraId="028CCC97" w14:textId="356D8D83" w:rsidR="000A3838" w:rsidRPr="000A3838" w:rsidRDefault="000A3838" w:rsidP="000A3838">
            <w:pPr>
              <w:rPr>
                <w:rFonts w:ascii="Arial" w:eastAsiaTheme="minorHAnsi" w:hAnsi="Arial" w:cs="Arial"/>
              </w:rPr>
            </w:pPr>
            <w:r w:rsidRPr="000A3838">
              <w:rPr>
                <w:rFonts w:ascii="Arial" w:eastAsiaTheme="minorHAnsi" w:hAnsi="Arial" w:cs="Arial"/>
              </w:rPr>
              <w:t>BCC 1</w:t>
            </w:r>
            <w:r w:rsidR="00F87E1D">
              <w:rPr>
                <w:rFonts w:ascii="Arial" w:eastAsiaTheme="minorHAnsi" w:hAnsi="Arial" w:cs="Arial"/>
              </w:rPr>
              <w:t>1</w:t>
            </w:r>
          </w:p>
        </w:tc>
        <w:tc>
          <w:tcPr>
            <w:tcW w:w="7655" w:type="dxa"/>
          </w:tcPr>
          <w:p w14:paraId="6E917B6B" w14:textId="2F9D47BF" w:rsidR="000A3838" w:rsidRPr="000A3838" w:rsidRDefault="0003629D" w:rsidP="000A3838">
            <w:pPr>
              <w:rPr>
                <w:rFonts w:ascii="Arial" w:eastAsiaTheme="minorHAnsi" w:hAnsi="Arial" w:cs="Arial"/>
              </w:rPr>
            </w:pPr>
            <w:r>
              <w:rPr>
                <w:rFonts w:ascii="Arial" w:eastAsiaTheme="minorHAnsi" w:hAnsi="Arial" w:cs="Arial"/>
              </w:rPr>
              <w:t>Council Financial Plan 202</w:t>
            </w:r>
            <w:r w:rsidR="00D21F86">
              <w:rPr>
                <w:rFonts w:ascii="Arial" w:eastAsiaTheme="minorHAnsi" w:hAnsi="Arial" w:cs="Arial"/>
              </w:rPr>
              <w:t>0</w:t>
            </w:r>
            <w:r>
              <w:rPr>
                <w:rFonts w:ascii="Arial" w:eastAsiaTheme="minorHAnsi" w:hAnsi="Arial" w:cs="Arial"/>
              </w:rPr>
              <w:t>-</w:t>
            </w:r>
            <w:r w:rsidR="00D21F86">
              <w:rPr>
                <w:rFonts w:ascii="Arial" w:eastAsiaTheme="minorHAnsi" w:hAnsi="Arial" w:cs="Arial"/>
              </w:rPr>
              <w:t xml:space="preserve">24 - </w:t>
            </w:r>
            <w:r>
              <w:rPr>
                <w:rFonts w:ascii="Arial" w:eastAsiaTheme="minorHAnsi" w:hAnsi="Arial" w:cs="Arial"/>
              </w:rPr>
              <w:t>HRA</w:t>
            </w:r>
          </w:p>
        </w:tc>
      </w:tr>
      <w:tr w:rsidR="000A3838" w:rsidRPr="000A3838" w14:paraId="18172008" w14:textId="77777777" w:rsidTr="009C0D76">
        <w:trPr>
          <w:tblHeader/>
        </w:trPr>
        <w:tc>
          <w:tcPr>
            <w:tcW w:w="1242" w:type="dxa"/>
          </w:tcPr>
          <w:p w14:paraId="3F14CF82" w14:textId="4BDED8F3" w:rsidR="000A3838" w:rsidRPr="000A3838" w:rsidRDefault="000A3838" w:rsidP="000A3838">
            <w:pPr>
              <w:rPr>
                <w:rFonts w:ascii="Arial" w:eastAsiaTheme="minorHAnsi" w:hAnsi="Arial" w:cs="Arial"/>
              </w:rPr>
            </w:pPr>
            <w:r w:rsidRPr="000A3838">
              <w:rPr>
                <w:rFonts w:ascii="Arial" w:eastAsiaTheme="minorHAnsi" w:hAnsi="Arial" w:cs="Arial"/>
              </w:rPr>
              <w:t>BCC 1</w:t>
            </w:r>
            <w:r w:rsidR="00F87E1D">
              <w:rPr>
                <w:rFonts w:ascii="Arial" w:eastAsiaTheme="minorHAnsi" w:hAnsi="Arial" w:cs="Arial"/>
              </w:rPr>
              <w:t>2</w:t>
            </w:r>
          </w:p>
        </w:tc>
        <w:tc>
          <w:tcPr>
            <w:tcW w:w="7655" w:type="dxa"/>
          </w:tcPr>
          <w:p w14:paraId="1C698B71" w14:textId="77777777" w:rsidR="000A3838" w:rsidRPr="000A3838" w:rsidRDefault="000A3838" w:rsidP="000A3838">
            <w:pPr>
              <w:rPr>
                <w:rFonts w:ascii="Arial" w:eastAsiaTheme="minorHAnsi" w:hAnsi="Arial" w:cs="Arial"/>
              </w:rPr>
            </w:pPr>
            <w:r w:rsidRPr="000A3838">
              <w:rPr>
                <w:rFonts w:ascii="Arial" w:eastAsiaTheme="minorHAnsi" w:hAnsi="Arial" w:cs="Arial"/>
              </w:rPr>
              <w:t>Cabinet Report – ‘Building Homes on the Pool Farm Estate and Shannon Road site’ 9 February 2021 (Including Financial Business Case)</w:t>
            </w:r>
          </w:p>
        </w:tc>
      </w:tr>
      <w:tr w:rsidR="000A3838" w:rsidRPr="000A3838" w14:paraId="1521172F" w14:textId="77777777" w:rsidTr="009C0D76">
        <w:trPr>
          <w:tblHeader/>
        </w:trPr>
        <w:tc>
          <w:tcPr>
            <w:tcW w:w="1242" w:type="dxa"/>
          </w:tcPr>
          <w:p w14:paraId="4A348C4D" w14:textId="0973741C" w:rsidR="000A3838" w:rsidRPr="000A3838" w:rsidRDefault="000A3838" w:rsidP="000A3838">
            <w:pPr>
              <w:rPr>
                <w:rFonts w:ascii="Arial" w:eastAsiaTheme="minorHAnsi" w:hAnsi="Arial" w:cs="Arial"/>
              </w:rPr>
            </w:pPr>
            <w:r w:rsidRPr="000A3838">
              <w:rPr>
                <w:rFonts w:ascii="Arial" w:eastAsiaTheme="minorHAnsi" w:hAnsi="Arial" w:cs="Arial"/>
              </w:rPr>
              <w:t>BCC 1</w:t>
            </w:r>
            <w:r w:rsidR="00F87E1D">
              <w:rPr>
                <w:rFonts w:ascii="Arial" w:eastAsiaTheme="minorHAnsi" w:hAnsi="Arial" w:cs="Arial"/>
              </w:rPr>
              <w:t>3</w:t>
            </w:r>
          </w:p>
        </w:tc>
        <w:tc>
          <w:tcPr>
            <w:tcW w:w="7655" w:type="dxa"/>
          </w:tcPr>
          <w:p w14:paraId="5CF7450E" w14:textId="77777777" w:rsidR="000A3838" w:rsidRPr="000A3838" w:rsidRDefault="000A3838" w:rsidP="000A3838">
            <w:pPr>
              <w:rPr>
                <w:rFonts w:ascii="Arial" w:eastAsiaTheme="minorHAnsi" w:hAnsi="Arial" w:cs="Arial"/>
              </w:rPr>
            </w:pPr>
            <w:r w:rsidRPr="000A3838">
              <w:rPr>
                <w:rFonts w:ascii="Arial" w:eastAsiaTheme="minorHAnsi" w:hAnsi="Arial" w:cs="Arial"/>
                <w:lang w:eastAsia="en-GB"/>
              </w:rPr>
              <w:t>The National Planning Policy Framework</w:t>
            </w:r>
          </w:p>
        </w:tc>
      </w:tr>
      <w:tr w:rsidR="000A3838" w:rsidRPr="000A3838" w14:paraId="32D6FB57" w14:textId="77777777" w:rsidTr="009C0D76">
        <w:trPr>
          <w:tblHeader/>
        </w:trPr>
        <w:tc>
          <w:tcPr>
            <w:tcW w:w="1242" w:type="dxa"/>
          </w:tcPr>
          <w:p w14:paraId="31832B89" w14:textId="29AA5349" w:rsidR="000A3838" w:rsidRPr="000A3838" w:rsidRDefault="000A3838" w:rsidP="000A3838">
            <w:pPr>
              <w:rPr>
                <w:rFonts w:ascii="Arial" w:eastAsiaTheme="minorHAnsi" w:hAnsi="Arial" w:cs="Arial"/>
              </w:rPr>
            </w:pPr>
            <w:r w:rsidRPr="000A3838">
              <w:rPr>
                <w:rFonts w:ascii="Arial" w:eastAsiaTheme="minorHAnsi" w:hAnsi="Arial" w:cs="Arial"/>
              </w:rPr>
              <w:t>BCC 1</w:t>
            </w:r>
            <w:r w:rsidR="00F87E1D">
              <w:rPr>
                <w:rFonts w:ascii="Arial" w:eastAsiaTheme="minorHAnsi" w:hAnsi="Arial" w:cs="Arial"/>
              </w:rPr>
              <w:t>4</w:t>
            </w:r>
          </w:p>
        </w:tc>
        <w:tc>
          <w:tcPr>
            <w:tcW w:w="7655" w:type="dxa"/>
          </w:tcPr>
          <w:p w14:paraId="1029E8DC" w14:textId="77777777" w:rsidR="000A3838" w:rsidRPr="000A3838" w:rsidRDefault="000A3838" w:rsidP="000A3838">
            <w:pPr>
              <w:rPr>
                <w:rFonts w:ascii="Arial" w:eastAsiaTheme="minorHAnsi" w:hAnsi="Arial" w:cs="Arial"/>
              </w:rPr>
            </w:pPr>
            <w:r w:rsidRPr="000A3838">
              <w:rPr>
                <w:rFonts w:ascii="Arial" w:eastAsiaTheme="minorHAnsi" w:hAnsi="Arial" w:cs="Arial"/>
                <w:lang w:eastAsia="en-GB"/>
              </w:rPr>
              <w:t>Birmingham Development Plan 2031</w:t>
            </w:r>
          </w:p>
        </w:tc>
      </w:tr>
      <w:tr w:rsidR="000A3838" w:rsidRPr="000A3838" w14:paraId="0532E22A" w14:textId="77777777" w:rsidTr="009C0D76">
        <w:trPr>
          <w:tblHeader/>
        </w:trPr>
        <w:tc>
          <w:tcPr>
            <w:tcW w:w="1242" w:type="dxa"/>
          </w:tcPr>
          <w:p w14:paraId="7C751404" w14:textId="59F193CE" w:rsidR="000A3838" w:rsidRPr="000A3838" w:rsidRDefault="000A3838" w:rsidP="000A3838">
            <w:pPr>
              <w:rPr>
                <w:rFonts w:ascii="Arial" w:eastAsiaTheme="minorHAnsi" w:hAnsi="Arial" w:cs="Arial"/>
              </w:rPr>
            </w:pPr>
            <w:r w:rsidRPr="000A3838">
              <w:rPr>
                <w:rFonts w:ascii="Arial" w:eastAsiaTheme="minorHAnsi" w:hAnsi="Arial" w:cs="Arial"/>
              </w:rPr>
              <w:t>BCC 1</w:t>
            </w:r>
            <w:r w:rsidR="00F87E1D">
              <w:rPr>
                <w:rFonts w:ascii="Arial" w:eastAsiaTheme="minorHAnsi" w:hAnsi="Arial" w:cs="Arial"/>
              </w:rPr>
              <w:t>5</w:t>
            </w:r>
          </w:p>
        </w:tc>
        <w:tc>
          <w:tcPr>
            <w:tcW w:w="7655" w:type="dxa"/>
          </w:tcPr>
          <w:p w14:paraId="328DCE5F" w14:textId="77777777" w:rsidR="000A3838" w:rsidRPr="000A3838" w:rsidRDefault="000A3838" w:rsidP="000A3838">
            <w:pPr>
              <w:rPr>
                <w:rFonts w:ascii="Arial" w:eastAsiaTheme="minorHAnsi" w:hAnsi="Arial" w:cs="Arial"/>
                <w:lang w:eastAsia="en-GB"/>
              </w:rPr>
            </w:pPr>
            <w:r w:rsidRPr="000A3838">
              <w:rPr>
                <w:rFonts w:ascii="Arial" w:eastAsiaTheme="minorHAnsi" w:hAnsi="Arial" w:cs="Arial"/>
                <w:lang w:eastAsia="en-GB"/>
              </w:rPr>
              <w:t>Birmingham Development Plan 2031 Proposals Map</w:t>
            </w:r>
          </w:p>
        </w:tc>
      </w:tr>
      <w:tr w:rsidR="000A3838" w:rsidRPr="000A3838" w14:paraId="7E758DC7" w14:textId="77777777" w:rsidTr="009C0D76">
        <w:trPr>
          <w:tblHeader/>
        </w:trPr>
        <w:tc>
          <w:tcPr>
            <w:tcW w:w="1242" w:type="dxa"/>
          </w:tcPr>
          <w:p w14:paraId="0C1B1BF5" w14:textId="1E40EDDD" w:rsidR="000A3838" w:rsidRPr="000A3838" w:rsidRDefault="000A3838" w:rsidP="000A3838">
            <w:pPr>
              <w:rPr>
                <w:rFonts w:ascii="Arial" w:eastAsiaTheme="minorHAnsi" w:hAnsi="Arial" w:cs="Arial"/>
              </w:rPr>
            </w:pPr>
            <w:r w:rsidRPr="000A3838">
              <w:rPr>
                <w:rFonts w:ascii="Arial" w:eastAsiaTheme="minorHAnsi" w:hAnsi="Arial" w:cs="Arial"/>
              </w:rPr>
              <w:t>BCC 1</w:t>
            </w:r>
            <w:r w:rsidR="00F87E1D">
              <w:rPr>
                <w:rFonts w:ascii="Arial" w:eastAsiaTheme="minorHAnsi" w:hAnsi="Arial" w:cs="Arial"/>
              </w:rPr>
              <w:t>6</w:t>
            </w:r>
          </w:p>
        </w:tc>
        <w:tc>
          <w:tcPr>
            <w:tcW w:w="7655" w:type="dxa"/>
          </w:tcPr>
          <w:p w14:paraId="070C5069" w14:textId="77777777" w:rsidR="000A3838" w:rsidRPr="000A3838" w:rsidRDefault="000A3838" w:rsidP="000A3838">
            <w:pPr>
              <w:rPr>
                <w:rFonts w:ascii="Arial" w:eastAsiaTheme="minorHAnsi" w:hAnsi="Arial" w:cs="Arial"/>
              </w:rPr>
            </w:pPr>
            <w:r w:rsidRPr="000A3838">
              <w:rPr>
                <w:rFonts w:ascii="Arial" w:eastAsiaTheme="minorHAnsi" w:hAnsi="Arial" w:cs="Arial"/>
                <w:color w:val="000000"/>
              </w:rPr>
              <w:t>Kings Norton Planning Framework</w:t>
            </w:r>
          </w:p>
        </w:tc>
      </w:tr>
      <w:tr w:rsidR="000A3838" w:rsidRPr="000A3838" w14:paraId="2D9407FA" w14:textId="77777777" w:rsidTr="009C0D76">
        <w:trPr>
          <w:tblHeader/>
        </w:trPr>
        <w:tc>
          <w:tcPr>
            <w:tcW w:w="1242" w:type="dxa"/>
          </w:tcPr>
          <w:p w14:paraId="7ECD0FFD" w14:textId="4E93A0CD" w:rsidR="000A3838" w:rsidRPr="000A3838" w:rsidRDefault="000A3838" w:rsidP="000A3838">
            <w:pPr>
              <w:rPr>
                <w:rFonts w:ascii="Arial" w:eastAsiaTheme="minorHAnsi" w:hAnsi="Arial" w:cs="Arial"/>
              </w:rPr>
            </w:pPr>
            <w:r w:rsidRPr="000A3838">
              <w:rPr>
                <w:rFonts w:ascii="Arial" w:eastAsiaTheme="minorHAnsi" w:hAnsi="Arial" w:cs="Arial"/>
              </w:rPr>
              <w:t>BCC 1</w:t>
            </w:r>
            <w:r w:rsidR="00F87E1D">
              <w:rPr>
                <w:rFonts w:ascii="Arial" w:eastAsiaTheme="minorHAnsi" w:hAnsi="Arial" w:cs="Arial"/>
              </w:rPr>
              <w:t>7</w:t>
            </w:r>
          </w:p>
        </w:tc>
        <w:tc>
          <w:tcPr>
            <w:tcW w:w="7655" w:type="dxa"/>
          </w:tcPr>
          <w:p w14:paraId="1BEB5120" w14:textId="77777777" w:rsidR="000A3838" w:rsidRPr="000A3838" w:rsidRDefault="000A3838" w:rsidP="000A3838">
            <w:pPr>
              <w:rPr>
                <w:rFonts w:ascii="Arial" w:eastAsiaTheme="minorHAnsi" w:hAnsi="Arial" w:cs="Arial"/>
                <w:color w:val="000000"/>
              </w:rPr>
            </w:pPr>
            <w:r w:rsidRPr="000A3838">
              <w:rPr>
                <w:rFonts w:ascii="Arial" w:eastAsiaTheme="minorHAnsi" w:hAnsi="Arial" w:cs="Arial"/>
                <w:color w:val="000000"/>
              </w:rPr>
              <w:t>Kings Norton Planning Framework</w:t>
            </w:r>
            <w:r w:rsidRPr="000A3838">
              <w:rPr>
                <w:rFonts w:ascii="Arial" w:eastAsiaTheme="minorHAnsi" w:hAnsi="Arial" w:cs="Arial"/>
                <w:lang w:eastAsia="en-GB"/>
              </w:rPr>
              <w:t xml:space="preserve"> Proposals Map</w:t>
            </w:r>
          </w:p>
        </w:tc>
      </w:tr>
      <w:tr w:rsidR="000A3838" w:rsidRPr="000A3838" w14:paraId="66D7B389" w14:textId="77777777" w:rsidTr="009C0D76">
        <w:trPr>
          <w:tblHeader/>
        </w:trPr>
        <w:tc>
          <w:tcPr>
            <w:tcW w:w="1242" w:type="dxa"/>
          </w:tcPr>
          <w:p w14:paraId="2302C303" w14:textId="7ECA0DF1" w:rsidR="000A3838" w:rsidRPr="000A3838" w:rsidRDefault="000A3838" w:rsidP="000A3838">
            <w:pPr>
              <w:rPr>
                <w:rFonts w:ascii="Arial" w:eastAsiaTheme="minorHAnsi" w:hAnsi="Arial" w:cs="Arial"/>
              </w:rPr>
            </w:pPr>
            <w:r w:rsidRPr="000A3838">
              <w:rPr>
                <w:rFonts w:ascii="Arial" w:eastAsiaTheme="minorHAnsi" w:hAnsi="Arial" w:cs="Arial"/>
              </w:rPr>
              <w:t>BCC 1</w:t>
            </w:r>
            <w:r w:rsidR="00F87E1D">
              <w:rPr>
                <w:rFonts w:ascii="Arial" w:eastAsiaTheme="minorHAnsi" w:hAnsi="Arial" w:cs="Arial"/>
              </w:rPr>
              <w:t>8</w:t>
            </w:r>
          </w:p>
        </w:tc>
        <w:tc>
          <w:tcPr>
            <w:tcW w:w="7655" w:type="dxa"/>
          </w:tcPr>
          <w:p w14:paraId="3BFFFE9D" w14:textId="77777777" w:rsidR="000A3838" w:rsidRPr="000A3838" w:rsidRDefault="000A3838" w:rsidP="000A3838">
            <w:pPr>
              <w:rPr>
                <w:rFonts w:ascii="Arial" w:eastAsiaTheme="minorHAnsi" w:hAnsi="Arial" w:cs="Arial"/>
              </w:rPr>
            </w:pPr>
            <w:r w:rsidRPr="000A3838">
              <w:rPr>
                <w:rFonts w:ascii="Arial" w:eastAsia="Times New Roman" w:hAnsi="Arial" w:cs="Arial"/>
              </w:rPr>
              <w:t>Places for Living</w:t>
            </w:r>
          </w:p>
        </w:tc>
      </w:tr>
      <w:tr w:rsidR="000A3838" w:rsidRPr="000A3838" w14:paraId="0AC37065" w14:textId="77777777" w:rsidTr="009C0D76">
        <w:trPr>
          <w:tblHeader/>
        </w:trPr>
        <w:tc>
          <w:tcPr>
            <w:tcW w:w="1242" w:type="dxa"/>
          </w:tcPr>
          <w:p w14:paraId="7C0F7B30" w14:textId="11B3564E" w:rsidR="000A3838" w:rsidRPr="000A3838" w:rsidRDefault="000A3838" w:rsidP="000A3838">
            <w:pPr>
              <w:rPr>
                <w:rFonts w:ascii="Arial" w:eastAsiaTheme="minorHAnsi" w:hAnsi="Arial" w:cs="Arial"/>
              </w:rPr>
            </w:pPr>
            <w:r w:rsidRPr="000A3838">
              <w:rPr>
                <w:rFonts w:ascii="Arial" w:eastAsiaTheme="minorHAnsi" w:hAnsi="Arial" w:cs="Arial"/>
              </w:rPr>
              <w:t xml:space="preserve">BCC </w:t>
            </w:r>
            <w:r w:rsidR="00F87E1D">
              <w:rPr>
                <w:rFonts w:ascii="Arial" w:eastAsiaTheme="minorHAnsi" w:hAnsi="Arial" w:cs="Arial"/>
              </w:rPr>
              <w:t>19</w:t>
            </w:r>
          </w:p>
        </w:tc>
        <w:tc>
          <w:tcPr>
            <w:tcW w:w="7655" w:type="dxa"/>
          </w:tcPr>
          <w:p w14:paraId="78F5DA45" w14:textId="77777777" w:rsidR="000A3838" w:rsidRPr="000A3838" w:rsidRDefault="000A3838" w:rsidP="000A3838">
            <w:pPr>
              <w:rPr>
                <w:rFonts w:ascii="Arial" w:eastAsiaTheme="minorHAnsi" w:hAnsi="Arial" w:cs="Arial"/>
              </w:rPr>
            </w:pPr>
            <w:r w:rsidRPr="000A3838">
              <w:rPr>
                <w:rFonts w:ascii="Arial" w:eastAsia="Times New Roman" w:hAnsi="Arial" w:cs="Arial"/>
              </w:rPr>
              <w:t>Places for All</w:t>
            </w:r>
          </w:p>
        </w:tc>
      </w:tr>
      <w:tr w:rsidR="000A3838" w:rsidRPr="000A3838" w14:paraId="566A3885" w14:textId="77777777" w:rsidTr="009C0D76">
        <w:trPr>
          <w:tblHeader/>
        </w:trPr>
        <w:tc>
          <w:tcPr>
            <w:tcW w:w="1242" w:type="dxa"/>
          </w:tcPr>
          <w:p w14:paraId="06BB98C1" w14:textId="091A6DD3" w:rsidR="000A3838" w:rsidRPr="000A3838" w:rsidRDefault="000A3838" w:rsidP="000A3838">
            <w:pPr>
              <w:rPr>
                <w:rFonts w:ascii="Arial" w:eastAsiaTheme="minorHAnsi" w:hAnsi="Arial" w:cs="Arial"/>
              </w:rPr>
            </w:pPr>
            <w:r w:rsidRPr="000A3838">
              <w:rPr>
                <w:rFonts w:ascii="Arial" w:eastAsiaTheme="minorHAnsi" w:hAnsi="Arial" w:cs="Arial"/>
              </w:rPr>
              <w:t>BCC 2</w:t>
            </w:r>
            <w:r w:rsidR="00F87E1D">
              <w:rPr>
                <w:rFonts w:ascii="Arial" w:eastAsiaTheme="minorHAnsi" w:hAnsi="Arial" w:cs="Arial"/>
              </w:rPr>
              <w:t>0</w:t>
            </w:r>
          </w:p>
        </w:tc>
        <w:tc>
          <w:tcPr>
            <w:tcW w:w="7655" w:type="dxa"/>
          </w:tcPr>
          <w:p w14:paraId="65DFD138" w14:textId="7280BE26" w:rsidR="000A3838" w:rsidRPr="000A3838" w:rsidRDefault="000A3838" w:rsidP="000A3838">
            <w:pPr>
              <w:rPr>
                <w:rFonts w:ascii="Arial" w:eastAsia="Times New Roman" w:hAnsi="Arial" w:cs="Arial"/>
                <w:bCs/>
              </w:rPr>
            </w:pPr>
            <w:r w:rsidRPr="000A3838">
              <w:rPr>
                <w:rFonts w:ascii="Arial" w:hAnsi="Arial" w:cs="Arial"/>
                <w:bCs/>
                <w:color w:val="000000"/>
              </w:rPr>
              <w:t>The Kings Norton 3 Estates Development Study December 2003</w:t>
            </w:r>
          </w:p>
        </w:tc>
      </w:tr>
      <w:tr w:rsidR="000A3838" w:rsidRPr="000A3838" w14:paraId="57200B54" w14:textId="77777777" w:rsidTr="009C0D76">
        <w:trPr>
          <w:tblHeader/>
        </w:trPr>
        <w:tc>
          <w:tcPr>
            <w:tcW w:w="1242" w:type="dxa"/>
          </w:tcPr>
          <w:p w14:paraId="659738C0" w14:textId="07B2F822" w:rsidR="000A3838" w:rsidRPr="000A3838" w:rsidRDefault="000A3838" w:rsidP="000A3838">
            <w:pPr>
              <w:rPr>
                <w:rFonts w:ascii="Arial" w:eastAsiaTheme="minorHAnsi" w:hAnsi="Arial" w:cs="Arial"/>
              </w:rPr>
            </w:pPr>
            <w:r w:rsidRPr="000A3838">
              <w:rPr>
                <w:rFonts w:ascii="Arial" w:eastAsiaTheme="minorHAnsi" w:hAnsi="Arial" w:cs="Arial"/>
              </w:rPr>
              <w:t>BCC 2</w:t>
            </w:r>
            <w:r w:rsidR="00F87E1D">
              <w:rPr>
                <w:rFonts w:ascii="Arial" w:eastAsiaTheme="minorHAnsi" w:hAnsi="Arial" w:cs="Arial"/>
              </w:rPr>
              <w:t>1</w:t>
            </w:r>
          </w:p>
        </w:tc>
        <w:tc>
          <w:tcPr>
            <w:tcW w:w="7655" w:type="dxa"/>
          </w:tcPr>
          <w:p w14:paraId="7568F8DC" w14:textId="77777777" w:rsidR="000A3838" w:rsidRPr="000A3838" w:rsidRDefault="000A3838" w:rsidP="000A3838">
            <w:pPr>
              <w:rPr>
                <w:rFonts w:ascii="Arial" w:eastAsia="Times New Roman" w:hAnsi="Arial" w:cs="Arial"/>
              </w:rPr>
            </w:pPr>
            <w:r w:rsidRPr="000A3838">
              <w:rPr>
                <w:rFonts w:ascii="Arial" w:eastAsia="Times New Roman" w:hAnsi="Arial" w:cs="Arial"/>
              </w:rPr>
              <w:t>Examples of recent BMHT developments</w:t>
            </w:r>
          </w:p>
        </w:tc>
      </w:tr>
      <w:tr w:rsidR="000A3838" w:rsidRPr="00020D99" w14:paraId="7BF8E923" w14:textId="77777777" w:rsidTr="009C0D76">
        <w:trPr>
          <w:tblHeader/>
        </w:trPr>
        <w:tc>
          <w:tcPr>
            <w:tcW w:w="1242" w:type="dxa"/>
          </w:tcPr>
          <w:p w14:paraId="035F75A7" w14:textId="48599996" w:rsidR="000A3838" w:rsidRPr="00020D99" w:rsidRDefault="000A3838" w:rsidP="000A3838">
            <w:pPr>
              <w:rPr>
                <w:rFonts w:ascii="Arial" w:eastAsiaTheme="minorHAnsi" w:hAnsi="Arial" w:cs="Arial"/>
              </w:rPr>
            </w:pPr>
            <w:r w:rsidRPr="00020D99">
              <w:rPr>
                <w:rFonts w:ascii="Arial" w:eastAsiaTheme="minorHAnsi" w:hAnsi="Arial" w:cs="Arial"/>
              </w:rPr>
              <w:t>BCC 2</w:t>
            </w:r>
            <w:r w:rsidR="00F87E1D" w:rsidRPr="00020D99">
              <w:rPr>
                <w:rFonts w:ascii="Arial" w:eastAsiaTheme="minorHAnsi" w:hAnsi="Arial" w:cs="Arial"/>
              </w:rPr>
              <w:t>2</w:t>
            </w:r>
          </w:p>
        </w:tc>
        <w:tc>
          <w:tcPr>
            <w:tcW w:w="7655" w:type="dxa"/>
          </w:tcPr>
          <w:p w14:paraId="00313CDF" w14:textId="77777777" w:rsidR="000A3838" w:rsidRPr="00020D99" w:rsidRDefault="000A3838" w:rsidP="000A3838">
            <w:pPr>
              <w:rPr>
                <w:rFonts w:ascii="Arial" w:eastAsia="Times New Roman" w:hAnsi="Arial" w:cs="Arial"/>
              </w:rPr>
            </w:pPr>
            <w:r w:rsidRPr="00020D99">
              <w:rPr>
                <w:rFonts w:ascii="Arial" w:eastAsia="Times New Roman" w:hAnsi="Arial" w:cs="Arial"/>
              </w:rPr>
              <w:t>Photographs of the Order Lands</w:t>
            </w:r>
          </w:p>
        </w:tc>
      </w:tr>
    </w:tbl>
    <w:p w14:paraId="1F1154C8" w14:textId="77777777" w:rsidR="007A2CDA" w:rsidRDefault="007A2CDA" w:rsidP="00020D99">
      <w:pPr>
        <w:pStyle w:val="NoSpacing"/>
        <w:jc w:val="both"/>
      </w:pPr>
    </w:p>
    <w:sectPr w:rsidR="007A2CD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27F7B" w14:textId="77777777" w:rsidR="002829A6" w:rsidRDefault="002829A6">
      <w:pPr>
        <w:spacing w:after="0" w:line="240" w:lineRule="auto"/>
      </w:pPr>
      <w:r>
        <w:separator/>
      </w:r>
    </w:p>
  </w:endnote>
  <w:endnote w:type="continuationSeparator" w:id="0">
    <w:p w14:paraId="0D7F8A53" w14:textId="77777777" w:rsidR="002829A6" w:rsidRDefault="002829A6">
      <w:pPr>
        <w:spacing w:after="0" w:line="240" w:lineRule="auto"/>
      </w:pPr>
      <w:r>
        <w:continuationSeparator/>
      </w:r>
    </w:p>
  </w:endnote>
  <w:endnote w:type="continuationNotice" w:id="1">
    <w:p w14:paraId="69947F98" w14:textId="77777777" w:rsidR="002829A6" w:rsidRDefault="00282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TPressura-Light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TPressura-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009302"/>
      <w:docPartObj>
        <w:docPartGallery w:val="Page Numbers (Bottom of Page)"/>
        <w:docPartUnique/>
      </w:docPartObj>
    </w:sdtPr>
    <w:sdtEndPr>
      <w:rPr>
        <w:noProof/>
      </w:rPr>
    </w:sdtEndPr>
    <w:sdtContent>
      <w:p w14:paraId="46EF9AD4" w14:textId="1652B71D" w:rsidR="002829A6" w:rsidRDefault="002829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B49F34" w14:textId="22E4409F" w:rsidR="002829A6" w:rsidRDefault="002829A6">
    <w:pPr>
      <w:pStyle w:val="Footer"/>
    </w:pPr>
    <w:r>
      <w:t>LS/189874/09551390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9E542" w14:textId="77777777" w:rsidR="002829A6" w:rsidRDefault="002829A6">
      <w:pPr>
        <w:spacing w:after="0" w:line="240" w:lineRule="auto"/>
      </w:pPr>
      <w:r>
        <w:separator/>
      </w:r>
    </w:p>
  </w:footnote>
  <w:footnote w:type="continuationSeparator" w:id="0">
    <w:p w14:paraId="16262BC3" w14:textId="77777777" w:rsidR="002829A6" w:rsidRDefault="002829A6">
      <w:pPr>
        <w:spacing w:after="0" w:line="240" w:lineRule="auto"/>
      </w:pPr>
      <w:r>
        <w:continuationSeparator/>
      </w:r>
    </w:p>
  </w:footnote>
  <w:footnote w:type="continuationNotice" w:id="1">
    <w:p w14:paraId="5BE9B360" w14:textId="77777777" w:rsidR="002829A6" w:rsidRDefault="002829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32A"/>
    <w:multiLevelType w:val="hybridMultilevel"/>
    <w:tmpl w:val="B54CD1CC"/>
    <w:lvl w:ilvl="0" w:tplc="1EBEB0F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86B34"/>
    <w:multiLevelType w:val="hybridMultilevel"/>
    <w:tmpl w:val="E966A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B62B8"/>
    <w:multiLevelType w:val="hybridMultilevel"/>
    <w:tmpl w:val="06AE8C06"/>
    <w:lvl w:ilvl="0" w:tplc="08090001">
      <w:start w:val="1"/>
      <w:numFmt w:val="bullet"/>
      <w:lvlText w:val=""/>
      <w:lvlJc w:val="left"/>
      <w:pPr>
        <w:ind w:left="1393" w:hanging="360"/>
      </w:pPr>
      <w:rPr>
        <w:rFonts w:ascii="Symbol" w:hAnsi="Symbol" w:hint="default"/>
      </w:rPr>
    </w:lvl>
    <w:lvl w:ilvl="1" w:tplc="08090003" w:tentative="1">
      <w:start w:val="1"/>
      <w:numFmt w:val="bullet"/>
      <w:lvlText w:val="o"/>
      <w:lvlJc w:val="left"/>
      <w:pPr>
        <w:ind w:left="2113" w:hanging="360"/>
      </w:pPr>
      <w:rPr>
        <w:rFonts w:ascii="Courier New" w:hAnsi="Courier New" w:cs="Courier New" w:hint="default"/>
      </w:rPr>
    </w:lvl>
    <w:lvl w:ilvl="2" w:tplc="08090005" w:tentative="1">
      <w:start w:val="1"/>
      <w:numFmt w:val="bullet"/>
      <w:lvlText w:val=""/>
      <w:lvlJc w:val="left"/>
      <w:pPr>
        <w:ind w:left="2833" w:hanging="360"/>
      </w:pPr>
      <w:rPr>
        <w:rFonts w:ascii="Wingdings" w:hAnsi="Wingdings" w:hint="default"/>
      </w:rPr>
    </w:lvl>
    <w:lvl w:ilvl="3" w:tplc="08090001" w:tentative="1">
      <w:start w:val="1"/>
      <w:numFmt w:val="bullet"/>
      <w:lvlText w:val=""/>
      <w:lvlJc w:val="left"/>
      <w:pPr>
        <w:ind w:left="3553" w:hanging="360"/>
      </w:pPr>
      <w:rPr>
        <w:rFonts w:ascii="Symbol" w:hAnsi="Symbol" w:hint="default"/>
      </w:rPr>
    </w:lvl>
    <w:lvl w:ilvl="4" w:tplc="08090003" w:tentative="1">
      <w:start w:val="1"/>
      <w:numFmt w:val="bullet"/>
      <w:lvlText w:val="o"/>
      <w:lvlJc w:val="left"/>
      <w:pPr>
        <w:ind w:left="4273" w:hanging="360"/>
      </w:pPr>
      <w:rPr>
        <w:rFonts w:ascii="Courier New" w:hAnsi="Courier New" w:cs="Courier New" w:hint="default"/>
      </w:rPr>
    </w:lvl>
    <w:lvl w:ilvl="5" w:tplc="08090005" w:tentative="1">
      <w:start w:val="1"/>
      <w:numFmt w:val="bullet"/>
      <w:lvlText w:val=""/>
      <w:lvlJc w:val="left"/>
      <w:pPr>
        <w:ind w:left="4993" w:hanging="360"/>
      </w:pPr>
      <w:rPr>
        <w:rFonts w:ascii="Wingdings" w:hAnsi="Wingdings" w:hint="default"/>
      </w:rPr>
    </w:lvl>
    <w:lvl w:ilvl="6" w:tplc="08090001" w:tentative="1">
      <w:start w:val="1"/>
      <w:numFmt w:val="bullet"/>
      <w:lvlText w:val=""/>
      <w:lvlJc w:val="left"/>
      <w:pPr>
        <w:ind w:left="5713" w:hanging="360"/>
      </w:pPr>
      <w:rPr>
        <w:rFonts w:ascii="Symbol" w:hAnsi="Symbol" w:hint="default"/>
      </w:rPr>
    </w:lvl>
    <w:lvl w:ilvl="7" w:tplc="08090003" w:tentative="1">
      <w:start w:val="1"/>
      <w:numFmt w:val="bullet"/>
      <w:lvlText w:val="o"/>
      <w:lvlJc w:val="left"/>
      <w:pPr>
        <w:ind w:left="6433" w:hanging="360"/>
      </w:pPr>
      <w:rPr>
        <w:rFonts w:ascii="Courier New" w:hAnsi="Courier New" w:cs="Courier New" w:hint="default"/>
      </w:rPr>
    </w:lvl>
    <w:lvl w:ilvl="8" w:tplc="08090005" w:tentative="1">
      <w:start w:val="1"/>
      <w:numFmt w:val="bullet"/>
      <w:lvlText w:val=""/>
      <w:lvlJc w:val="left"/>
      <w:pPr>
        <w:ind w:left="7153" w:hanging="360"/>
      </w:pPr>
      <w:rPr>
        <w:rFonts w:ascii="Wingdings" w:hAnsi="Wingdings" w:hint="default"/>
      </w:rPr>
    </w:lvl>
  </w:abstractNum>
  <w:abstractNum w:abstractNumId="3" w15:restartNumberingAfterBreak="0">
    <w:nsid w:val="032E2D67"/>
    <w:multiLevelType w:val="multilevel"/>
    <w:tmpl w:val="FBE08302"/>
    <w:lvl w:ilvl="0">
      <w:start w:val="5"/>
      <w:numFmt w:val="decimal"/>
      <w:lvlText w:val="%1."/>
      <w:lvlJc w:val="left"/>
      <w:pPr>
        <w:ind w:left="360" w:hanging="360"/>
      </w:pPr>
      <w:rPr>
        <w:rFonts w:ascii="Arial" w:hAnsi="Arial" w:cs="Arial" w:hint="default"/>
        <w:b/>
        <w:bCs/>
        <w:sz w:val="24"/>
        <w:szCs w:val="24"/>
      </w:rPr>
    </w:lvl>
    <w:lvl w:ilvl="1">
      <w:start w:val="1"/>
      <w:numFmt w:val="decimal"/>
      <w:lvlText w:val="%1.%2."/>
      <w:lvlJc w:val="left"/>
      <w:pPr>
        <w:ind w:left="792" w:hanging="432"/>
      </w:pPr>
      <w:rPr>
        <w:rFonts w:ascii="Arial" w:hAnsi="Arial" w:cs="Arial" w:hint="default"/>
        <w:b w:val="0"/>
        <w:bCs/>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4272F9"/>
    <w:multiLevelType w:val="hybridMultilevel"/>
    <w:tmpl w:val="B3A2D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E490B"/>
    <w:multiLevelType w:val="hybridMultilevel"/>
    <w:tmpl w:val="ACB89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C96663"/>
    <w:multiLevelType w:val="hybridMultilevel"/>
    <w:tmpl w:val="3E94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A78FD"/>
    <w:multiLevelType w:val="hybridMultilevel"/>
    <w:tmpl w:val="33D28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704EDA"/>
    <w:multiLevelType w:val="hybridMultilevel"/>
    <w:tmpl w:val="B194021C"/>
    <w:lvl w:ilvl="0" w:tplc="B0A8D14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31615"/>
    <w:multiLevelType w:val="hybridMultilevel"/>
    <w:tmpl w:val="C52A5B68"/>
    <w:lvl w:ilvl="0" w:tplc="9716CD62">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22217C"/>
    <w:multiLevelType w:val="hybridMultilevel"/>
    <w:tmpl w:val="AD727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04740D"/>
    <w:multiLevelType w:val="multilevel"/>
    <w:tmpl w:val="D12C37F0"/>
    <w:lvl w:ilvl="0">
      <w:start w:val="4"/>
      <w:numFmt w:val="decimal"/>
      <w:lvlText w:val="%1."/>
      <w:lvlJc w:val="left"/>
      <w:pPr>
        <w:ind w:left="360" w:hanging="360"/>
      </w:pPr>
      <w:rPr>
        <w:rFonts w:hint="default"/>
      </w:rPr>
    </w:lvl>
    <w:lvl w:ilvl="1">
      <w:start w:val="1"/>
      <w:numFmt w:val="decimal"/>
      <w:isLgl/>
      <w:lvlText w:val="%1.%2"/>
      <w:lvlJc w:val="left"/>
      <w:pPr>
        <w:ind w:left="540" w:hanging="54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1225BEA"/>
    <w:multiLevelType w:val="hybridMultilevel"/>
    <w:tmpl w:val="F2A40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FB57A9"/>
    <w:multiLevelType w:val="multilevel"/>
    <w:tmpl w:val="0AAA649A"/>
    <w:lvl w:ilvl="0">
      <w:start w:val="7"/>
      <w:numFmt w:val="decimal"/>
      <w:lvlText w:val="%1"/>
      <w:lvlJc w:val="left"/>
      <w:pPr>
        <w:ind w:left="420" w:hanging="420"/>
      </w:pPr>
      <w:rPr>
        <w:rFonts w:hint="default"/>
        <w:b/>
      </w:rPr>
    </w:lvl>
    <w:lvl w:ilvl="1">
      <w:start w:val="39"/>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536529C"/>
    <w:multiLevelType w:val="multilevel"/>
    <w:tmpl w:val="EFBEDC00"/>
    <w:lvl w:ilvl="0">
      <w:start w:val="1"/>
      <w:numFmt w:val="decimal"/>
      <w:pStyle w:val="NumHeading1"/>
      <w:lvlText w:val="%1"/>
      <w:lvlJc w:val="left"/>
      <w:pPr>
        <w:tabs>
          <w:tab w:val="num" w:pos="851"/>
        </w:tabs>
        <w:ind w:left="851" w:hanging="851"/>
      </w:pPr>
      <w:rPr>
        <w:rFonts w:hint="default"/>
      </w:rPr>
    </w:lvl>
    <w:lvl w:ilvl="1">
      <w:start w:val="1"/>
      <w:numFmt w:val="decimal"/>
      <w:pStyle w:val="NumPara"/>
      <w:lvlText w:val="%1.%2"/>
      <w:lvlJc w:val="left"/>
      <w:pPr>
        <w:tabs>
          <w:tab w:val="num" w:pos="851"/>
        </w:tabs>
        <w:ind w:left="851" w:hanging="851"/>
      </w:pPr>
      <w:rPr>
        <w:rFonts w:hint="default"/>
      </w:rPr>
    </w:lvl>
    <w:lvl w:ilvl="2">
      <w:start w:val="1"/>
      <w:numFmt w:val="decimal"/>
      <w:pStyle w:val="NumPara2"/>
      <w:lvlText w:val="%1.%2.%3"/>
      <w:lvlJc w:val="left"/>
      <w:pPr>
        <w:tabs>
          <w:tab w:val="num" w:pos="1277"/>
        </w:tabs>
        <w:ind w:left="1277" w:hanging="851"/>
      </w:pPr>
      <w:rPr>
        <w:rFonts w:cs="Times New Roman"/>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6357C68"/>
    <w:multiLevelType w:val="hybridMultilevel"/>
    <w:tmpl w:val="DAD6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E4924"/>
    <w:multiLevelType w:val="multilevel"/>
    <w:tmpl w:val="C1F67C32"/>
    <w:lvl w:ilvl="0">
      <w:start w:val="1"/>
      <w:numFmt w:val="decimal"/>
      <w:lvlText w:val="%1."/>
      <w:lvlJc w:val="left"/>
      <w:pPr>
        <w:ind w:left="360" w:hanging="360"/>
      </w:pPr>
    </w:lvl>
    <w:lvl w:ilvl="1">
      <w:start w:val="1"/>
      <w:numFmt w:val="decimal"/>
      <w:isLgl/>
      <w:lvlText w:val="%1.%2"/>
      <w:lvlJc w:val="left"/>
      <w:pPr>
        <w:ind w:left="540" w:hanging="54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70476C4"/>
    <w:multiLevelType w:val="multilevel"/>
    <w:tmpl w:val="C5E2E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103D28"/>
    <w:multiLevelType w:val="multilevel"/>
    <w:tmpl w:val="FBE08302"/>
    <w:lvl w:ilvl="0">
      <w:start w:val="5"/>
      <w:numFmt w:val="decimal"/>
      <w:lvlText w:val="%1."/>
      <w:lvlJc w:val="left"/>
      <w:pPr>
        <w:ind w:left="360" w:hanging="360"/>
      </w:pPr>
      <w:rPr>
        <w:rFonts w:ascii="Arial" w:hAnsi="Arial" w:cs="Arial" w:hint="default"/>
        <w:b/>
        <w:bCs/>
        <w:sz w:val="24"/>
        <w:szCs w:val="24"/>
      </w:rPr>
    </w:lvl>
    <w:lvl w:ilvl="1">
      <w:start w:val="1"/>
      <w:numFmt w:val="decimal"/>
      <w:lvlText w:val="%1.%2."/>
      <w:lvlJc w:val="left"/>
      <w:pPr>
        <w:ind w:left="715" w:hanging="432"/>
      </w:pPr>
      <w:rPr>
        <w:rFonts w:ascii="Arial" w:hAnsi="Arial" w:cs="Arial" w:hint="default"/>
        <w:b w:val="0"/>
        <w:bCs/>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5A4069"/>
    <w:multiLevelType w:val="hybridMultilevel"/>
    <w:tmpl w:val="77E60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44207"/>
    <w:multiLevelType w:val="multilevel"/>
    <w:tmpl w:val="32600B88"/>
    <w:lvl w:ilvl="0">
      <w:start w:val="8"/>
      <w:numFmt w:val="decimal"/>
      <w:lvlText w:val="%1"/>
      <w:lvlJc w:val="left"/>
      <w:pPr>
        <w:ind w:left="360" w:hanging="360"/>
      </w:pPr>
      <w:rPr>
        <w:rFonts w:eastAsia="Times New Roman" w:hint="default"/>
      </w:rPr>
    </w:lvl>
    <w:lvl w:ilvl="1">
      <w:start w:val="7"/>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3C0E30B1"/>
    <w:multiLevelType w:val="hybridMultilevel"/>
    <w:tmpl w:val="E3B09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152C7"/>
    <w:multiLevelType w:val="multilevel"/>
    <w:tmpl w:val="CE9257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DFD4B09"/>
    <w:multiLevelType w:val="multilevel"/>
    <w:tmpl w:val="938856E8"/>
    <w:lvl w:ilvl="0">
      <w:start w:val="8"/>
      <w:numFmt w:val="decimal"/>
      <w:lvlText w:val="%1"/>
      <w:lvlJc w:val="left"/>
      <w:pPr>
        <w:ind w:left="360" w:hanging="360"/>
      </w:pPr>
      <w:rPr>
        <w:rFonts w:eastAsia="Times New Roman" w:hint="default"/>
        <w:b/>
        <w:bCs w:val="0"/>
      </w:rPr>
    </w:lvl>
    <w:lvl w:ilvl="1">
      <w:start w:val="1"/>
      <w:numFmt w:val="decimal"/>
      <w:lvlText w:val="%1.%2"/>
      <w:lvlJc w:val="left"/>
      <w:pPr>
        <w:ind w:left="360" w:hanging="360"/>
      </w:pPr>
      <w:rPr>
        <w:rFonts w:eastAsia="Times New Roman" w:hint="default"/>
        <w:b w:val="0"/>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3EC12E75"/>
    <w:multiLevelType w:val="hybridMultilevel"/>
    <w:tmpl w:val="666E1EB8"/>
    <w:lvl w:ilvl="0" w:tplc="20F6E1E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E7441F"/>
    <w:multiLevelType w:val="hybridMultilevel"/>
    <w:tmpl w:val="9FE24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935FD9"/>
    <w:multiLevelType w:val="hybridMultilevel"/>
    <w:tmpl w:val="D922A6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0B5134"/>
    <w:multiLevelType w:val="hybridMultilevel"/>
    <w:tmpl w:val="074C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262C04"/>
    <w:multiLevelType w:val="multilevel"/>
    <w:tmpl w:val="B45CCCAC"/>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540" w:hanging="540"/>
      </w:pPr>
      <w:rPr>
        <w:rFonts w:ascii="Arial" w:hAnsi="Arial" w:cs="Arial" w:hint="default"/>
        <w:b w:val="0"/>
        <w:bCs w:val="0"/>
        <w:i w:val="0"/>
        <w:iCs/>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C6216BA"/>
    <w:multiLevelType w:val="hybridMultilevel"/>
    <w:tmpl w:val="24F64D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FD279F9"/>
    <w:multiLevelType w:val="hybridMultilevel"/>
    <w:tmpl w:val="308615E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1" w15:restartNumberingAfterBreak="0">
    <w:nsid w:val="518B1247"/>
    <w:multiLevelType w:val="hybridMultilevel"/>
    <w:tmpl w:val="D4FA2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D85045"/>
    <w:multiLevelType w:val="multilevel"/>
    <w:tmpl w:val="4498EE2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B966DD"/>
    <w:multiLevelType w:val="multilevel"/>
    <w:tmpl w:val="C1F67C32"/>
    <w:lvl w:ilvl="0">
      <w:start w:val="1"/>
      <w:numFmt w:val="decimal"/>
      <w:lvlText w:val="%1."/>
      <w:lvlJc w:val="left"/>
      <w:pPr>
        <w:ind w:left="360" w:hanging="360"/>
      </w:pPr>
      <w:rPr>
        <w:rFonts w:hint="default"/>
        <w:b/>
      </w:rPr>
    </w:lvl>
    <w:lvl w:ilvl="1">
      <w:start w:val="1"/>
      <w:numFmt w:val="decimal"/>
      <w:isLgl/>
      <w:lvlText w:val="%1.%2"/>
      <w:lvlJc w:val="left"/>
      <w:pPr>
        <w:ind w:left="540" w:hanging="54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C016EA2"/>
    <w:multiLevelType w:val="hybridMultilevel"/>
    <w:tmpl w:val="91BA0AA8"/>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5" w15:restartNumberingAfterBreak="0">
    <w:nsid w:val="5C074232"/>
    <w:multiLevelType w:val="multilevel"/>
    <w:tmpl w:val="F9223C02"/>
    <w:lvl w:ilvl="0">
      <w:start w:val="4"/>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CCA6D41"/>
    <w:multiLevelType w:val="hybridMultilevel"/>
    <w:tmpl w:val="10B89F70"/>
    <w:lvl w:ilvl="0" w:tplc="1EBEB0F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076730"/>
    <w:multiLevelType w:val="hybridMultilevel"/>
    <w:tmpl w:val="DD2A0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1444E1"/>
    <w:multiLevelType w:val="hybridMultilevel"/>
    <w:tmpl w:val="733A06D2"/>
    <w:lvl w:ilvl="0" w:tplc="7F94CF54">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C707B1"/>
    <w:multiLevelType w:val="hybridMultilevel"/>
    <w:tmpl w:val="84F04D7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0" w15:restartNumberingAfterBreak="0">
    <w:nsid w:val="6A1B57A2"/>
    <w:multiLevelType w:val="multilevel"/>
    <w:tmpl w:val="3A7047EE"/>
    <w:lvl w:ilvl="0">
      <w:start w:val="6"/>
      <w:numFmt w:val="decimal"/>
      <w:lvlText w:val="%1"/>
      <w:lvlJc w:val="left"/>
      <w:pPr>
        <w:ind w:left="360" w:hanging="360"/>
      </w:pPr>
      <w:rPr>
        <w:rFonts w:ascii="Calibri" w:hAnsi="Calibri" w:cs="Times New Roman" w:hint="default"/>
        <w:b w:val="0"/>
        <w:sz w:val="22"/>
        <w:u w:val="none"/>
      </w:rPr>
    </w:lvl>
    <w:lvl w:ilvl="1">
      <w:start w:val="1"/>
      <w:numFmt w:val="decimal"/>
      <w:lvlText w:val="%1.%2"/>
      <w:lvlJc w:val="left"/>
      <w:pPr>
        <w:ind w:left="360" w:hanging="360"/>
      </w:pPr>
      <w:rPr>
        <w:rFonts w:ascii="Arial" w:hAnsi="Arial" w:cs="Arial" w:hint="default"/>
        <w:b w:val="0"/>
        <w:sz w:val="24"/>
        <w:szCs w:val="32"/>
        <w:u w:val="none"/>
      </w:rPr>
    </w:lvl>
    <w:lvl w:ilvl="2">
      <w:start w:val="1"/>
      <w:numFmt w:val="decimal"/>
      <w:lvlText w:val="%1.%2.%3"/>
      <w:lvlJc w:val="left"/>
      <w:pPr>
        <w:ind w:left="720" w:hanging="720"/>
      </w:pPr>
      <w:rPr>
        <w:rFonts w:ascii="Calibri" w:hAnsi="Calibri" w:cs="Times New Roman" w:hint="default"/>
        <w:b w:val="0"/>
        <w:sz w:val="22"/>
        <w:u w:val="none"/>
      </w:rPr>
    </w:lvl>
    <w:lvl w:ilvl="3">
      <w:start w:val="1"/>
      <w:numFmt w:val="decimal"/>
      <w:lvlText w:val="%1.%2.%3.%4"/>
      <w:lvlJc w:val="left"/>
      <w:pPr>
        <w:ind w:left="1080" w:hanging="1080"/>
      </w:pPr>
      <w:rPr>
        <w:rFonts w:ascii="Calibri" w:hAnsi="Calibri" w:cs="Times New Roman" w:hint="default"/>
        <w:b w:val="0"/>
        <w:sz w:val="22"/>
        <w:u w:val="none"/>
      </w:rPr>
    </w:lvl>
    <w:lvl w:ilvl="4">
      <w:start w:val="1"/>
      <w:numFmt w:val="decimal"/>
      <w:lvlText w:val="%1.%2.%3.%4.%5"/>
      <w:lvlJc w:val="left"/>
      <w:pPr>
        <w:ind w:left="1080" w:hanging="1080"/>
      </w:pPr>
      <w:rPr>
        <w:rFonts w:ascii="Calibri" w:hAnsi="Calibri" w:cs="Times New Roman" w:hint="default"/>
        <w:b w:val="0"/>
        <w:sz w:val="22"/>
        <w:u w:val="none"/>
      </w:rPr>
    </w:lvl>
    <w:lvl w:ilvl="5">
      <w:start w:val="1"/>
      <w:numFmt w:val="decimal"/>
      <w:lvlText w:val="%1.%2.%3.%4.%5.%6"/>
      <w:lvlJc w:val="left"/>
      <w:pPr>
        <w:ind w:left="1440" w:hanging="1440"/>
      </w:pPr>
      <w:rPr>
        <w:rFonts w:ascii="Calibri" w:hAnsi="Calibri" w:cs="Times New Roman" w:hint="default"/>
        <w:b w:val="0"/>
        <w:sz w:val="22"/>
        <w:u w:val="none"/>
      </w:rPr>
    </w:lvl>
    <w:lvl w:ilvl="6">
      <w:start w:val="1"/>
      <w:numFmt w:val="decimal"/>
      <w:lvlText w:val="%1.%2.%3.%4.%5.%6.%7"/>
      <w:lvlJc w:val="left"/>
      <w:pPr>
        <w:ind w:left="1440" w:hanging="1440"/>
      </w:pPr>
      <w:rPr>
        <w:rFonts w:ascii="Calibri" w:hAnsi="Calibri" w:cs="Times New Roman" w:hint="default"/>
        <w:b w:val="0"/>
        <w:sz w:val="22"/>
        <w:u w:val="none"/>
      </w:rPr>
    </w:lvl>
    <w:lvl w:ilvl="7">
      <w:start w:val="1"/>
      <w:numFmt w:val="decimal"/>
      <w:lvlText w:val="%1.%2.%3.%4.%5.%6.%7.%8"/>
      <w:lvlJc w:val="left"/>
      <w:pPr>
        <w:ind w:left="1800" w:hanging="1800"/>
      </w:pPr>
      <w:rPr>
        <w:rFonts w:ascii="Calibri" w:hAnsi="Calibri" w:cs="Times New Roman" w:hint="default"/>
        <w:b w:val="0"/>
        <w:sz w:val="22"/>
        <w:u w:val="none"/>
      </w:rPr>
    </w:lvl>
    <w:lvl w:ilvl="8">
      <w:start w:val="1"/>
      <w:numFmt w:val="decimal"/>
      <w:lvlText w:val="%1.%2.%3.%4.%5.%6.%7.%8.%9"/>
      <w:lvlJc w:val="left"/>
      <w:pPr>
        <w:ind w:left="1800" w:hanging="1800"/>
      </w:pPr>
      <w:rPr>
        <w:rFonts w:ascii="Calibri" w:hAnsi="Calibri" w:cs="Times New Roman" w:hint="default"/>
        <w:b w:val="0"/>
        <w:sz w:val="22"/>
        <w:u w:val="none"/>
      </w:rPr>
    </w:lvl>
  </w:abstractNum>
  <w:abstractNum w:abstractNumId="41" w15:restartNumberingAfterBreak="0">
    <w:nsid w:val="6BD51019"/>
    <w:multiLevelType w:val="multilevel"/>
    <w:tmpl w:val="0518CF2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D2B4C5C"/>
    <w:multiLevelType w:val="hybridMultilevel"/>
    <w:tmpl w:val="503EC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FD61C6"/>
    <w:multiLevelType w:val="hybridMultilevel"/>
    <w:tmpl w:val="4AB0C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2A1E8F"/>
    <w:multiLevelType w:val="hybridMultilevel"/>
    <w:tmpl w:val="1C7C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B279F1"/>
    <w:multiLevelType w:val="hybridMultilevel"/>
    <w:tmpl w:val="BA84CF34"/>
    <w:lvl w:ilvl="0" w:tplc="1EBEB0F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5D3E8D"/>
    <w:multiLevelType w:val="multilevel"/>
    <w:tmpl w:val="FBE08302"/>
    <w:lvl w:ilvl="0">
      <w:start w:val="5"/>
      <w:numFmt w:val="decimal"/>
      <w:lvlText w:val="%1."/>
      <w:lvlJc w:val="left"/>
      <w:pPr>
        <w:ind w:left="360" w:hanging="360"/>
      </w:pPr>
      <w:rPr>
        <w:rFonts w:ascii="Arial" w:hAnsi="Arial" w:cs="Arial" w:hint="default"/>
        <w:b/>
        <w:bCs/>
        <w:sz w:val="24"/>
        <w:szCs w:val="24"/>
      </w:rPr>
    </w:lvl>
    <w:lvl w:ilvl="1">
      <w:start w:val="1"/>
      <w:numFmt w:val="decimal"/>
      <w:lvlText w:val="%1.%2."/>
      <w:lvlJc w:val="left"/>
      <w:pPr>
        <w:ind w:left="792" w:hanging="432"/>
      </w:pPr>
      <w:rPr>
        <w:rFonts w:ascii="Arial" w:hAnsi="Arial" w:cs="Arial" w:hint="default"/>
        <w:b w:val="0"/>
        <w:bCs/>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4CF0AF1"/>
    <w:multiLevelType w:val="hybridMultilevel"/>
    <w:tmpl w:val="BFA4861C"/>
    <w:lvl w:ilvl="0" w:tplc="B0A8D144">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7CE6701"/>
    <w:multiLevelType w:val="multilevel"/>
    <w:tmpl w:val="A82AE420"/>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B670364"/>
    <w:multiLevelType w:val="hybridMultilevel"/>
    <w:tmpl w:val="84FC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353DD8"/>
    <w:multiLevelType w:val="hybridMultilevel"/>
    <w:tmpl w:val="B3741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E3744DD"/>
    <w:multiLevelType w:val="hybridMultilevel"/>
    <w:tmpl w:val="CEA2BA72"/>
    <w:lvl w:ilvl="0" w:tplc="EF6CC876">
      <w:start w:val="4"/>
      <w:numFmt w:val="decimal"/>
      <w:lvlText w:val="%1"/>
      <w:lvlJc w:val="left"/>
      <w:pPr>
        <w:ind w:left="720" w:hanging="360"/>
      </w:pPr>
      <w:rPr>
        <w:rFonts w:ascii="GTPressura-LightItalic" w:hAnsi="GTPressura-LightItalic" w:cs="GTPressura-LightItalic" w:hint="default"/>
        <w:b w:val="0"/>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6476AB"/>
    <w:multiLevelType w:val="multilevel"/>
    <w:tmpl w:val="BDD883E6"/>
    <w:lvl w:ilvl="0">
      <w:start w:val="5"/>
      <w:numFmt w:val="decimal"/>
      <w:lvlText w:val="%1."/>
      <w:lvlJc w:val="left"/>
      <w:pPr>
        <w:ind w:left="360" w:hanging="360"/>
      </w:pPr>
      <w:rPr>
        <w:rFonts w:ascii="Arial" w:hAnsi="Arial" w:cs="Arial" w:hint="default"/>
        <w:b/>
        <w:bCs/>
        <w:sz w:val="24"/>
        <w:szCs w:val="24"/>
      </w:rPr>
    </w:lvl>
    <w:lvl w:ilvl="1">
      <w:start w:val="1"/>
      <w:numFmt w:val="decimal"/>
      <w:lvlText w:val="%1.%2."/>
      <w:lvlJc w:val="left"/>
      <w:pPr>
        <w:ind w:left="792" w:hanging="432"/>
      </w:pPr>
      <w:rPr>
        <w:rFonts w:ascii="Arial" w:hAnsi="Arial" w:cs="Arial"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26"/>
  </w:num>
  <w:num w:numId="3">
    <w:abstractNumId w:val="28"/>
  </w:num>
  <w:num w:numId="4">
    <w:abstractNumId w:val="2"/>
  </w:num>
  <w:num w:numId="5">
    <w:abstractNumId w:val="44"/>
  </w:num>
  <w:num w:numId="6">
    <w:abstractNumId w:val="36"/>
  </w:num>
  <w:num w:numId="7">
    <w:abstractNumId w:val="45"/>
  </w:num>
  <w:num w:numId="8">
    <w:abstractNumId w:val="35"/>
  </w:num>
  <w:num w:numId="9">
    <w:abstractNumId w:val="24"/>
  </w:num>
  <w:num w:numId="10">
    <w:abstractNumId w:val="51"/>
  </w:num>
  <w:num w:numId="11">
    <w:abstractNumId w:val="0"/>
  </w:num>
  <w:num w:numId="12">
    <w:abstractNumId w:val="8"/>
  </w:num>
  <w:num w:numId="13">
    <w:abstractNumId w:val="47"/>
  </w:num>
  <w:num w:numId="14">
    <w:abstractNumId w:val="27"/>
  </w:num>
  <w:num w:numId="15">
    <w:abstractNumId w:val="14"/>
  </w:num>
  <w:num w:numId="16">
    <w:abstractNumId w:val="34"/>
  </w:num>
  <w:num w:numId="17">
    <w:abstractNumId w:val="5"/>
  </w:num>
  <w:num w:numId="18">
    <w:abstractNumId w:val="30"/>
  </w:num>
  <w:num w:numId="19">
    <w:abstractNumId w:val="12"/>
  </w:num>
  <w:num w:numId="20">
    <w:abstractNumId w:val="21"/>
  </w:num>
  <w:num w:numId="21">
    <w:abstractNumId w:val="39"/>
  </w:num>
  <w:num w:numId="22">
    <w:abstractNumId w:val="7"/>
  </w:num>
  <w:num w:numId="23">
    <w:abstractNumId w:val="1"/>
  </w:num>
  <w:num w:numId="24">
    <w:abstractNumId w:val="4"/>
  </w:num>
  <w:num w:numId="25">
    <w:abstractNumId w:val="25"/>
  </w:num>
  <w:num w:numId="26">
    <w:abstractNumId w:val="37"/>
  </w:num>
  <w:num w:numId="27">
    <w:abstractNumId w:val="50"/>
  </w:num>
  <w:num w:numId="28">
    <w:abstractNumId w:val="49"/>
  </w:num>
  <w:num w:numId="29">
    <w:abstractNumId w:val="15"/>
  </w:num>
  <w:num w:numId="30">
    <w:abstractNumId w:val="29"/>
  </w:num>
  <w:num w:numId="31">
    <w:abstractNumId w:val="13"/>
  </w:num>
  <w:num w:numId="32">
    <w:abstractNumId w:val="16"/>
  </w:num>
  <w:num w:numId="33">
    <w:abstractNumId w:val="42"/>
  </w:num>
  <w:num w:numId="34">
    <w:abstractNumId w:val="20"/>
  </w:num>
  <w:num w:numId="35">
    <w:abstractNumId w:val="32"/>
  </w:num>
  <w:num w:numId="36">
    <w:abstractNumId w:val="9"/>
  </w:num>
  <w:num w:numId="37">
    <w:abstractNumId w:val="38"/>
  </w:num>
  <w:num w:numId="38">
    <w:abstractNumId w:val="33"/>
  </w:num>
  <w:num w:numId="39">
    <w:abstractNumId w:val="17"/>
  </w:num>
  <w:num w:numId="40">
    <w:abstractNumId w:val="22"/>
  </w:num>
  <w:num w:numId="41">
    <w:abstractNumId w:val="18"/>
  </w:num>
  <w:num w:numId="42">
    <w:abstractNumId w:val="11"/>
  </w:num>
  <w:num w:numId="43">
    <w:abstractNumId w:val="6"/>
  </w:num>
  <w:num w:numId="44">
    <w:abstractNumId w:val="48"/>
  </w:num>
  <w:num w:numId="45">
    <w:abstractNumId w:val="23"/>
  </w:num>
  <w:num w:numId="46">
    <w:abstractNumId w:val="40"/>
  </w:num>
  <w:num w:numId="47">
    <w:abstractNumId w:val="10"/>
  </w:num>
  <w:num w:numId="48">
    <w:abstractNumId w:val="41"/>
  </w:num>
  <w:num w:numId="49">
    <w:abstractNumId w:val="52"/>
  </w:num>
  <w:num w:numId="50">
    <w:abstractNumId w:val="31"/>
  </w:num>
  <w:num w:numId="51">
    <w:abstractNumId w:val="19"/>
  </w:num>
  <w:num w:numId="52">
    <w:abstractNumId w:val="46"/>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248ECE2-AB4F-426B-A862-4C1867F77507}"/>
    <w:docVar w:name="dgnword-eventsink" w:val="757275304"/>
    <w:docVar w:name="lwLastOpened" w:val="27/09/2021 13:47"/>
  </w:docVars>
  <w:rsids>
    <w:rsidRoot w:val="007F1A06"/>
    <w:rsid w:val="00001ED9"/>
    <w:rsid w:val="000056A7"/>
    <w:rsid w:val="00014EE9"/>
    <w:rsid w:val="00017A72"/>
    <w:rsid w:val="00020869"/>
    <w:rsid w:val="00020D99"/>
    <w:rsid w:val="00033CE7"/>
    <w:rsid w:val="00033FAC"/>
    <w:rsid w:val="0003629D"/>
    <w:rsid w:val="0003691A"/>
    <w:rsid w:val="00043635"/>
    <w:rsid w:val="00055238"/>
    <w:rsid w:val="00055C73"/>
    <w:rsid w:val="00056BF8"/>
    <w:rsid w:val="0005781E"/>
    <w:rsid w:val="000625C7"/>
    <w:rsid w:val="000709CB"/>
    <w:rsid w:val="00072C7B"/>
    <w:rsid w:val="00074732"/>
    <w:rsid w:val="00077469"/>
    <w:rsid w:val="000810DD"/>
    <w:rsid w:val="000827AE"/>
    <w:rsid w:val="000862C7"/>
    <w:rsid w:val="00086491"/>
    <w:rsid w:val="00091959"/>
    <w:rsid w:val="00091A0C"/>
    <w:rsid w:val="0009422D"/>
    <w:rsid w:val="00097F6D"/>
    <w:rsid w:val="000A259B"/>
    <w:rsid w:val="000A3838"/>
    <w:rsid w:val="000A5960"/>
    <w:rsid w:val="000B369E"/>
    <w:rsid w:val="000B3C55"/>
    <w:rsid w:val="000B3DFB"/>
    <w:rsid w:val="000B4738"/>
    <w:rsid w:val="000C035A"/>
    <w:rsid w:val="000C1A3E"/>
    <w:rsid w:val="000C38C4"/>
    <w:rsid w:val="000D0EF9"/>
    <w:rsid w:val="000D3760"/>
    <w:rsid w:val="000D382E"/>
    <w:rsid w:val="000D6A24"/>
    <w:rsid w:val="000D78F0"/>
    <w:rsid w:val="000E416C"/>
    <w:rsid w:val="000E55F7"/>
    <w:rsid w:val="000E70CC"/>
    <w:rsid w:val="000F05E1"/>
    <w:rsid w:val="000F2D62"/>
    <w:rsid w:val="000F7C31"/>
    <w:rsid w:val="00112F39"/>
    <w:rsid w:val="00114FEA"/>
    <w:rsid w:val="00117AE9"/>
    <w:rsid w:val="001353CC"/>
    <w:rsid w:val="001359B2"/>
    <w:rsid w:val="00153337"/>
    <w:rsid w:val="001643AA"/>
    <w:rsid w:val="0016722F"/>
    <w:rsid w:val="001836C1"/>
    <w:rsid w:val="001900B1"/>
    <w:rsid w:val="001912F5"/>
    <w:rsid w:val="001925D8"/>
    <w:rsid w:val="001940AE"/>
    <w:rsid w:val="0019485C"/>
    <w:rsid w:val="001A205A"/>
    <w:rsid w:val="001B06C2"/>
    <w:rsid w:val="001B0CE7"/>
    <w:rsid w:val="001B37BE"/>
    <w:rsid w:val="001B380F"/>
    <w:rsid w:val="001C0F8E"/>
    <w:rsid w:val="001C1AD1"/>
    <w:rsid w:val="001C5145"/>
    <w:rsid w:val="001C70F4"/>
    <w:rsid w:val="001D355A"/>
    <w:rsid w:val="001E5C6E"/>
    <w:rsid w:val="001F28A8"/>
    <w:rsid w:val="001F566E"/>
    <w:rsid w:val="002002CD"/>
    <w:rsid w:val="00214939"/>
    <w:rsid w:val="00214A0D"/>
    <w:rsid w:val="002156FD"/>
    <w:rsid w:val="00215CF4"/>
    <w:rsid w:val="002340D7"/>
    <w:rsid w:val="0023455E"/>
    <w:rsid w:val="00251FC1"/>
    <w:rsid w:val="0025304C"/>
    <w:rsid w:val="0025694B"/>
    <w:rsid w:val="00256BB9"/>
    <w:rsid w:val="00256EB4"/>
    <w:rsid w:val="00271B95"/>
    <w:rsid w:val="0027352F"/>
    <w:rsid w:val="0027612F"/>
    <w:rsid w:val="0027766A"/>
    <w:rsid w:val="002829A6"/>
    <w:rsid w:val="00282B3C"/>
    <w:rsid w:val="00287B1C"/>
    <w:rsid w:val="002914A1"/>
    <w:rsid w:val="00294309"/>
    <w:rsid w:val="0029462F"/>
    <w:rsid w:val="00295749"/>
    <w:rsid w:val="00296FB9"/>
    <w:rsid w:val="002A0BD5"/>
    <w:rsid w:val="002A2DA0"/>
    <w:rsid w:val="002A764C"/>
    <w:rsid w:val="002B0953"/>
    <w:rsid w:val="002B44B3"/>
    <w:rsid w:val="002B54C7"/>
    <w:rsid w:val="002C0E78"/>
    <w:rsid w:val="002C2EA4"/>
    <w:rsid w:val="002C5B59"/>
    <w:rsid w:val="002D131E"/>
    <w:rsid w:val="002D35FB"/>
    <w:rsid w:val="002D46EF"/>
    <w:rsid w:val="002D4D0B"/>
    <w:rsid w:val="002D504B"/>
    <w:rsid w:val="002E0C5E"/>
    <w:rsid w:val="002E44C3"/>
    <w:rsid w:val="002E5099"/>
    <w:rsid w:val="002F4889"/>
    <w:rsid w:val="002F58EF"/>
    <w:rsid w:val="002F65A4"/>
    <w:rsid w:val="00302B83"/>
    <w:rsid w:val="00313330"/>
    <w:rsid w:val="0031498A"/>
    <w:rsid w:val="003227ED"/>
    <w:rsid w:val="00331B44"/>
    <w:rsid w:val="00337185"/>
    <w:rsid w:val="00353CE5"/>
    <w:rsid w:val="003636B6"/>
    <w:rsid w:val="00365362"/>
    <w:rsid w:val="00370C83"/>
    <w:rsid w:val="00370D3C"/>
    <w:rsid w:val="00371DC9"/>
    <w:rsid w:val="00373132"/>
    <w:rsid w:val="00386D91"/>
    <w:rsid w:val="003949DB"/>
    <w:rsid w:val="003961FC"/>
    <w:rsid w:val="003A204E"/>
    <w:rsid w:val="003A39B1"/>
    <w:rsid w:val="003B123C"/>
    <w:rsid w:val="003B42B0"/>
    <w:rsid w:val="003B5088"/>
    <w:rsid w:val="003B79F1"/>
    <w:rsid w:val="003C2F37"/>
    <w:rsid w:val="003C387E"/>
    <w:rsid w:val="003D18FB"/>
    <w:rsid w:val="003D1D53"/>
    <w:rsid w:val="003D5F63"/>
    <w:rsid w:val="003E47E4"/>
    <w:rsid w:val="003E4889"/>
    <w:rsid w:val="003E4FEF"/>
    <w:rsid w:val="003F341F"/>
    <w:rsid w:val="003F3A0D"/>
    <w:rsid w:val="003F5AE0"/>
    <w:rsid w:val="004014FE"/>
    <w:rsid w:val="00403256"/>
    <w:rsid w:val="00404707"/>
    <w:rsid w:val="00405919"/>
    <w:rsid w:val="004059D0"/>
    <w:rsid w:val="00412ACE"/>
    <w:rsid w:val="00413C02"/>
    <w:rsid w:val="00426CBF"/>
    <w:rsid w:val="00431DBB"/>
    <w:rsid w:val="0043228F"/>
    <w:rsid w:val="00433534"/>
    <w:rsid w:val="004353C3"/>
    <w:rsid w:val="00453356"/>
    <w:rsid w:val="004557D7"/>
    <w:rsid w:val="00455CB9"/>
    <w:rsid w:val="00456604"/>
    <w:rsid w:val="00461368"/>
    <w:rsid w:val="00461D11"/>
    <w:rsid w:val="00465F9A"/>
    <w:rsid w:val="0047069C"/>
    <w:rsid w:val="00471908"/>
    <w:rsid w:val="004720FF"/>
    <w:rsid w:val="00475A35"/>
    <w:rsid w:val="00482F71"/>
    <w:rsid w:val="0048341A"/>
    <w:rsid w:val="00487959"/>
    <w:rsid w:val="004879FD"/>
    <w:rsid w:val="00496B80"/>
    <w:rsid w:val="00497A25"/>
    <w:rsid w:val="004A14D4"/>
    <w:rsid w:val="004A5341"/>
    <w:rsid w:val="004B4864"/>
    <w:rsid w:val="004B500D"/>
    <w:rsid w:val="004B60F2"/>
    <w:rsid w:val="004C5295"/>
    <w:rsid w:val="004D05C0"/>
    <w:rsid w:val="004D6015"/>
    <w:rsid w:val="004E53AC"/>
    <w:rsid w:val="004E6C30"/>
    <w:rsid w:val="004E7496"/>
    <w:rsid w:val="004F1ABC"/>
    <w:rsid w:val="00506A8E"/>
    <w:rsid w:val="00506E2E"/>
    <w:rsid w:val="00512DA3"/>
    <w:rsid w:val="005150AC"/>
    <w:rsid w:val="00515454"/>
    <w:rsid w:val="00527E24"/>
    <w:rsid w:val="005320E6"/>
    <w:rsid w:val="005418F8"/>
    <w:rsid w:val="00542280"/>
    <w:rsid w:val="00544DC5"/>
    <w:rsid w:val="00546567"/>
    <w:rsid w:val="005613BB"/>
    <w:rsid w:val="00562AC1"/>
    <w:rsid w:val="005649C6"/>
    <w:rsid w:val="005655C0"/>
    <w:rsid w:val="00572702"/>
    <w:rsid w:val="00572FF4"/>
    <w:rsid w:val="005731C9"/>
    <w:rsid w:val="00573AD5"/>
    <w:rsid w:val="00590BD1"/>
    <w:rsid w:val="00590D9E"/>
    <w:rsid w:val="00595C93"/>
    <w:rsid w:val="005965CE"/>
    <w:rsid w:val="00597186"/>
    <w:rsid w:val="005A49C1"/>
    <w:rsid w:val="005A65D8"/>
    <w:rsid w:val="005B06C1"/>
    <w:rsid w:val="005B1858"/>
    <w:rsid w:val="005F1EA7"/>
    <w:rsid w:val="006033B7"/>
    <w:rsid w:val="00603F8E"/>
    <w:rsid w:val="00607186"/>
    <w:rsid w:val="006131F9"/>
    <w:rsid w:val="00613BF2"/>
    <w:rsid w:val="0061532B"/>
    <w:rsid w:val="0062470C"/>
    <w:rsid w:val="0064020A"/>
    <w:rsid w:val="0065279F"/>
    <w:rsid w:val="006537F3"/>
    <w:rsid w:val="00654D52"/>
    <w:rsid w:val="006601A7"/>
    <w:rsid w:val="00662801"/>
    <w:rsid w:val="00670B66"/>
    <w:rsid w:val="00674D5E"/>
    <w:rsid w:val="00676AE4"/>
    <w:rsid w:val="00681562"/>
    <w:rsid w:val="00682FA4"/>
    <w:rsid w:val="00687980"/>
    <w:rsid w:val="0069131A"/>
    <w:rsid w:val="00694E3D"/>
    <w:rsid w:val="006A3986"/>
    <w:rsid w:val="006A457B"/>
    <w:rsid w:val="006B256C"/>
    <w:rsid w:val="006B7E65"/>
    <w:rsid w:val="006C3F67"/>
    <w:rsid w:val="006C506B"/>
    <w:rsid w:val="006C7C3D"/>
    <w:rsid w:val="006D0B91"/>
    <w:rsid w:val="006D10EF"/>
    <w:rsid w:val="006D35E7"/>
    <w:rsid w:val="006D38B0"/>
    <w:rsid w:val="006D7EBF"/>
    <w:rsid w:val="006E0AC1"/>
    <w:rsid w:val="006E3BD0"/>
    <w:rsid w:val="006F3DB8"/>
    <w:rsid w:val="00700BEA"/>
    <w:rsid w:val="00701D30"/>
    <w:rsid w:val="0070667C"/>
    <w:rsid w:val="00711A11"/>
    <w:rsid w:val="007239B8"/>
    <w:rsid w:val="00723E1D"/>
    <w:rsid w:val="0073218B"/>
    <w:rsid w:val="007431BF"/>
    <w:rsid w:val="007461FE"/>
    <w:rsid w:val="007545EC"/>
    <w:rsid w:val="00755B4C"/>
    <w:rsid w:val="00760099"/>
    <w:rsid w:val="00766A70"/>
    <w:rsid w:val="00770BA9"/>
    <w:rsid w:val="00771F5A"/>
    <w:rsid w:val="00772B64"/>
    <w:rsid w:val="00772F3F"/>
    <w:rsid w:val="00783805"/>
    <w:rsid w:val="00783FA5"/>
    <w:rsid w:val="00785ED0"/>
    <w:rsid w:val="00791FB3"/>
    <w:rsid w:val="00797428"/>
    <w:rsid w:val="007A2CDA"/>
    <w:rsid w:val="007A6118"/>
    <w:rsid w:val="007A645E"/>
    <w:rsid w:val="007A7782"/>
    <w:rsid w:val="007B12EC"/>
    <w:rsid w:val="007B1D11"/>
    <w:rsid w:val="007B40B7"/>
    <w:rsid w:val="007C0450"/>
    <w:rsid w:val="007C45FC"/>
    <w:rsid w:val="007C5D7E"/>
    <w:rsid w:val="007D13E0"/>
    <w:rsid w:val="007D27D6"/>
    <w:rsid w:val="007E29A1"/>
    <w:rsid w:val="007E4059"/>
    <w:rsid w:val="007E5A9D"/>
    <w:rsid w:val="007F1A06"/>
    <w:rsid w:val="007F2436"/>
    <w:rsid w:val="007F5B8D"/>
    <w:rsid w:val="0080482C"/>
    <w:rsid w:val="0082718D"/>
    <w:rsid w:val="0083100C"/>
    <w:rsid w:val="008340C6"/>
    <w:rsid w:val="008434BA"/>
    <w:rsid w:val="00844688"/>
    <w:rsid w:val="0084587B"/>
    <w:rsid w:val="008462E8"/>
    <w:rsid w:val="00846AE4"/>
    <w:rsid w:val="00851262"/>
    <w:rsid w:val="008543EE"/>
    <w:rsid w:val="00855233"/>
    <w:rsid w:val="008556B8"/>
    <w:rsid w:val="0086141D"/>
    <w:rsid w:val="00863435"/>
    <w:rsid w:val="0086582F"/>
    <w:rsid w:val="008678CA"/>
    <w:rsid w:val="00870631"/>
    <w:rsid w:val="008712C1"/>
    <w:rsid w:val="008760A3"/>
    <w:rsid w:val="00882D2E"/>
    <w:rsid w:val="00884D94"/>
    <w:rsid w:val="00895F5E"/>
    <w:rsid w:val="00896567"/>
    <w:rsid w:val="008A0573"/>
    <w:rsid w:val="008C64AB"/>
    <w:rsid w:val="008C7001"/>
    <w:rsid w:val="008D1A25"/>
    <w:rsid w:val="008D2B30"/>
    <w:rsid w:val="008D2FEC"/>
    <w:rsid w:val="008D4BD3"/>
    <w:rsid w:val="008D6C30"/>
    <w:rsid w:val="008D779F"/>
    <w:rsid w:val="008E3DC7"/>
    <w:rsid w:val="008E5E15"/>
    <w:rsid w:val="008F230A"/>
    <w:rsid w:val="008F4143"/>
    <w:rsid w:val="008F4EF4"/>
    <w:rsid w:val="00900966"/>
    <w:rsid w:val="009073D2"/>
    <w:rsid w:val="00910CE0"/>
    <w:rsid w:val="00915EAE"/>
    <w:rsid w:val="00930EFE"/>
    <w:rsid w:val="0094136A"/>
    <w:rsid w:val="00944520"/>
    <w:rsid w:val="00947183"/>
    <w:rsid w:val="00954287"/>
    <w:rsid w:val="009548F3"/>
    <w:rsid w:val="009626EC"/>
    <w:rsid w:val="0096431D"/>
    <w:rsid w:val="00970423"/>
    <w:rsid w:val="00980E0D"/>
    <w:rsid w:val="00984404"/>
    <w:rsid w:val="009867A5"/>
    <w:rsid w:val="00987918"/>
    <w:rsid w:val="009914FB"/>
    <w:rsid w:val="00993872"/>
    <w:rsid w:val="009939CA"/>
    <w:rsid w:val="00995E31"/>
    <w:rsid w:val="00996F89"/>
    <w:rsid w:val="009A51D5"/>
    <w:rsid w:val="009B078E"/>
    <w:rsid w:val="009B3084"/>
    <w:rsid w:val="009B37F7"/>
    <w:rsid w:val="009B6138"/>
    <w:rsid w:val="009B654D"/>
    <w:rsid w:val="009C0D76"/>
    <w:rsid w:val="009C6B92"/>
    <w:rsid w:val="009D1B84"/>
    <w:rsid w:val="009D31FE"/>
    <w:rsid w:val="009D612A"/>
    <w:rsid w:val="009E1483"/>
    <w:rsid w:val="009E5CE9"/>
    <w:rsid w:val="009E7DB4"/>
    <w:rsid w:val="009F06FA"/>
    <w:rsid w:val="009F0CAA"/>
    <w:rsid w:val="009F2F97"/>
    <w:rsid w:val="00A025D9"/>
    <w:rsid w:val="00A0269F"/>
    <w:rsid w:val="00A054E4"/>
    <w:rsid w:val="00A0683B"/>
    <w:rsid w:val="00A11B60"/>
    <w:rsid w:val="00A12B05"/>
    <w:rsid w:val="00A15648"/>
    <w:rsid w:val="00A233A2"/>
    <w:rsid w:val="00A24951"/>
    <w:rsid w:val="00A27514"/>
    <w:rsid w:val="00A310E7"/>
    <w:rsid w:val="00A32151"/>
    <w:rsid w:val="00A32947"/>
    <w:rsid w:val="00A349C7"/>
    <w:rsid w:val="00A34C95"/>
    <w:rsid w:val="00A35637"/>
    <w:rsid w:val="00A37D03"/>
    <w:rsid w:val="00A40DB5"/>
    <w:rsid w:val="00A50346"/>
    <w:rsid w:val="00A53A13"/>
    <w:rsid w:val="00A5492A"/>
    <w:rsid w:val="00A573CC"/>
    <w:rsid w:val="00A65503"/>
    <w:rsid w:val="00A67BDE"/>
    <w:rsid w:val="00A75D01"/>
    <w:rsid w:val="00A776C4"/>
    <w:rsid w:val="00A83CC3"/>
    <w:rsid w:val="00A95FEC"/>
    <w:rsid w:val="00A96FBE"/>
    <w:rsid w:val="00A974F6"/>
    <w:rsid w:val="00AA1A6C"/>
    <w:rsid w:val="00AB3F5A"/>
    <w:rsid w:val="00AB7009"/>
    <w:rsid w:val="00AB7D73"/>
    <w:rsid w:val="00AC6028"/>
    <w:rsid w:val="00AC6C26"/>
    <w:rsid w:val="00AD5EC0"/>
    <w:rsid w:val="00AD7206"/>
    <w:rsid w:val="00AE28A2"/>
    <w:rsid w:val="00AF179B"/>
    <w:rsid w:val="00AF695D"/>
    <w:rsid w:val="00B03195"/>
    <w:rsid w:val="00B20DB6"/>
    <w:rsid w:val="00B23B77"/>
    <w:rsid w:val="00B35CC5"/>
    <w:rsid w:val="00B41824"/>
    <w:rsid w:val="00B4211C"/>
    <w:rsid w:val="00B44A68"/>
    <w:rsid w:val="00B4570E"/>
    <w:rsid w:val="00B50098"/>
    <w:rsid w:val="00B5189E"/>
    <w:rsid w:val="00B551B5"/>
    <w:rsid w:val="00B55D28"/>
    <w:rsid w:val="00B64288"/>
    <w:rsid w:val="00B65835"/>
    <w:rsid w:val="00B65BC5"/>
    <w:rsid w:val="00B67324"/>
    <w:rsid w:val="00B80B66"/>
    <w:rsid w:val="00B825D4"/>
    <w:rsid w:val="00B90A0A"/>
    <w:rsid w:val="00B957B9"/>
    <w:rsid w:val="00B966DD"/>
    <w:rsid w:val="00BA20E8"/>
    <w:rsid w:val="00BA6DEE"/>
    <w:rsid w:val="00BA7914"/>
    <w:rsid w:val="00BB0B44"/>
    <w:rsid w:val="00BB4A7B"/>
    <w:rsid w:val="00BB7283"/>
    <w:rsid w:val="00BC2DE4"/>
    <w:rsid w:val="00BC508C"/>
    <w:rsid w:val="00BD00EC"/>
    <w:rsid w:val="00BD706A"/>
    <w:rsid w:val="00BE23DF"/>
    <w:rsid w:val="00BE62A3"/>
    <w:rsid w:val="00BF1448"/>
    <w:rsid w:val="00BF25AD"/>
    <w:rsid w:val="00BF451D"/>
    <w:rsid w:val="00BF797A"/>
    <w:rsid w:val="00C1253B"/>
    <w:rsid w:val="00C24F57"/>
    <w:rsid w:val="00C256F5"/>
    <w:rsid w:val="00C57FDE"/>
    <w:rsid w:val="00C624F1"/>
    <w:rsid w:val="00C6302A"/>
    <w:rsid w:val="00C644FF"/>
    <w:rsid w:val="00C65BFD"/>
    <w:rsid w:val="00C7046E"/>
    <w:rsid w:val="00C73D65"/>
    <w:rsid w:val="00C7799A"/>
    <w:rsid w:val="00C80AD3"/>
    <w:rsid w:val="00C82C1D"/>
    <w:rsid w:val="00C86F46"/>
    <w:rsid w:val="00C90C85"/>
    <w:rsid w:val="00CB26FF"/>
    <w:rsid w:val="00CB45D9"/>
    <w:rsid w:val="00CB4B2C"/>
    <w:rsid w:val="00CB7DB7"/>
    <w:rsid w:val="00CC06D0"/>
    <w:rsid w:val="00CC737D"/>
    <w:rsid w:val="00CC75AF"/>
    <w:rsid w:val="00CD0D0D"/>
    <w:rsid w:val="00CD40F2"/>
    <w:rsid w:val="00CD638E"/>
    <w:rsid w:val="00CE0273"/>
    <w:rsid w:val="00CE4221"/>
    <w:rsid w:val="00CF2CC0"/>
    <w:rsid w:val="00CF5D24"/>
    <w:rsid w:val="00D10186"/>
    <w:rsid w:val="00D1063A"/>
    <w:rsid w:val="00D21F86"/>
    <w:rsid w:val="00D268C1"/>
    <w:rsid w:val="00D27686"/>
    <w:rsid w:val="00D2768A"/>
    <w:rsid w:val="00D30DAB"/>
    <w:rsid w:val="00D32538"/>
    <w:rsid w:val="00D32A74"/>
    <w:rsid w:val="00D34E62"/>
    <w:rsid w:val="00D3668C"/>
    <w:rsid w:val="00D37176"/>
    <w:rsid w:val="00D44D39"/>
    <w:rsid w:val="00D4530A"/>
    <w:rsid w:val="00D513CE"/>
    <w:rsid w:val="00D53849"/>
    <w:rsid w:val="00D66C76"/>
    <w:rsid w:val="00D765A3"/>
    <w:rsid w:val="00D768CB"/>
    <w:rsid w:val="00D819D7"/>
    <w:rsid w:val="00D84BD7"/>
    <w:rsid w:val="00D8681A"/>
    <w:rsid w:val="00D91682"/>
    <w:rsid w:val="00D964BF"/>
    <w:rsid w:val="00D97CFE"/>
    <w:rsid w:val="00DA20C1"/>
    <w:rsid w:val="00DA7F86"/>
    <w:rsid w:val="00DB2832"/>
    <w:rsid w:val="00DB5031"/>
    <w:rsid w:val="00DC0FA7"/>
    <w:rsid w:val="00DC3AB7"/>
    <w:rsid w:val="00DC691E"/>
    <w:rsid w:val="00DC6CC9"/>
    <w:rsid w:val="00DD1DEC"/>
    <w:rsid w:val="00DD54C0"/>
    <w:rsid w:val="00DE07C4"/>
    <w:rsid w:val="00DE1CC1"/>
    <w:rsid w:val="00DF1E31"/>
    <w:rsid w:val="00DF6EC6"/>
    <w:rsid w:val="00E0302D"/>
    <w:rsid w:val="00E0500A"/>
    <w:rsid w:val="00E0523A"/>
    <w:rsid w:val="00E10DC7"/>
    <w:rsid w:val="00E14E70"/>
    <w:rsid w:val="00E15E5D"/>
    <w:rsid w:val="00E15E7C"/>
    <w:rsid w:val="00E25859"/>
    <w:rsid w:val="00E27956"/>
    <w:rsid w:val="00E44E51"/>
    <w:rsid w:val="00E5116D"/>
    <w:rsid w:val="00E577A4"/>
    <w:rsid w:val="00E6124D"/>
    <w:rsid w:val="00E648CB"/>
    <w:rsid w:val="00E73F27"/>
    <w:rsid w:val="00E806A9"/>
    <w:rsid w:val="00E83735"/>
    <w:rsid w:val="00E91B82"/>
    <w:rsid w:val="00E93F58"/>
    <w:rsid w:val="00E97AEE"/>
    <w:rsid w:val="00EA5B0D"/>
    <w:rsid w:val="00EB05A8"/>
    <w:rsid w:val="00EB1973"/>
    <w:rsid w:val="00EB1E5C"/>
    <w:rsid w:val="00EB2B31"/>
    <w:rsid w:val="00EB70C8"/>
    <w:rsid w:val="00EB75A2"/>
    <w:rsid w:val="00EC2DC6"/>
    <w:rsid w:val="00EC43DC"/>
    <w:rsid w:val="00EC61C5"/>
    <w:rsid w:val="00ED3D40"/>
    <w:rsid w:val="00EE0E7F"/>
    <w:rsid w:val="00EE1108"/>
    <w:rsid w:val="00EE1E57"/>
    <w:rsid w:val="00EE54A2"/>
    <w:rsid w:val="00EE6A55"/>
    <w:rsid w:val="00EE73F0"/>
    <w:rsid w:val="00F0476C"/>
    <w:rsid w:val="00F05A21"/>
    <w:rsid w:val="00F111A2"/>
    <w:rsid w:val="00F1516D"/>
    <w:rsid w:val="00F15F58"/>
    <w:rsid w:val="00F167BC"/>
    <w:rsid w:val="00F17E85"/>
    <w:rsid w:val="00F23EF8"/>
    <w:rsid w:val="00F242B9"/>
    <w:rsid w:val="00F2765E"/>
    <w:rsid w:val="00F3186B"/>
    <w:rsid w:val="00F35109"/>
    <w:rsid w:val="00F36729"/>
    <w:rsid w:val="00F37AE8"/>
    <w:rsid w:val="00F37C69"/>
    <w:rsid w:val="00F506A1"/>
    <w:rsid w:val="00F51B71"/>
    <w:rsid w:val="00F5234B"/>
    <w:rsid w:val="00F61873"/>
    <w:rsid w:val="00F6660B"/>
    <w:rsid w:val="00F70D5A"/>
    <w:rsid w:val="00F727F2"/>
    <w:rsid w:val="00F80750"/>
    <w:rsid w:val="00F810CB"/>
    <w:rsid w:val="00F86EDB"/>
    <w:rsid w:val="00F87E1D"/>
    <w:rsid w:val="00F87FCC"/>
    <w:rsid w:val="00F91919"/>
    <w:rsid w:val="00F92708"/>
    <w:rsid w:val="00F92A7F"/>
    <w:rsid w:val="00F92C95"/>
    <w:rsid w:val="00F959A1"/>
    <w:rsid w:val="00F9626E"/>
    <w:rsid w:val="00F97AD4"/>
    <w:rsid w:val="00FB0139"/>
    <w:rsid w:val="00FB1205"/>
    <w:rsid w:val="00FB1732"/>
    <w:rsid w:val="00FB307F"/>
    <w:rsid w:val="00FB6006"/>
    <w:rsid w:val="00FC09EA"/>
    <w:rsid w:val="00FC6341"/>
    <w:rsid w:val="00FC6869"/>
    <w:rsid w:val="00FC779B"/>
    <w:rsid w:val="00FD5D84"/>
    <w:rsid w:val="00FD6C43"/>
    <w:rsid w:val="00FE057A"/>
    <w:rsid w:val="00FE20F1"/>
    <w:rsid w:val="00FE3C13"/>
    <w:rsid w:val="00FF0DF8"/>
    <w:rsid w:val="00FF2C09"/>
    <w:rsid w:val="00FF4816"/>
    <w:rsid w:val="00FF6768"/>
    <w:rsid w:val="00FF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5F850E8"/>
  <w15:docId w15:val="{82F9F4F4-081B-4B0C-8238-C31B87F6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06"/>
    <w:rPr>
      <w:rFonts w:ascii="Calibri" w:eastAsia="Calibri" w:hAnsi="Calibri" w:cs="Times New Roman"/>
    </w:rPr>
  </w:style>
  <w:style w:type="paragraph" w:styleId="Heading1">
    <w:name w:val="heading 1"/>
    <w:basedOn w:val="Normal"/>
    <w:next w:val="Normal"/>
    <w:link w:val="Heading1Char"/>
    <w:uiPriority w:val="9"/>
    <w:qFormat/>
    <w:rsid w:val="007F1A0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097F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97F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97F6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97F6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97F6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97F6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97F6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7F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A06"/>
    <w:rPr>
      <w:rFonts w:ascii="Calibri Light" w:eastAsia="Times New Roman" w:hAnsi="Calibri Light" w:cs="Times New Roman"/>
      <w:b/>
      <w:bCs/>
      <w:kern w:val="32"/>
      <w:sz w:val="32"/>
      <w:szCs w:val="32"/>
    </w:rPr>
  </w:style>
  <w:style w:type="paragraph" w:styleId="NoSpacing">
    <w:name w:val="No Spacing"/>
    <w:uiPriority w:val="1"/>
    <w:qFormat/>
    <w:rsid w:val="007F1A06"/>
    <w:pPr>
      <w:spacing w:after="0" w:line="240" w:lineRule="auto"/>
    </w:pPr>
    <w:rPr>
      <w:rFonts w:ascii="Calibri" w:eastAsia="Calibri" w:hAnsi="Calibri" w:cs="Times New Roman"/>
    </w:rPr>
  </w:style>
  <w:style w:type="paragraph" w:customStyle="1" w:styleId="Default">
    <w:name w:val="Default"/>
    <w:rsid w:val="007F1A06"/>
    <w:pPr>
      <w:autoSpaceDE w:val="0"/>
      <w:autoSpaceDN w:val="0"/>
      <w:adjustRightInd w:val="0"/>
      <w:spacing w:after="0" w:line="240" w:lineRule="auto"/>
    </w:pPr>
    <w:rPr>
      <w:rFonts w:ascii="Arial" w:eastAsia="Calibri" w:hAnsi="Arial" w:cs="Arial"/>
      <w:color w:val="000000"/>
      <w:sz w:val="24"/>
      <w:szCs w:val="24"/>
      <w:lang w:eastAsia="en-GB"/>
    </w:rPr>
  </w:style>
  <w:style w:type="character" w:styleId="Hyperlink">
    <w:name w:val="Hyperlink"/>
    <w:uiPriority w:val="99"/>
    <w:unhideWhenUsed/>
    <w:rsid w:val="007F1A06"/>
    <w:rPr>
      <w:color w:val="0000FF"/>
      <w:u w:val="single"/>
    </w:rPr>
  </w:style>
  <w:style w:type="paragraph" w:styleId="ListParagraph">
    <w:name w:val="List Paragraph"/>
    <w:basedOn w:val="Normal"/>
    <w:uiPriority w:val="34"/>
    <w:qFormat/>
    <w:rsid w:val="007F1A06"/>
    <w:pPr>
      <w:ind w:left="720"/>
    </w:pPr>
  </w:style>
  <w:style w:type="paragraph" w:customStyle="1" w:styleId="NumPara">
    <w:name w:val="Num Para"/>
    <w:qFormat/>
    <w:rsid w:val="007F1A06"/>
    <w:pPr>
      <w:numPr>
        <w:ilvl w:val="1"/>
        <w:numId w:val="15"/>
      </w:numPr>
      <w:spacing w:after="120"/>
      <w:jc w:val="both"/>
    </w:pPr>
    <w:rPr>
      <w:rFonts w:ascii="Arial" w:eastAsia="Times New Roman" w:hAnsi="Arial" w:cs="Times New Roman"/>
      <w:sz w:val="24"/>
      <w:lang w:eastAsia="en-GB"/>
    </w:rPr>
  </w:style>
  <w:style w:type="paragraph" w:customStyle="1" w:styleId="NumHeading1">
    <w:name w:val="Num Heading 1"/>
    <w:next w:val="NumPara"/>
    <w:qFormat/>
    <w:rsid w:val="007F1A06"/>
    <w:pPr>
      <w:keepNext/>
      <w:numPr>
        <w:numId w:val="15"/>
      </w:numPr>
      <w:spacing w:before="340" w:after="120" w:line="240" w:lineRule="auto"/>
    </w:pPr>
    <w:rPr>
      <w:rFonts w:ascii="Arial" w:eastAsia="Times New Roman" w:hAnsi="Arial" w:cs="Times New Roman"/>
      <w:b/>
      <w:spacing w:val="5"/>
      <w:sz w:val="24"/>
      <w:szCs w:val="48"/>
      <w:lang w:eastAsia="en-GB"/>
    </w:rPr>
  </w:style>
  <w:style w:type="paragraph" w:customStyle="1" w:styleId="NumPara2">
    <w:name w:val="Num Para 2"/>
    <w:basedOn w:val="NumPara"/>
    <w:qFormat/>
    <w:rsid w:val="007F1A06"/>
    <w:pPr>
      <w:numPr>
        <w:ilvl w:val="2"/>
      </w:numPr>
      <w:tabs>
        <w:tab w:val="clear" w:pos="1277"/>
        <w:tab w:val="num" w:pos="1276"/>
      </w:tabs>
      <w:ind w:left="1276" w:hanging="709"/>
    </w:pPr>
  </w:style>
  <w:style w:type="paragraph" w:styleId="BodyTextIndent">
    <w:name w:val="Body Text Indent"/>
    <w:basedOn w:val="Normal"/>
    <w:link w:val="BodyTextIndentChar"/>
    <w:rsid w:val="007F1A06"/>
    <w:pPr>
      <w:spacing w:after="0" w:line="240" w:lineRule="auto"/>
      <w:ind w:left="2340" w:hanging="2340"/>
    </w:pPr>
    <w:rPr>
      <w:rFonts w:ascii="Arial" w:eastAsia="Times New Roman" w:hAnsi="Arial"/>
      <w:sz w:val="24"/>
      <w:szCs w:val="24"/>
    </w:rPr>
  </w:style>
  <w:style w:type="character" w:customStyle="1" w:styleId="BodyTextIndentChar">
    <w:name w:val="Body Text Indent Char"/>
    <w:basedOn w:val="DefaultParagraphFont"/>
    <w:link w:val="BodyTextIndent"/>
    <w:rsid w:val="007F1A06"/>
    <w:rPr>
      <w:rFonts w:ascii="Arial" w:eastAsia="Times New Roman" w:hAnsi="Arial" w:cs="Times New Roman"/>
      <w:sz w:val="24"/>
      <w:szCs w:val="24"/>
    </w:rPr>
  </w:style>
  <w:style w:type="table" w:styleId="TableGrid">
    <w:name w:val="Table Grid"/>
    <w:basedOn w:val="TableNormal"/>
    <w:uiPriority w:val="59"/>
    <w:rsid w:val="007F1A0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A06"/>
    <w:rPr>
      <w:rFonts w:ascii="Tahoma" w:eastAsia="Calibri" w:hAnsi="Tahoma" w:cs="Tahoma"/>
      <w:sz w:val="16"/>
      <w:szCs w:val="16"/>
    </w:rPr>
  </w:style>
  <w:style w:type="character" w:styleId="CommentReference">
    <w:name w:val="annotation reference"/>
    <w:uiPriority w:val="99"/>
    <w:semiHidden/>
    <w:unhideWhenUsed/>
    <w:rsid w:val="007F1A06"/>
    <w:rPr>
      <w:sz w:val="16"/>
      <w:szCs w:val="16"/>
    </w:rPr>
  </w:style>
  <w:style w:type="paragraph" w:styleId="CommentText">
    <w:name w:val="annotation text"/>
    <w:basedOn w:val="Normal"/>
    <w:link w:val="CommentTextChar"/>
    <w:uiPriority w:val="99"/>
    <w:semiHidden/>
    <w:unhideWhenUsed/>
    <w:rsid w:val="007F1A06"/>
    <w:rPr>
      <w:sz w:val="20"/>
      <w:szCs w:val="20"/>
    </w:rPr>
  </w:style>
  <w:style w:type="character" w:customStyle="1" w:styleId="CommentTextChar">
    <w:name w:val="Comment Text Char"/>
    <w:basedOn w:val="DefaultParagraphFont"/>
    <w:link w:val="CommentText"/>
    <w:uiPriority w:val="99"/>
    <w:semiHidden/>
    <w:rsid w:val="007F1A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1A06"/>
    <w:rPr>
      <w:b/>
      <w:bCs/>
    </w:rPr>
  </w:style>
  <w:style w:type="character" w:customStyle="1" w:styleId="CommentSubjectChar">
    <w:name w:val="Comment Subject Char"/>
    <w:basedOn w:val="CommentTextChar"/>
    <w:link w:val="CommentSubject"/>
    <w:uiPriority w:val="99"/>
    <w:semiHidden/>
    <w:rsid w:val="007F1A06"/>
    <w:rPr>
      <w:rFonts w:ascii="Calibri" w:eastAsia="Calibri" w:hAnsi="Calibri" w:cs="Times New Roman"/>
      <w:b/>
      <w:bCs/>
      <w:sz w:val="20"/>
      <w:szCs w:val="20"/>
    </w:rPr>
  </w:style>
  <w:style w:type="paragraph" w:styleId="Header">
    <w:name w:val="header"/>
    <w:basedOn w:val="Normal"/>
    <w:link w:val="HeaderChar"/>
    <w:uiPriority w:val="99"/>
    <w:unhideWhenUsed/>
    <w:rsid w:val="007F1A06"/>
    <w:pPr>
      <w:tabs>
        <w:tab w:val="center" w:pos="4513"/>
        <w:tab w:val="right" w:pos="9026"/>
      </w:tabs>
    </w:pPr>
  </w:style>
  <w:style w:type="character" w:customStyle="1" w:styleId="HeaderChar">
    <w:name w:val="Header Char"/>
    <w:basedOn w:val="DefaultParagraphFont"/>
    <w:link w:val="Header"/>
    <w:uiPriority w:val="99"/>
    <w:rsid w:val="007F1A06"/>
    <w:rPr>
      <w:rFonts w:ascii="Calibri" w:eastAsia="Calibri" w:hAnsi="Calibri" w:cs="Times New Roman"/>
    </w:rPr>
  </w:style>
  <w:style w:type="paragraph" w:styleId="Footer">
    <w:name w:val="footer"/>
    <w:basedOn w:val="Normal"/>
    <w:link w:val="FooterChar"/>
    <w:uiPriority w:val="99"/>
    <w:unhideWhenUsed/>
    <w:rsid w:val="007F1A06"/>
    <w:pPr>
      <w:tabs>
        <w:tab w:val="center" w:pos="4513"/>
        <w:tab w:val="right" w:pos="9026"/>
      </w:tabs>
    </w:pPr>
  </w:style>
  <w:style w:type="character" w:customStyle="1" w:styleId="FooterChar">
    <w:name w:val="Footer Char"/>
    <w:basedOn w:val="DefaultParagraphFont"/>
    <w:link w:val="Footer"/>
    <w:uiPriority w:val="99"/>
    <w:rsid w:val="007F1A06"/>
    <w:rPr>
      <w:rFonts w:ascii="Calibri" w:eastAsia="Calibri" w:hAnsi="Calibri" w:cs="Times New Roman"/>
    </w:rPr>
  </w:style>
  <w:style w:type="paragraph" w:styleId="TOCHeading">
    <w:name w:val="TOC Heading"/>
    <w:basedOn w:val="Heading1"/>
    <w:next w:val="Normal"/>
    <w:uiPriority w:val="39"/>
    <w:unhideWhenUsed/>
    <w:qFormat/>
    <w:rsid w:val="007F1A06"/>
    <w:pPr>
      <w:keepLines/>
      <w:spacing w:after="0" w:line="259" w:lineRule="auto"/>
      <w:outlineLvl w:val="9"/>
    </w:pPr>
    <w:rPr>
      <w:b w:val="0"/>
      <w:bCs w:val="0"/>
      <w:color w:val="2F5496"/>
      <w:kern w:val="0"/>
      <w:lang w:val="en-US"/>
    </w:rPr>
  </w:style>
  <w:style w:type="paragraph" w:styleId="TOC1">
    <w:name w:val="toc 1"/>
    <w:basedOn w:val="Normal"/>
    <w:next w:val="Normal"/>
    <w:autoRedefine/>
    <w:uiPriority w:val="39"/>
    <w:unhideWhenUsed/>
    <w:rsid w:val="002A0BD5"/>
    <w:pPr>
      <w:tabs>
        <w:tab w:val="left" w:pos="440"/>
        <w:tab w:val="right" w:leader="dot" w:pos="9016"/>
      </w:tabs>
      <w:jc w:val="both"/>
    </w:pPr>
    <w:rPr>
      <w:rFonts w:ascii="Arial" w:hAnsi="Arial" w:cs="Arial"/>
      <w:b/>
      <w:bCs/>
      <w:u w:val="single"/>
    </w:rPr>
  </w:style>
  <w:style w:type="character" w:styleId="UnresolvedMention">
    <w:name w:val="Unresolved Mention"/>
    <w:basedOn w:val="DefaultParagraphFont"/>
    <w:uiPriority w:val="99"/>
    <w:semiHidden/>
    <w:unhideWhenUsed/>
    <w:rsid w:val="001F566E"/>
    <w:rPr>
      <w:color w:val="605E5C"/>
      <w:shd w:val="clear" w:color="auto" w:fill="E1DFDD"/>
    </w:rPr>
  </w:style>
  <w:style w:type="table" w:customStyle="1" w:styleId="TableGrid1">
    <w:name w:val="Table Grid1"/>
    <w:basedOn w:val="TableNormal"/>
    <w:next w:val="TableGrid"/>
    <w:uiPriority w:val="59"/>
    <w:rsid w:val="000A383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97F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97F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97F6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97F6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97F6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97F6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97F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97F6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7436">
      <w:bodyDiv w:val="1"/>
      <w:marLeft w:val="0"/>
      <w:marRight w:val="0"/>
      <w:marTop w:val="0"/>
      <w:marBottom w:val="0"/>
      <w:divBdr>
        <w:top w:val="none" w:sz="0" w:space="0" w:color="auto"/>
        <w:left w:val="none" w:sz="0" w:space="0" w:color="auto"/>
        <w:bottom w:val="none" w:sz="0" w:space="0" w:color="auto"/>
        <w:right w:val="none" w:sz="0" w:space="0" w:color="auto"/>
      </w:divBdr>
    </w:div>
    <w:div w:id="173351762">
      <w:bodyDiv w:val="1"/>
      <w:marLeft w:val="0"/>
      <w:marRight w:val="0"/>
      <w:marTop w:val="0"/>
      <w:marBottom w:val="0"/>
      <w:divBdr>
        <w:top w:val="none" w:sz="0" w:space="0" w:color="auto"/>
        <w:left w:val="none" w:sz="0" w:space="0" w:color="auto"/>
        <w:bottom w:val="none" w:sz="0" w:space="0" w:color="auto"/>
        <w:right w:val="none" w:sz="0" w:space="0" w:color="auto"/>
      </w:divBdr>
    </w:div>
    <w:div w:id="1035928171">
      <w:bodyDiv w:val="1"/>
      <w:marLeft w:val="0"/>
      <w:marRight w:val="0"/>
      <w:marTop w:val="0"/>
      <w:marBottom w:val="0"/>
      <w:divBdr>
        <w:top w:val="none" w:sz="0" w:space="0" w:color="auto"/>
        <w:left w:val="none" w:sz="0" w:space="0" w:color="auto"/>
        <w:bottom w:val="none" w:sz="0" w:space="0" w:color="auto"/>
        <w:right w:val="none" w:sz="0" w:space="0" w:color="auto"/>
      </w:divBdr>
    </w:div>
    <w:div w:id="1620334239">
      <w:bodyDiv w:val="1"/>
      <w:marLeft w:val="0"/>
      <w:marRight w:val="0"/>
      <w:marTop w:val="0"/>
      <w:marBottom w:val="0"/>
      <w:divBdr>
        <w:top w:val="none" w:sz="0" w:space="0" w:color="auto"/>
        <w:left w:val="none" w:sz="0" w:space="0" w:color="auto"/>
        <w:bottom w:val="none" w:sz="0" w:space="0" w:color="auto"/>
        <w:right w:val="none" w:sz="0" w:space="0" w:color="auto"/>
      </w:divBdr>
    </w:div>
    <w:div w:id="1823112784">
      <w:bodyDiv w:val="1"/>
      <w:marLeft w:val="0"/>
      <w:marRight w:val="0"/>
      <w:marTop w:val="0"/>
      <w:marBottom w:val="0"/>
      <w:divBdr>
        <w:top w:val="none" w:sz="0" w:space="0" w:color="auto"/>
        <w:left w:val="none" w:sz="0" w:space="0" w:color="auto"/>
        <w:bottom w:val="none" w:sz="0" w:space="0" w:color="auto"/>
        <w:right w:val="none" w:sz="0" w:space="0" w:color="auto"/>
      </w:divBdr>
    </w:div>
    <w:div w:id="19088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yson.Marke.Wilson@birmingham.gov.uk" TargetMode="External"/><Relationship Id="rId18" Type="http://schemas.openxmlformats.org/officeDocument/2006/relationships/hyperlink" Target="http://ricsfirm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ichard.l.thomas@birmingham.gov.uk" TargetMode="External"/><Relationship Id="rId17" Type="http://schemas.openxmlformats.org/officeDocument/2006/relationships/hyperlink" Target="http://www.rics.org/uk" TargetMode="External"/><Relationship Id="rId2" Type="http://schemas.openxmlformats.org/officeDocument/2006/relationships/customXml" Target="../customXml/item2.xml"/><Relationship Id="rId16" Type="http://schemas.openxmlformats.org/officeDocument/2006/relationships/hyperlink" Target="mailto:CPOLegal@birmingham.gov.uk" TargetMode="External"/><Relationship Id="rId20" Type="http://schemas.openxmlformats.org/officeDocument/2006/relationships/hyperlink" Target="http://www.bimingham.gov.uk/poolfarmcp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ve.french@birmingham.gov.uk" TargetMode="External"/><Relationship Id="rId5" Type="http://schemas.openxmlformats.org/officeDocument/2006/relationships/numbering" Target="numbering.xml"/><Relationship Id="rId15" Type="http://schemas.openxmlformats.org/officeDocument/2006/relationships/hyperlink" Target="mailto:collette.mccann@birmingham.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awsociet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wn.E.Smith@birmingham.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2" ma:contentTypeDescription="Create a new document." ma:contentTypeScope="" ma:versionID="bb09f78ac26f868b9dc83f73b382e322">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84eca962d84be27480d315379086d086"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90E9-CE29-44D5-AD95-D22DFECB1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2ED6A-26C1-471D-A8DF-7A7CFC9968FB}">
  <ds:schemaRefs>
    <ds:schemaRef ds:uri="http://schemas.microsoft.com/sharepoint/v3/contenttype/forms"/>
  </ds:schemaRefs>
</ds:datastoreItem>
</file>

<file path=customXml/itemProps3.xml><?xml version="1.0" encoding="utf-8"?>
<ds:datastoreItem xmlns:ds="http://schemas.openxmlformats.org/officeDocument/2006/customXml" ds:itemID="{48F97D66-4A92-49E7-AE6B-7BDAFB832878}">
  <ds:schemaRefs>
    <ds:schemaRef ds:uri="http://purl.org/dc/elements/1.1/"/>
    <ds:schemaRef ds:uri="http://schemas.microsoft.com/office/2006/metadata/properties"/>
    <ds:schemaRef ds:uri="a44b952a-cdab-49d8-a572-68fa4f4b8e9d"/>
    <ds:schemaRef ds:uri="http://purl.org/dc/terms/"/>
    <ds:schemaRef ds:uri="cf4fbdc1-3486-4097-bd2f-409effe1755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BACA09-50CE-4DED-9CB4-70F77E78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12225</Words>
  <Characters>63327</Characters>
  <Application>Microsoft Office Word</Application>
  <DocSecurity>0</DocSecurity>
  <Lines>1623</Lines>
  <Paragraphs>740</Paragraphs>
  <ScaleCrop>false</ScaleCrop>
  <HeadingPairs>
    <vt:vector size="2" baseType="variant">
      <vt:variant>
        <vt:lpstr>Title</vt:lpstr>
      </vt:variant>
      <vt:variant>
        <vt:i4>1</vt:i4>
      </vt:variant>
    </vt:vector>
  </HeadingPairs>
  <TitlesOfParts>
    <vt:vector size="1" baseType="lpstr">
      <vt:lpstr>THE BIRMINGHAM CITY COUNCIL</vt:lpstr>
    </vt:vector>
  </TitlesOfParts>
  <Company>Birmingham City Council</Company>
  <LinksUpToDate>false</LinksUpToDate>
  <CharactersWithSpaces>74812</CharactersWithSpaces>
  <SharedDoc>false</SharedDoc>
  <HLinks>
    <vt:vector size="144" baseType="variant">
      <vt:variant>
        <vt:i4>8060986</vt:i4>
      </vt:variant>
      <vt:variant>
        <vt:i4>123</vt:i4>
      </vt:variant>
      <vt:variant>
        <vt:i4>0</vt:i4>
      </vt:variant>
      <vt:variant>
        <vt:i4>5</vt:i4>
      </vt:variant>
      <vt:variant>
        <vt:lpwstr>http://www.bimingham.gov.uk/poolfarmcpo</vt:lpwstr>
      </vt:variant>
      <vt:variant>
        <vt:lpwstr/>
      </vt:variant>
      <vt:variant>
        <vt:i4>5963840</vt:i4>
      </vt:variant>
      <vt:variant>
        <vt:i4>120</vt:i4>
      </vt:variant>
      <vt:variant>
        <vt:i4>0</vt:i4>
      </vt:variant>
      <vt:variant>
        <vt:i4>5</vt:i4>
      </vt:variant>
      <vt:variant>
        <vt:lpwstr>http://www.lawsociety.org.uk/</vt:lpwstr>
      </vt:variant>
      <vt:variant>
        <vt:lpwstr/>
      </vt:variant>
      <vt:variant>
        <vt:i4>5439574</vt:i4>
      </vt:variant>
      <vt:variant>
        <vt:i4>117</vt:i4>
      </vt:variant>
      <vt:variant>
        <vt:i4>0</vt:i4>
      </vt:variant>
      <vt:variant>
        <vt:i4>5</vt:i4>
      </vt:variant>
      <vt:variant>
        <vt:lpwstr>http://ricsfirms.com/</vt:lpwstr>
      </vt:variant>
      <vt:variant>
        <vt:lpwstr/>
      </vt:variant>
      <vt:variant>
        <vt:i4>2228279</vt:i4>
      </vt:variant>
      <vt:variant>
        <vt:i4>114</vt:i4>
      </vt:variant>
      <vt:variant>
        <vt:i4>0</vt:i4>
      </vt:variant>
      <vt:variant>
        <vt:i4>5</vt:i4>
      </vt:variant>
      <vt:variant>
        <vt:lpwstr>http://www.rics.org/uk</vt:lpwstr>
      </vt:variant>
      <vt:variant>
        <vt:lpwstr/>
      </vt:variant>
      <vt:variant>
        <vt:i4>4522099</vt:i4>
      </vt:variant>
      <vt:variant>
        <vt:i4>111</vt:i4>
      </vt:variant>
      <vt:variant>
        <vt:i4>0</vt:i4>
      </vt:variant>
      <vt:variant>
        <vt:i4>5</vt:i4>
      </vt:variant>
      <vt:variant>
        <vt:lpwstr>mailto:collette.mccann@birmingham.gov.uk</vt:lpwstr>
      </vt:variant>
      <vt:variant>
        <vt:lpwstr/>
      </vt:variant>
      <vt:variant>
        <vt:i4>3604574</vt:i4>
      </vt:variant>
      <vt:variant>
        <vt:i4>108</vt:i4>
      </vt:variant>
      <vt:variant>
        <vt:i4>0</vt:i4>
      </vt:variant>
      <vt:variant>
        <vt:i4>5</vt:i4>
      </vt:variant>
      <vt:variant>
        <vt:lpwstr>mailto:Allyson.Marke.Wilson@birmingham.gov.uk</vt:lpwstr>
      </vt:variant>
      <vt:variant>
        <vt:lpwstr/>
      </vt:variant>
      <vt:variant>
        <vt:i4>2818143</vt:i4>
      </vt:variant>
      <vt:variant>
        <vt:i4>105</vt:i4>
      </vt:variant>
      <vt:variant>
        <vt:i4>0</vt:i4>
      </vt:variant>
      <vt:variant>
        <vt:i4>5</vt:i4>
      </vt:variant>
      <vt:variant>
        <vt:lpwstr>mailto:richard.l.thomas@birmingham.gov.uk</vt:lpwstr>
      </vt:variant>
      <vt:variant>
        <vt:lpwstr/>
      </vt:variant>
      <vt:variant>
        <vt:i4>1048630</vt:i4>
      </vt:variant>
      <vt:variant>
        <vt:i4>98</vt:i4>
      </vt:variant>
      <vt:variant>
        <vt:i4>0</vt:i4>
      </vt:variant>
      <vt:variant>
        <vt:i4>5</vt:i4>
      </vt:variant>
      <vt:variant>
        <vt:lpwstr/>
      </vt:variant>
      <vt:variant>
        <vt:lpwstr>_Toc68772058</vt:lpwstr>
      </vt:variant>
      <vt:variant>
        <vt:i4>2031670</vt:i4>
      </vt:variant>
      <vt:variant>
        <vt:i4>92</vt:i4>
      </vt:variant>
      <vt:variant>
        <vt:i4>0</vt:i4>
      </vt:variant>
      <vt:variant>
        <vt:i4>5</vt:i4>
      </vt:variant>
      <vt:variant>
        <vt:lpwstr/>
      </vt:variant>
      <vt:variant>
        <vt:lpwstr>_Toc68772057</vt:lpwstr>
      </vt:variant>
      <vt:variant>
        <vt:i4>1966134</vt:i4>
      </vt:variant>
      <vt:variant>
        <vt:i4>86</vt:i4>
      </vt:variant>
      <vt:variant>
        <vt:i4>0</vt:i4>
      </vt:variant>
      <vt:variant>
        <vt:i4>5</vt:i4>
      </vt:variant>
      <vt:variant>
        <vt:lpwstr/>
      </vt:variant>
      <vt:variant>
        <vt:lpwstr>_Toc68772056</vt:lpwstr>
      </vt:variant>
      <vt:variant>
        <vt:i4>1900598</vt:i4>
      </vt:variant>
      <vt:variant>
        <vt:i4>80</vt:i4>
      </vt:variant>
      <vt:variant>
        <vt:i4>0</vt:i4>
      </vt:variant>
      <vt:variant>
        <vt:i4>5</vt:i4>
      </vt:variant>
      <vt:variant>
        <vt:lpwstr/>
      </vt:variant>
      <vt:variant>
        <vt:lpwstr>_Toc68772055</vt:lpwstr>
      </vt:variant>
      <vt:variant>
        <vt:i4>1835062</vt:i4>
      </vt:variant>
      <vt:variant>
        <vt:i4>74</vt:i4>
      </vt:variant>
      <vt:variant>
        <vt:i4>0</vt:i4>
      </vt:variant>
      <vt:variant>
        <vt:i4>5</vt:i4>
      </vt:variant>
      <vt:variant>
        <vt:lpwstr/>
      </vt:variant>
      <vt:variant>
        <vt:lpwstr>_Toc68772054</vt:lpwstr>
      </vt:variant>
      <vt:variant>
        <vt:i4>1769526</vt:i4>
      </vt:variant>
      <vt:variant>
        <vt:i4>68</vt:i4>
      </vt:variant>
      <vt:variant>
        <vt:i4>0</vt:i4>
      </vt:variant>
      <vt:variant>
        <vt:i4>5</vt:i4>
      </vt:variant>
      <vt:variant>
        <vt:lpwstr/>
      </vt:variant>
      <vt:variant>
        <vt:lpwstr>_Toc68772053</vt:lpwstr>
      </vt:variant>
      <vt:variant>
        <vt:i4>1703990</vt:i4>
      </vt:variant>
      <vt:variant>
        <vt:i4>62</vt:i4>
      </vt:variant>
      <vt:variant>
        <vt:i4>0</vt:i4>
      </vt:variant>
      <vt:variant>
        <vt:i4>5</vt:i4>
      </vt:variant>
      <vt:variant>
        <vt:lpwstr/>
      </vt:variant>
      <vt:variant>
        <vt:lpwstr>_Toc68772052</vt:lpwstr>
      </vt:variant>
      <vt:variant>
        <vt:i4>1638454</vt:i4>
      </vt:variant>
      <vt:variant>
        <vt:i4>56</vt:i4>
      </vt:variant>
      <vt:variant>
        <vt:i4>0</vt:i4>
      </vt:variant>
      <vt:variant>
        <vt:i4>5</vt:i4>
      </vt:variant>
      <vt:variant>
        <vt:lpwstr/>
      </vt:variant>
      <vt:variant>
        <vt:lpwstr>_Toc68772051</vt:lpwstr>
      </vt:variant>
      <vt:variant>
        <vt:i4>1572918</vt:i4>
      </vt:variant>
      <vt:variant>
        <vt:i4>50</vt:i4>
      </vt:variant>
      <vt:variant>
        <vt:i4>0</vt:i4>
      </vt:variant>
      <vt:variant>
        <vt:i4>5</vt:i4>
      </vt:variant>
      <vt:variant>
        <vt:lpwstr/>
      </vt:variant>
      <vt:variant>
        <vt:lpwstr>_Toc68772050</vt:lpwstr>
      </vt:variant>
      <vt:variant>
        <vt:i4>1114167</vt:i4>
      </vt:variant>
      <vt:variant>
        <vt:i4>44</vt:i4>
      </vt:variant>
      <vt:variant>
        <vt:i4>0</vt:i4>
      </vt:variant>
      <vt:variant>
        <vt:i4>5</vt:i4>
      </vt:variant>
      <vt:variant>
        <vt:lpwstr/>
      </vt:variant>
      <vt:variant>
        <vt:lpwstr>_Toc68772049</vt:lpwstr>
      </vt:variant>
      <vt:variant>
        <vt:i4>1048631</vt:i4>
      </vt:variant>
      <vt:variant>
        <vt:i4>38</vt:i4>
      </vt:variant>
      <vt:variant>
        <vt:i4>0</vt:i4>
      </vt:variant>
      <vt:variant>
        <vt:i4>5</vt:i4>
      </vt:variant>
      <vt:variant>
        <vt:lpwstr/>
      </vt:variant>
      <vt:variant>
        <vt:lpwstr>_Toc68772048</vt:lpwstr>
      </vt:variant>
      <vt:variant>
        <vt:i4>2031671</vt:i4>
      </vt:variant>
      <vt:variant>
        <vt:i4>32</vt:i4>
      </vt:variant>
      <vt:variant>
        <vt:i4>0</vt:i4>
      </vt:variant>
      <vt:variant>
        <vt:i4>5</vt:i4>
      </vt:variant>
      <vt:variant>
        <vt:lpwstr/>
      </vt:variant>
      <vt:variant>
        <vt:lpwstr>_Toc68772047</vt:lpwstr>
      </vt:variant>
      <vt:variant>
        <vt:i4>1966135</vt:i4>
      </vt:variant>
      <vt:variant>
        <vt:i4>26</vt:i4>
      </vt:variant>
      <vt:variant>
        <vt:i4>0</vt:i4>
      </vt:variant>
      <vt:variant>
        <vt:i4>5</vt:i4>
      </vt:variant>
      <vt:variant>
        <vt:lpwstr/>
      </vt:variant>
      <vt:variant>
        <vt:lpwstr>_Toc68772046</vt:lpwstr>
      </vt:variant>
      <vt:variant>
        <vt:i4>1900599</vt:i4>
      </vt:variant>
      <vt:variant>
        <vt:i4>20</vt:i4>
      </vt:variant>
      <vt:variant>
        <vt:i4>0</vt:i4>
      </vt:variant>
      <vt:variant>
        <vt:i4>5</vt:i4>
      </vt:variant>
      <vt:variant>
        <vt:lpwstr/>
      </vt:variant>
      <vt:variant>
        <vt:lpwstr>_Toc68772045</vt:lpwstr>
      </vt:variant>
      <vt:variant>
        <vt:i4>1835063</vt:i4>
      </vt:variant>
      <vt:variant>
        <vt:i4>14</vt:i4>
      </vt:variant>
      <vt:variant>
        <vt:i4>0</vt:i4>
      </vt:variant>
      <vt:variant>
        <vt:i4>5</vt:i4>
      </vt:variant>
      <vt:variant>
        <vt:lpwstr/>
      </vt:variant>
      <vt:variant>
        <vt:lpwstr>_Toc68772044</vt:lpwstr>
      </vt:variant>
      <vt:variant>
        <vt:i4>1769527</vt:i4>
      </vt:variant>
      <vt:variant>
        <vt:i4>8</vt:i4>
      </vt:variant>
      <vt:variant>
        <vt:i4>0</vt:i4>
      </vt:variant>
      <vt:variant>
        <vt:i4>5</vt:i4>
      </vt:variant>
      <vt:variant>
        <vt:lpwstr/>
      </vt:variant>
      <vt:variant>
        <vt:lpwstr>_Toc68772043</vt:lpwstr>
      </vt:variant>
      <vt:variant>
        <vt:i4>1703991</vt:i4>
      </vt:variant>
      <vt:variant>
        <vt:i4>2</vt:i4>
      </vt:variant>
      <vt:variant>
        <vt:i4>0</vt:i4>
      </vt:variant>
      <vt:variant>
        <vt:i4>5</vt:i4>
      </vt:variant>
      <vt:variant>
        <vt:lpwstr/>
      </vt:variant>
      <vt:variant>
        <vt:lpwstr>_Toc68772042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BIRMINGHAM CITY COUNCIL</dc:title>
  <dc:subject/>
  <dc:creator>Alison Barker</dc:creator>
  <cp:keywords/>
  <dc:description/>
  <cp:lastModifiedBy>Richard L Thomas</cp:lastModifiedBy>
  <cp:revision>4</cp:revision>
  <dcterms:created xsi:type="dcterms:W3CDTF">2021-10-12T15:05:00Z</dcterms:created>
  <dcterms:modified xsi:type="dcterms:W3CDTF">2021-10-13T10:04:00Z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