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BF29" w14:textId="7597E37F" w:rsidR="00A10AA3" w:rsidRDefault="00A10AA3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EFF68C9" w14:textId="0C769849" w:rsidR="00B71FAE" w:rsidRDefault="009548B0" w:rsidP="009548B0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9548B0">
        <w:rPr>
          <w:noProof/>
        </w:rPr>
        <w:drawing>
          <wp:inline distT="0" distB="0" distL="0" distR="0" wp14:anchorId="64E11843" wp14:editId="77AA3398">
            <wp:extent cx="4943475" cy="112395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01D6" w14:textId="512E370C" w:rsidR="00B71FAE" w:rsidRDefault="00B71FAE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502AC0F" w14:textId="028FC073" w:rsidR="00B71FAE" w:rsidRDefault="00B71FAE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FD6BF23" w14:textId="77777777" w:rsidR="00B71FAE" w:rsidRDefault="00B71FAE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4C1F241" w14:textId="2C65F495" w:rsidR="008544CD" w:rsidRPr="001B2BD4" w:rsidRDefault="008544CD" w:rsidP="00242C0B">
      <w:pPr>
        <w:pStyle w:val="NoSpacing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Report to:</w:t>
      </w:r>
      <w:r w:rsidR="006E7A5E" w:rsidRPr="00EB6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4971"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144F3E" w:rsidRPr="001B2BD4">
        <w:rPr>
          <w:rStyle w:val="Heading1Char"/>
          <w:rFonts w:ascii="Arial" w:hAnsi="Arial" w:cs="Arial"/>
          <w:color w:val="auto"/>
          <w:sz w:val="22"/>
          <w:szCs w:val="22"/>
        </w:rPr>
        <w:t>Schools</w:t>
      </w:r>
      <w:r w:rsidR="00A21599" w:rsidRPr="001B2BD4">
        <w:rPr>
          <w:rStyle w:val="Heading1Char"/>
          <w:rFonts w:ascii="Arial" w:hAnsi="Arial" w:cs="Arial"/>
          <w:color w:val="auto"/>
          <w:sz w:val="22"/>
          <w:szCs w:val="22"/>
        </w:rPr>
        <w:t xml:space="preserve"> </w:t>
      </w:r>
      <w:r w:rsidR="00F32E4C" w:rsidRPr="001B2BD4">
        <w:rPr>
          <w:rStyle w:val="Heading1Char"/>
          <w:rFonts w:ascii="Arial" w:hAnsi="Arial" w:cs="Arial"/>
          <w:color w:val="auto"/>
          <w:sz w:val="22"/>
          <w:szCs w:val="22"/>
        </w:rPr>
        <w:t>Forum</w:t>
      </w:r>
      <w:r w:rsidR="00C4422C" w:rsidRPr="001B2BD4">
        <w:rPr>
          <w:rStyle w:val="Heading1Char"/>
          <w:rFonts w:ascii="Arial" w:hAnsi="Arial" w:cs="Arial"/>
          <w:color w:val="auto"/>
          <w:sz w:val="22"/>
          <w:szCs w:val="22"/>
        </w:rPr>
        <w:t xml:space="preserve"> </w:t>
      </w:r>
    </w:p>
    <w:p w14:paraId="6F776A12" w14:textId="77777777" w:rsidR="00F32E4C" w:rsidRPr="00EB6BA8" w:rsidRDefault="00F32E4C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32D3929" w14:textId="6FF908D9" w:rsidR="008544CD" w:rsidRPr="00EB6BA8" w:rsidRDefault="00EC624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Date:</w:t>
      </w:r>
      <w:r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824971"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436A16">
        <w:rPr>
          <w:rFonts w:asciiTheme="minorHAnsi" w:hAnsiTheme="minorHAnsi" w:cstheme="minorHAnsi"/>
          <w:sz w:val="24"/>
          <w:szCs w:val="24"/>
        </w:rPr>
        <w:t>21</w:t>
      </w:r>
      <w:r w:rsidR="00D311CA" w:rsidRPr="00D311CA">
        <w:rPr>
          <w:rFonts w:asciiTheme="minorHAnsi" w:hAnsiTheme="minorHAnsi" w:cstheme="minorHAnsi"/>
          <w:sz w:val="24"/>
          <w:szCs w:val="24"/>
        </w:rPr>
        <w:t xml:space="preserve"> </w:t>
      </w:r>
      <w:r w:rsidR="00436A16">
        <w:rPr>
          <w:rFonts w:asciiTheme="minorHAnsi" w:hAnsiTheme="minorHAnsi" w:cstheme="minorHAnsi"/>
          <w:sz w:val="24"/>
          <w:szCs w:val="24"/>
        </w:rPr>
        <w:t>January</w:t>
      </w:r>
      <w:r w:rsidR="00D311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1599">
        <w:rPr>
          <w:rFonts w:asciiTheme="minorHAnsi" w:hAnsiTheme="minorHAnsi" w:cstheme="minorHAnsi"/>
          <w:sz w:val="24"/>
          <w:szCs w:val="24"/>
        </w:rPr>
        <w:t>202</w:t>
      </w:r>
      <w:r w:rsidR="00436A16">
        <w:rPr>
          <w:rFonts w:asciiTheme="minorHAnsi" w:hAnsiTheme="minorHAnsi" w:cstheme="minorHAnsi"/>
          <w:sz w:val="24"/>
          <w:szCs w:val="24"/>
        </w:rPr>
        <w:t>1</w:t>
      </w:r>
    </w:p>
    <w:p w14:paraId="08F6C738" w14:textId="77777777" w:rsidR="008544CD" w:rsidRPr="00EB6BA8" w:rsidRDefault="008544C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E456357" w14:textId="402FAAD0" w:rsidR="008544CD" w:rsidRPr="00EB6BA8" w:rsidRDefault="008544CD" w:rsidP="00AB1C46">
      <w:pPr>
        <w:pStyle w:val="NoSpacing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Report of:</w:t>
      </w:r>
      <w:r w:rsidR="00FE7435" w:rsidRPr="00EB6BA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24971"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824971" w:rsidRPr="00EB6BA8">
        <w:rPr>
          <w:rFonts w:asciiTheme="minorHAnsi" w:hAnsiTheme="minorHAnsi" w:cstheme="minorHAnsi"/>
          <w:sz w:val="24"/>
          <w:szCs w:val="24"/>
        </w:rPr>
        <w:t>Lindsey Trivett</w:t>
      </w:r>
      <w:r w:rsidR="00FE7435" w:rsidRPr="00EB6BA8">
        <w:rPr>
          <w:rFonts w:asciiTheme="minorHAnsi" w:hAnsiTheme="minorHAnsi" w:cstheme="minorHAnsi"/>
          <w:sz w:val="24"/>
          <w:szCs w:val="24"/>
        </w:rPr>
        <w:t xml:space="preserve">, Head of </w:t>
      </w:r>
      <w:r w:rsidR="00824971" w:rsidRPr="00EB6BA8">
        <w:rPr>
          <w:rFonts w:asciiTheme="minorHAnsi" w:hAnsiTheme="minorHAnsi" w:cstheme="minorHAnsi"/>
          <w:sz w:val="24"/>
          <w:szCs w:val="24"/>
        </w:rPr>
        <w:t>Early Years, Childcare and Children’s Centres</w:t>
      </w:r>
      <w:r w:rsidR="00FE7435" w:rsidRPr="00EB6BA8">
        <w:rPr>
          <w:rFonts w:asciiTheme="minorHAnsi" w:hAnsiTheme="minorHAnsi" w:cstheme="minorHAnsi"/>
          <w:sz w:val="24"/>
          <w:szCs w:val="24"/>
        </w:rPr>
        <w:t xml:space="preserve"> –</w:t>
      </w:r>
      <w:r w:rsidR="003E5F22">
        <w:rPr>
          <w:rFonts w:asciiTheme="minorHAnsi" w:hAnsiTheme="minorHAnsi" w:cstheme="minorHAnsi"/>
          <w:sz w:val="24"/>
          <w:szCs w:val="24"/>
        </w:rPr>
        <w:t xml:space="preserve"> </w:t>
      </w:r>
      <w:r w:rsidR="00017E0C">
        <w:rPr>
          <w:rFonts w:asciiTheme="minorHAnsi" w:hAnsiTheme="minorHAnsi" w:cstheme="minorHAnsi"/>
          <w:sz w:val="24"/>
          <w:szCs w:val="24"/>
        </w:rPr>
        <w:t>Directorate</w:t>
      </w:r>
      <w:r w:rsidR="003E5F22">
        <w:rPr>
          <w:rFonts w:asciiTheme="minorHAnsi" w:hAnsiTheme="minorHAnsi" w:cstheme="minorHAnsi"/>
          <w:sz w:val="24"/>
          <w:szCs w:val="24"/>
        </w:rPr>
        <w:t xml:space="preserve"> for Education and Skills</w:t>
      </w:r>
    </w:p>
    <w:p w14:paraId="4701030E" w14:textId="77777777" w:rsidR="008544CD" w:rsidRPr="00EB6BA8" w:rsidRDefault="008544C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CDF1312" w14:textId="71500779" w:rsidR="00554D03" w:rsidRPr="00EB6BA8" w:rsidRDefault="00EC624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>Title:</w:t>
      </w:r>
      <w:r w:rsidRPr="00EB6BA8">
        <w:rPr>
          <w:rFonts w:asciiTheme="minorHAnsi" w:hAnsiTheme="minorHAnsi" w:cstheme="minorHAnsi"/>
          <w:b/>
          <w:sz w:val="24"/>
          <w:szCs w:val="24"/>
        </w:rPr>
        <w:tab/>
      </w:r>
      <w:r w:rsidR="00647879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r w:rsidR="005524CB" w:rsidRPr="005524CB">
        <w:rPr>
          <w:rFonts w:asciiTheme="minorHAnsi" w:hAnsiTheme="minorHAnsi" w:cstheme="minorHAnsi"/>
          <w:sz w:val="24"/>
          <w:szCs w:val="24"/>
        </w:rPr>
        <w:t>Early Years Rate Review 2021-2022</w:t>
      </w:r>
      <w:r w:rsidR="00F63FA7">
        <w:rPr>
          <w:rFonts w:asciiTheme="minorHAnsi" w:hAnsiTheme="minorHAnsi" w:cstheme="minorHAnsi"/>
          <w:sz w:val="24"/>
          <w:szCs w:val="24"/>
        </w:rPr>
        <w:t xml:space="preserve"> – Confirmation of final rates.</w:t>
      </w:r>
      <w:bookmarkEnd w:id="0"/>
    </w:p>
    <w:p w14:paraId="64EB4AFD" w14:textId="1393BA64" w:rsidR="007E4DB4" w:rsidRPr="00EB6BA8" w:rsidRDefault="007E4DB4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1A8C79E" w14:textId="7B74B67F" w:rsidR="0096441D" w:rsidRPr="00EB6BA8" w:rsidRDefault="00554D03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B6BA8">
        <w:rPr>
          <w:rFonts w:asciiTheme="minorHAnsi" w:hAnsiTheme="minorHAnsi" w:cstheme="minorHAnsi"/>
          <w:b/>
          <w:sz w:val="24"/>
          <w:szCs w:val="24"/>
        </w:rPr>
        <w:t xml:space="preserve">Status:  </w:t>
      </w:r>
      <w:r w:rsidR="00DF5859" w:rsidRPr="00EB6BA8">
        <w:rPr>
          <w:rFonts w:asciiTheme="minorHAnsi" w:hAnsiTheme="minorHAnsi" w:cstheme="minorHAnsi"/>
          <w:b/>
          <w:sz w:val="24"/>
          <w:szCs w:val="24"/>
        </w:rPr>
        <w:tab/>
      </w:r>
      <w:r w:rsidRPr="00EB6BA8">
        <w:rPr>
          <w:rFonts w:asciiTheme="minorHAnsi" w:hAnsiTheme="minorHAnsi" w:cstheme="minorHAnsi"/>
          <w:sz w:val="24"/>
          <w:szCs w:val="24"/>
        </w:rPr>
        <w:t>For Information</w:t>
      </w:r>
    </w:p>
    <w:p w14:paraId="32FECDF8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4306733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FF413FF" w14:textId="43802FA1" w:rsidR="0096441D" w:rsidRPr="00B766D1" w:rsidRDefault="00BA36DC" w:rsidP="00FE35F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66D1">
        <w:rPr>
          <w:rFonts w:asciiTheme="minorHAnsi" w:hAnsiTheme="minorHAnsi" w:cstheme="minorHAnsi"/>
          <w:b/>
          <w:sz w:val="24"/>
          <w:szCs w:val="24"/>
          <w:u w:val="single"/>
        </w:rPr>
        <w:t>Purpose of the Report</w:t>
      </w:r>
    </w:p>
    <w:p w14:paraId="51B0233C" w14:textId="77777777" w:rsidR="0096441D" w:rsidRPr="00EB6BA8" w:rsidRDefault="0096441D" w:rsidP="00242C0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D44898A" w14:textId="53461ADA" w:rsidR="008544CD" w:rsidRPr="00194E46" w:rsidRDefault="000F2CDA" w:rsidP="00242C0B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2C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report details the </w:t>
      </w:r>
      <w:r w:rsidR="00F63F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final outcome </w:t>
      </w:r>
      <w:r w:rsidRPr="000F2C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</w:t>
      </w:r>
      <w:r w:rsidR="002844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amendments to </w:t>
      </w:r>
      <w:r w:rsidR="009C2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 </w:t>
      </w:r>
      <w:r w:rsidR="002844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made </w:t>
      </w:r>
      <w:r w:rsidR="00D108A3">
        <w:rPr>
          <w:rFonts w:asciiTheme="minorHAnsi" w:hAnsiTheme="minorHAnsi" w:cstheme="minorHAnsi"/>
          <w:color w:val="000000" w:themeColor="text1"/>
          <w:sz w:val="24"/>
          <w:szCs w:val="24"/>
        </w:rPr>
        <w:t>to the Early Years DSG Funding for the financial year 2021-2022</w:t>
      </w:r>
      <w:r w:rsidR="009657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0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confirmation of the funding </w:t>
      </w:r>
      <w:r w:rsidR="007C7AD3">
        <w:rPr>
          <w:rFonts w:asciiTheme="minorHAnsi" w:hAnsiTheme="minorHAnsi" w:cstheme="minorHAnsi"/>
          <w:color w:val="000000" w:themeColor="text1"/>
          <w:sz w:val="24"/>
          <w:szCs w:val="24"/>
        </w:rPr>
        <w:t>allocations</w:t>
      </w:r>
      <w:r w:rsidR="00810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from the Department for Education. As previously </w:t>
      </w:r>
      <w:r w:rsidR="007C7AD3">
        <w:rPr>
          <w:rFonts w:asciiTheme="minorHAnsi" w:hAnsiTheme="minorHAnsi" w:cstheme="minorHAnsi"/>
          <w:color w:val="000000" w:themeColor="text1"/>
          <w:sz w:val="24"/>
          <w:szCs w:val="24"/>
        </w:rPr>
        <w:t>reported,</w:t>
      </w:r>
      <w:r w:rsidR="00810A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has </w:t>
      </w:r>
      <w:r w:rsidR="009C2036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been aligned to </w:t>
      </w:r>
      <w:r w:rsidR="00AC4B30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allocations </w:t>
      </w:r>
      <w:r w:rsidR="00060EE3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>within the</w:t>
      </w:r>
      <w:r w:rsidR="00AC4B30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8744E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>Central Gov</w:t>
      </w:r>
      <w:r w:rsidR="00DF3249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>ernment</w:t>
      </w:r>
      <w:r w:rsidR="00E8744E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Spending Review</w:t>
      </w:r>
      <w:r w:rsidR="00060EE3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66D1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>recently announced that covers the period of one year only.</w:t>
      </w:r>
      <w:r w:rsidR="005A44E1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review and recommendations </w:t>
      </w:r>
      <w:r w:rsidR="00194E46" w:rsidRPr="007C7AD3">
        <w:rPr>
          <w:rFonts w:asciiTheme="minorHAnsi" w:hAnsiTheme="minorHAnsi" w:cstheme="minorHAnsi"/>
          <w:color w:val="000000" w:themeColor="text1"/>
          <w:sz w:val="24"/>
          <w:szCs w:val="24"/>
        </w:rPr>
        <w:t>are therefore for just one year.</w:t>
      </w:r>
    </w:p>
    <w:p w14:paraId="795D5DAD" w14:textId="77777777" w:rsidR="0002427F" w:rsidRPr="00EB6BA8" w:rsidRDefault="0002427F" w:rsidP="00EB6BA8">
      <w:pPr>
        <w:pStyle w:val="NoSpacing"/>
        <w:ind w:left="426"/>
        <w:rPr>
          <w:rFonts w:asciiTheme="minorHAnsi" w:hAnsiTheme="minorHAnsi" w:cstheme="minorHAnsi"/>
          <w:sz w:val="24"/>
          <w:szCs w:val="24"/>
        </w:rPr>
      </w:pPr>
    </w:p>
    <w:p w14:paraId="0DDFC171" w14:textId="77777777" w:rsidR="00C664CC" w:rsidRPr="00CE0312" w:rsidRDefault="00DF5859" w:rsidP="00FE35F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0312">
        <w:rPr>
          <w:rFonts w:asciiTheme="minorHAnsi" w:hAnsiTheme="minorHAnsi" w:cstheme="minorHAnsi"/>
          <w:b/>
          <w:sz w:val="24"/>
          <w:szCs w:val="24"/>
          <w:u w:val="single"/>
        </w:rPr>
        <w:t>Background Context</w:t>
      </w:r>
    </w:p>
    <w:p w14:paraId="5C0CCECF" w14:textId="77777777" w:rsidR="0096441D" w:rsidRPr="00EB6BA8" w:rsidRDefault="0096441D" w:rsidP="00EB6B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891AD2" w14:textId="14823AB4" w:rsidR="007C7AD3" w:rsidRDefault="007C7AD3" w:rsidP="00FE35F8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full report was presented to Schools Forum in December which outlined the </w:t>
      </w:r>
      <w:r w:rsidR="008C4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context of the Early Years DSG and the work that the annual review had undertaken. This report supplements </w:t>
      </w:r>
      <w:r w:rsidR="00B06FA6">
        <w:rPr>
          <w:rFonts w:asciiTheme="minorHAnsi" w:hAnsiTheme="minorHAnsi" w:cstheme="minorHAnsi"/>
          <w:color w:val="000000" w:themeColor="text1"/>
          <w:sz w:val="24"/>
          <w:szCs w:val="24"/>
        </w:rPr>
        <w:t>that as the initial allocations for the financial year 2021/22 have now been released by the DfE.</w:t>
      </w:r>
    </w:p>
    <w:p w14:paraId="1337FD39" w14:textId="0E2E7635" w:rsidR="00596C1C" w:rsidRDefault="00B06FA6" w:rsidP="00242C0B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B627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allocations and subsequent rates proposed </w:t>
      </w:r>
      <w:r w:rsidR="007C0C24">
        <w:rPr>
          <w:rFonts w:asciiTheme="minorHAnsi" w:hAnsiTheme="minorHAnsi" w:cstheme="minorHAnsi"/>
          <w:color w:val="000000" w:themeColor="text1"/>
          <w:sz w:val="24"/>
          <w:szCs w:val="24"/>
        </w:rPr>
        <w:t>consider</w:t>
      </w:r>
      <w:r w:rsidR="00B627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257CDF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HM Treasury further 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>one-year</w:t>
      </w:r>
      <w:r w:rsidR="00257CDF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settlement for 2021/22. </w:t>
      </w:r>
      <w:r w:rsidR="007C0C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3972E3">
        <w:rPr>
          <w:rFonts w:asciiTheme="minorHAnsi" w:hAnsiTheme="minorHAnsi" w:cstheme="minorHAnsi"/>
          <w:color w:val="000000" w:themeColor="text1"/>
          <w:sz w:val="24"/>
          <w:szCs w:val="24"/>
        </w:rPr>
        <w:t>confirmed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additional Early Years funding (£44m nationally) through the national formula for one-year only</w:t>
      </w:r>
      <w:r w:rsidR="005128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gives an 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increase on the hourly per child rate in the national formula </w:t>
      </w:r>
      <w:r w:rsidR="003972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9A3D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8p 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>for two</w:t>
      </w:r>
      <w:r w:rsidR="009A3D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 olds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A3D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B86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6p for </w:t>
      </w:r>
      <w:r w:rsidR="00596C1C" w:rsidRPr="00B06FA6">
        <w:rPr>
          <w:rFonts w:asciiTheme="minorHAnsi" w:hAnsiTheme="minorHAnsi" w:cstheme="minorHAnsi"/>
          <w:color w:val="000000" w:themeColor="text1"/>
          <w:sz w:val="24"/>
          <w:szCs w:val="24"/>
        </w:rPr>
        <w:t>three- and four-year olds.</w:t>
      </w:r>
      <w:r w:rsidR="005128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DAB0548" w14:textId="77777777" w:rsidR="005128E1" w:rsidRDefault="005128E1" w:rsidP="000F6E3D">
      <w:pPr>
        <w:pStyle w:val="NoSpacing"/>
        <w:ind w:left="6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FDCDD5" w14:textId="05DE801A" w:rsidR="0028792E" w:rsidRPr="006463ED" w:rsidRDefault="00405C66" w:rsidP="00A45F38">
      <w:pPr>
        <w:pStyle w:val="NoSpacing"/>
        <w:numPr>
          <w:ilvl w:val="0"/>
          <w:numId w:val="28"/>
        </w:numPr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63ED">
        <w:rPr>
          <w:rFonts w:asciiTheme="minorHAnsi" w:hAnsiTheme="minorHAnsi" w:cstheme="minorHAnsi"/>
          <w:b/>
          <w:sz w:val="24"/>
          <w:szCs w:val="24"/>
          <w:u w:val="single"/>
        </w:rPr>
        <w:t>Centrally Retained Funding</w:t>
      </w:r>
    </w:p>
    <w:p w14:paraId="4E2C5378" w14:textId="77777777" w:rsidR="00A45F38" w:rsidRPr="00704571" w:rsidRDefault="00A45F38" w:rsidP="00704571">
      <w:pPr>
        <w:pStyle w:val="NoSpacing"/>
      </w:pPr>
    </w:p>
    <w:p w14:paraId="7372E2E0" w14:textId="261EB870" w:rsidR="00DB5D89" w:rsidRDefault="00F4429B" w:rsidP="00D34A01">
      <w:pPr>
        <w:pStyle w:val="NoSpacing"/>
        <w:rPr>
          <w:sz w:val="24"/>
          <w:szCs w:val="24"/>
        </w:rPr>
      </w:pPr>
      <w:r w:rsidRPr="004512E9">
        <w:rPr>
          <w:sz w:val="24"/>
          <w:szCs w:val="24"/>
        </w:rPr>
        <w:t xml:space="preserve">The LA can retain a maximum of 5% of the EY block to support central functions. </w:t>
      </w:r>
      <w:r w:rsidR="00704571" w:rsidRPr="004512E9">
        <w:rPr>
          <w:sz w:val="24"/>
          <w:szCs w:val="24"/>
        </w:rPr>
        <w:t xml:space="preserve">The full 5% on the current expected allocation </w:t>
      </w:r>
      <w:r w:rsidRPr="004512E9">
        <w:rPr>
          <w:sz w:val="24"/>
          <w:szCs w:val="24"/>
        </w:rPr>
        <w:t>would be £3.</w:t>
      </w:r>
      <w:r w:rsidR="00953CB4" w:rsidRPr="004512E9">
        <w:rPr>
          <w:sz w:val="24"/>
          <w:szCs w:val="24"/>
        </w:rPr>
        <w:t>52</w:t>
      </w:r>
      <w:r w:rsidRPr="004512E9">
        <w:rPr>
          <w:sz w:val="24"/>
          <w:szCs w:val="24"/>
        </w:rPr>
        <w:t>m</w:t>
      </w:r>
      <w:r w:rsidR="0061585D" w:rsidRPr="004512E9">
        <w:rPr>
          <w:sz w:val="24"/>
          <w:szCs w:val="24"/>
        </w:rPr>
        <w:t>.</w:t>
      </w:r>
      <w:r w:rsidRPr="00704571">
        <w:rPr>
          <w:sz w:val="24"/>
          <w:szCs w:val="24"/>
        </w:rPr>
        <w:t xml:space="preserve"> This cover</w:t>
      </w:r>
      <w:r w:rsidR="00B8627D">
        <w:rPr>
          <w:sz w:val="24"/>
          <w:szCs w:val="24"/>
        </w:rPr>
        <w:t>s</w:t>
      </w:r>
      <w:r w:rsidRPr="00704571">
        <w:rPr>
          <w:sz w:val="24"/>
          <w:szCs w:val="24"/>
        </w:rPr>
        <w:t xml:space="preserve"> the costs of the EYCC central team</w:t>
      </w:r>
      <w:r w:rsidR="00302697">
        <w:rPr>
          <w:sz w:val="24"/>
          <w:szCs w:val="24"/>
        </w:rPr>
        <w:t xml:space="preserve"> and administering the </w:t>
      </w:r>
      <w:r w:rsidR="004D7F8F">
        <w:rPr>
          <w:sz w:val="24"/>
          <w:szCs w:val="24"/>
        </w:rPr>
        <w:t>termly headcount</w:t>
      </w:r>
      <w:r w:rsidRPr="00704571">
        <w:rPr>
          <w:sz w:val="24"/>
          <w:szCs w:val="24"/>
        </w:rPr>
        <w:t xml:space="preserve">; Early Years Inclusion and Early Years QI and networks. </w:t>
      </w:r>
    </w:p>
    <w:p w14:paraId="03965691" w14:textId="39839CCB" w:rsidR="004D7F8F" w:rsidRDefault="004D7F8F" w:rsidP="00D34A01">
      <w:pPr>
        <w:pStyle w:val="NoSpacing"/>
        <w:rPr>
          <w:sz w:val="24"/>
          <w:szCs w:val="24"/>
        </w:rPr>
      </w:pPr>
    </w:p>
    <w:p w14:paraId="0922E05B" w14:textId="589FF6A5" w:rsidR="004D7F8F" w:rsidRDefault="004D7F8F" w:rsidP="00D34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report in December set out that the</w:t>
      </w:r>
      <w:r w:rsidR="00291ACB" w:rsidRPr="00291ACB">
        <w:rPr>
          <w:sz w:val="24"/>
          <w:szCs w:val="24"/>
        </w:rPr>
        <w:t xml:space="preserve"> LA would look to incrementally increase the central retained percentage towards 5% with a view to reaching the full 5% in future years. The increase would therefore be spilt with increasing the rate to providers.</w:t>
      </w:r>
    </w:p>
    <w:p w14:paraId="05036B9E" w14:textId="77777777" w:rsidR="00727A8E" w:rsidRPr="00D34A01" w:rsidRDefault="00727A8E" w:rsidP="00D34A01">
      <w:pPr>
        <w:pStyle w:val="NoSpacing"/>
        <w:rPr>
          <w:sz w:val="24"/>
          <w:szCs w:val="24"/>
        </w:rPr>
      </w:pPr>
    </w:p>
    <w:p w14:paraId="7B9CE73E" w14:textId="4366928E" w:rsidR="00BE2B1B" w:rsidRDefault="00D7586C" w:rsidP="00D34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E65503">
        <w:rPr>
          <w:sz w:val="24"/>
          <w:szCs w:val="24"/>
        </w:rPr>
        <w:t xml:space="preserve">n increase the equivalent of 2p per hour </w:t>
      </w:r>
      <w:r w:rsidR="007D4F5B">
        <w:rPr>
          <w:sz w:val="24"/>
          <w:szCs w:val="24"/>
        </w:rPr>
        <w:t xml:space="preserve">will be </w:t>
      </w:r>
      <w:r w:rsidR="00E65503">
        <w:rPr>
          <w:sz w:val="24"/>
          <w:szCs w:val="24"/>
        </w:rPr>
        <w:t xml:space="preserve">added to the </w:t>
      </w:r>
      <w:r w:rsidR="00551FC8" w:rsidRPr="00551FC8">
        <w:rPr>
          <w:sz w:val="24"/>
          <w:szCs w:val="24"/>
        </w:rPr>
        <w:t>centrally retained element</w:t>
      </w:r>
      <w:r w:rsidR="007D4F5B">
        <w:rPr>
          <w:sz w:val="24"/>
          <w:szCs w:val="24"/>
        </w:rPr>
        <w:t xml:space="preserve"> as shown in table 1</w:t>
      </w:r>
      <w:r w:rsidR="004E6933">
        <w:rPr>
          <w:sz w:val="24"/>
          <w:szCs w:val="24"/>
        </w:rPr>
        <w:t>.</w:t>
      </w:r>
      <w:r w:rsidR="00D27196">
        <w:rPr>
          <w:sz w:val="24"/>
          <w:szCs w:val="24"/>
        </w:rPr>
        <w:t xml:space="preserve"> However, (see 4.1 below) we will also use this to fund the increase in deprivation supplements. </w:t>
      </w:r>
    </w:p>
    <w:p w14:paraId="7D2E0701" w14:textId="77777777" w:rsidR="00BE2B1B" w:rsidRDefault="00BE2B1B" w:rsidP="00D34A01">
      <w:pPr>
        <w:pStyle w:val="NoSpacing"/>
        <w:rPr>
          <w:sz w:val="24"/>
          <w:szCs w:val="24"/>
        </w:rPr>
      </w:pPr>
    </w:p>
    <w:p w14:paraId="0AB13497" w14:textId="7D890F11" w:rsidR="00F4429B" w:rsidRDefault="00704571" w:rsidP="00A46794">
      <w:pPr>
        <w:pStyle w:val="NoSpacing"/>
        <w:rPr>
          <w:noProof/>
          <w:sz w:val="24"/>
          <w:szCs w:val="24"/>
          <w:lang w:eastAsia="en-GB"/>
        </w:rPr>
      </w:pPr>
      <w:r w:rsidRPr="00A46794">
        <w:rPr>
          <w:sz w:val="24"/>
          <w:szCs w:val="24"/>
        </w:rPr>
        <w:t>T</w:t>
      </w:r>
      <w:r w:rsidR="00F4429B" w:rsidRPr="00A46794">
        <w:rPr>
          <w:sz w:val="24"/>
          <w:szCs w:val="24"/>
        </w:rPr>
        <w:t>able 1: Centrally Retaine</w:t>
      </w:r>
      <w:r w:rsidR="004E6933">
        <w:rPr>
          <w:sz w:val="24"/>
          <w:szCs w:val="24"/>
        </w:rPr>
        <w:t>d funding</w:t>
      </w:r>
    </w:p>
    <w:p w14:paraId="0E13FFD5" w14:textId="3B727F67" w:rsidR="00BB568F" w:rsidRPr="00A46794" w:rsidRDefault="002342C4" w:rsidP="00A46794">
      <w:pPr>
        <w:pStyle w:val="NoSpacing"/>
        <w:rPr>
          <w:sz w:val="24"/>
          <w:szCs w:val="24"/>
        </w:rPr>
      </w:pPr>
      <w:r w:rsidRPr="002342C4">
        <w:rPr>
          <w:noProof/>
          <w:lang w:eastAsia="en-GB"/>
        </w:rPr>
        <w:drawing>
          <wp:inline distT="0" distB="0" distL="0" distR="0" wp14:anchorId="409A5C6F" wp14:editId="06DC2F65">
            <wp:extent cx="3678866" cy="1925030"/>
            <wp:effectExtent l="0" t="0" r="0" b="0"/>
            <wp:docPr id="3" name="Picture 3" descr="picture of a table for Centrally Retained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a table for Centrally Retained Fu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78" b="12162"/>
                    <a:stretch/>
                  </pic:blipFill>
                  <pic:spPr bwMode="auto">
                    <a:xfrm>
                      <a:off x="0" y="0"/>
                      <a:ext cx="3690501" cy="19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E1A29" w14:textId="13D55072" w:rsidR="00A044D6" w:rsidRDefault="00F4429B" w:rsidP="00727A8E">
      <w:pPr>
        <w:pStyle w:val="NoSpacing"/>
        <w:rPr>
          <w:sz w:val="24"/>
          <w:szCs w:val="24"/>
        </w:rPr>
      </w:pPr>
      <w:r w:rsidRPr="00A46794">
        <w:rPr>
          <w:sz w:val="24"/>
          <w:szCs w:val="24"/>
        </w:rPr>
        <w:t>* ISEY has previously been counted in central retention when £0.75m of it is actually passed through to providers.</w:t>
      </w:r>
      <w:r w:rsidR="00A46794">
        <w:rPr>
          <w:sz w:val="24"/>
          <w:szCs w:val="24"/>
        </w:rPr>
        <w:t xml:space="preserve"> </w:t>
      </w:r>
      <w:r w:rsidR="0038222E">
        <w:rPr>
          <w:sz w:val="24"/>
          <w:szCs w:val="24"/>
        </w:rPr>
        <w:t>In 21/22 the £0.75m will be included in the pass-through element.</w:t>
      </w:r>
    </w:p>
    <w:p w14:paraId="797BDC55" w14:textId="1FC0AE8E" w:rsidR="00891BFB" w:rsidRDefault="00891BFB" w:rsidP="00727A8E">
      <w:pPr>
        <w:pStyle w:val="NoSpacing"/>
        <w:rPr>
          <w:sz w:val="24"/>
          <w:szCs w:val="24"/>
        </w:rPr>
      </w:pPr>
    </w:p>
    <w:p w14:paraId="4E8873AD" w14:textId="77777777" w:rsidR="00C80E51" w:rsidRPr="00890AB9" w:rsidRDefault="00C80E51" w:rsidP="009644ED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AD2D0D" w14:textId="77777777" w:rsidR="00405C66" w:rsidRDefault="00454633" w:rsidP="006463ED">
      <w:pPr>
        <w:pStyle w:val="NoSpacing"/>
        <w:numPr>
          <w:ilvl w:val="0"/>
          <w:numId w:val="28"/>
        </w:numPr>
        <w:spacing w:after="120"/>
        <w:ind w:left="425" w:hanging="42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Rates to Providers</w:t>
      </w:r>
    </w:p>
    <w:p w14:paraId="2DA61B00" w14:textId="5889CC78" w:rsidR="00EB6BA8" w:rsidRPr="006E38B3" w:rsidRDefault="00EB6BA8" w:rsidP="0002427F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E38B3">
        <w:rPr>
          <w:rFonts w:asciiTheme="minorHAnsi" w:hAnsiTheme="minorHAnsi" w:cstheme="minorHAnsi"/>
          <w:b/>
          <w:i/>
          <w:sz w:val="24"/>
          <w:szCs w:val="24"/>
          <w:lang w:val="en-US"/>
        </w:rPr>
        <w:t>Supplements – Deprivation and Free School Meals.</w:t>
      </w:r>
    </w:p>
    <w:p w14:paraId="58668938" w14:textId="225C44EE" w:rsidR="00EB6BA8" w:rsidRPr="00AA6BC0" w:rsidRDefault="004D4F00" w:rsidP="006E38B3">
      <w:pPr>
        <w:pStyle w:val="NoSpacing"/>
        <w:widowControl w:val="0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report in December </w:t>
      </w:r>
      <w:r w:rsidR="003449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set out a r</w:t>
      </w:r>
      <w:r w:rsidR="00DE0B2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ecommendation is to </w:t>
      </w:r>
      <w:r w:rsidR="00C75D1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maintain both</w:t>
      </w:r>
      <w:r w:rsidR="003449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supplements and apply an increase to the deprivation rate </w:t>
      </w:r>
      <w:r w:rsidR="00E03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using the Consumer Price Index over the last 4 years. </w:t>
      </w:r>
      <w:r w:rsidR="0089113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This can be confirmed as affordable within the allocation for 2021/22</w:t>
      </w:r>
      <w:r w:rsidR="00D2719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(see above – this is also to be funded from the 2p notionally centrally retained, so that the full 4p increase can be added to the 3 and 4 year old base rate)</w:t>
      </w:r>
      <w:r w:rsidR="0089113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C75D1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</w:t>
      </w:r>
    </w:p>
    <w:p w14:paraId="2784104F" w14:textId="769729B0" w:rsidR="002D6ECB" w:rsidRDefault="00FE25F7" w:rsidP="002D6ECB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3D19112" wp14:editId="6B8A691B">
            <wp:extent cx="4774469" cy="1151993"/>
            <wp:effectExtent l="0" t="0" r="7620" b="0"/>
            <wp:docPr id="5" name="Picture 5" descr="picture of a table for deprivation and Free School Me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 of a table for deprivation and Free School Me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74" cy="118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74A76" w14:textId="77777777" w:rsidR="00891138" w:rsidRPr="002D6ECB" w:rsidRDefault="00891138" w:rsidP="002D6ECB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6C4AD2" w14:textId="252C7C8F" w:rsidR="00EB6BA8" w:rsidRPr="00072FCB" w:rsidRDefault="009F74A0" w:rsidP="0002427F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</w:pPr>
      <w:r w:rsidRPr="00072FC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>Base</w:t>
      </w:r>
      <w:r w:rsidR="00F37437" w:rsidRPr="00072FC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EB6BA8" w:rsidRPr="00072FC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 xml:space="preserve">Rates for 3 </w:t>
      </w:r>
      <w:r w:rsidR="00603ED5" w:rsidRPr="00072FCB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en-US"/>
        </w:rPr>
        <w:t>and 4 Year Olds for Providers.</w:t>
      </w:r>
    </w:p>
    <w:p w14:paraId="1789C404" w14:textId="40DBDFC2" w:rsidR="00EB5534" w:rsidRDefault="00792454" w:rsidP="00EB553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 reminder that t</w:t>
      </w:r>
      <w:r w:rsidR="00C7723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he 95% pass through amount also </w:t>
      </w:r>
      <w:r w:rsidR="003727C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must</w:t>
      </w:r>
      <w:r w:rsidR="00C7723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take account of the funding allocated to </w:t>
      </w:r>
      <w:r w:rsidR="00072FC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ISEY, deprivation and Free School Meals</w:t>
      </w:r>
      <w:r w:rsidR="00E533B2" w:rsidRPr="0004206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BD21C7" w:rsidRPr="0004206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5C5091" w:rsidRPr="001A315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importance of SEND continues to be </w:t>
      </w:r>
      <w:proofErr w:type="spellStart"/>
      <w:r w:rsid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recognised</w:t>
      </w:r>
      <w:proofErr w:type="spellEnd"/>
      <w:r w:rsidRPr="001A315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and the paper in December </w:t>
      </w:r>
      <w:r w:rsidR="001A315A" w:rsidRPr="001A315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set out t</w:t>
      </w:r>
      <w:r w:rsidR="00EB5534" w:rsidRPr="001A315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hat the increased allocation of £1m in total from the EY block to ISEY will be maintained. £0.25m is accounted within the centrally retained element and £0.75m funds actual child placements in settings.</w:t>
      </w:r>
      <w:r w:rsidR="00EB553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F7D084A" w14:textId="77777777" w:rsidR="004B0C94" w:rsidRDefault="004B0C94" w:rsidP="00EB553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9182306" w14:textId="3D07EFF6" w:rsidR="00AE39D3" w:rsidRDefault="001A315A" w:rsidP="00AE39D3">
      <w:pPr>
        <w:pStyle w:val="NoSpacing"/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national </w:t>
      </w:r>
      <w:r w:rsidR="00AE39D3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increase to the rate that is allocated to the Council by the DfE as part of the additional funding of £44m</w:t>
      </w:r>
      <w:r w:rsidR="00254557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is 6p per hour for three and </w:t>
      </w:r>
      <w:proofErr w:type="gramStart"/>
      <w:r w:rsidR="00254557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four year</w:t>
      </w:r>
      <w:proofErr w:type="gramEnd"/>
      <w:r w:rsidR="00254557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olds. </w:t>
      </w:r>
      <w:r w:rsidR="00AE39D3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increase will be split </w:t>
      </w:r>
      <w:r w:rsidR="00AE39D3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lastRenderedPageBreak/>
        <w:t xml:space="preserve">to increase the amount retained centrally </w:t>
      </w:r>
      <w:r w:rsidR="004815C4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(2p per hour) </w:t>
      </w:r>
      <w:r w:rsidR="00AE39D3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with </w:t>
      </w:r>
      <w:r w:rsidR="004815C4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balance </w:t>
      </w:r>
      <w:r w:rsidR="00AE39D3" w:rsidRP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used to increase the base rate</w:t>
      </w:r>
      <w:r w:rsidR="004815C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(4p per hour). This will increase the rate for</w:t>
      </w:r>
      <w:r w:rsidR="00C9311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three and four year olds to £4.41 per hour. </w:t>
      </w:r>
    </w:p>
    <w:p w14:paraId="748D8F26" w14:textId="7F9EA0F4" w:rsidR="00C93112" w:rsidRDefault="00C93112" w:rsidP="00AE39D3">
      <w:pPr>
        <w:pStyle w:val="NoSpacing"/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historical trend is identified in Table 2</w:t>
      </w:r>
      <w:r w:rsidR="003A33C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0391A1C9" w14:textId="0B67B549" w:rsidR="003A33CA" w:rsidRDefault="003A33CA" w:rsidP="00AE39D3">
      <w:pPr>
        <w:pStyle w:val="NoSpacing"/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4A270D6" w14:textId="77777777" w:rsidR="00A10AA3" w:rsidRDefault="00A10AA3" w:rsidP="00AE39D3">
      <w:pPr>
        <w:pStyle w:val="NoSpacing"/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65070E17" w14:textId="30B3DFD4" w:rsidR="00B52EB1" w:rsidRPr="00E533B2" w:rsidRDefault="003A33CA" w:rsidP="002E35C8">
      <w:pPr>
        <w:pStyle w:val="NoSpacing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Table 2: 3 and 4 year olds base rate to providers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picture of table 2 3 anTable 2"/>
        <w:tblDescription w:val="Table 2: 3 and 4 year olds base rate to providers"/>
      </w:tblPr>
      <w:tblGrid>
        <w:gridCol w:w="2371"/>
        <w:gridCol w:w="2160"/>
        <w:gridCol w:w="2127"/>
        <w:gridCol w:w="1842"/>
      </w:tblGrid>
      <w:tr w:rsidR="00C3186F" w14:paraId="4E065129" w14:textId="77777777" w:rsidTr="00D527DC">
        <w:trPr>
          <w:tblHeader/>
        </w:trPr>
        <w:tc>
          <w:tcPr>
            <w:tcW w:w="2371" w:type="dxa"/>
          </w:tcPr>
          <w:p w14:paraId="40552184" w14:textId="093E4FA7" w:rsidR="00C3186F" w:rsidRDefault="00D77925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r w:rsidRPr="00FC3B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160" w:type="dxa"/>
          </w:tcPr>
          <w:p w14:paraId="1CF38E63" w14:textId="4775A0BC" w:rsidR="00C3186F" w:rsidRPr="00000E14" w:rsidRDefault="00C3186F" w:rsidP="00000E14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0E1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Maintained Nursery Schools</w:t>
            </w:r>
          </w:p>
        </w:tc>
        <w:tc>
          <w:tcPr>
            <w:tcW w:w="2127" w:type="dxa"/>
          </w:tcPr>
          <w:p w14:paraId="46AA1FBD" w14:textId="63E0A6DD" w:rsidR="00C3186F" w:rsidRPr="00000E14" w:rsidRDefault="00C3186F" w:rsidP="00000E14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0E1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Schools with Nursery </w:t>
            </w:r>
            <w:r w:rsidR="00000E14" w:rsidRPr="00000E1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842" w:type="dxa"/>
          </w:tcPr>
          <w:p w14:paraId="07908336" w14:textId="712EC08C" w:rsidR="00C3186F" w:rsidRPr="00000E14" w:rsidRDefault="00000E14" w:rsidP="00000E14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0E1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PVIs</w:t>
            </w:r>
          </w:p>
        </w:tc>
      </w:tr>
      <w:tr w:rsidR="00C3186F" w14:paraId="2357545F" w14:textId="77777777" w:rsidTr="00A91731">
        <w:tc>
          <w:tcPr>
            <w:tcW w:w="2371" w:type="dxa"/>
          </w:tcPr>
          <w:p w14:paraId="6364619E" w14:textId="5DBB2994" w:rsidR="00C3186F" w:rsidRPr="00000E14" w:rsidRDefault="00000E14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0E1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2016/17</w:t>
            </w:r>
          </w:p>
        </w:tc>
        <w:tc>
          <w:tcPr>
            <w:tcW w:w="2160" w:type="dxa"/>
          </w:tcPr>
          <w:p w14:paraId="1D01CE6E" w14:textId="33175B71" w:rsidR="00C3186F" w:rsidRPr="00000E14" w:rsidRDefault="000F5386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6.20 +l</w:t>
            </w:r>
            <w:r w:rsidR="00347EE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ump sum</w:t>
            </w:r>
          </w:p>
        </w:tc>
        <w:tc>
          <w:tcPr>
            <w:tcW w:w="2127" w:type="dxa"/>
          </w:tcPr>
          <w:p w14:paraId="6959183E" w14:textId="40B3391E" w:rsidR="00C3186F" w:rsidRPr="00000E14" w:rsidRDefault="00347EE4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4.84</w:t>
            </w:r>
          </w:p>
        </w:tc>
        <w:tc>
          <w:tcPr>
            <w:tcW w:w="1842" w:type="dxa"/>
          </w:tcPr>
          <w:p w14:paraId="1A03EAE7" w14:textId="55D825E0" w:rsidR="00C3186F" w:rsidRPr="00000E14" w:rsidRDefault="00347EE4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4.03</w:t>
            </w:r>
          </w:p>
        </w:tc>
      </w:tr>
      <w:tr w:rsidR="00C3186F" w14:paraId="3749BB4B" w14:textId="77777777" w:rsidTr="00A91731">
        <w:tc>
          <w:tcPr>
            <w:tcW w:w="2371" w:type="dxa"/>
          </w:tcPr>
          <w:p w14:paraId="684C79AE" w14:textId="102BAF53" w:rsidR="000F5386" w:rsidRPr="000F5386" w:rsidRDefault="00000E14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2017/18</w:t>
            </w:r>
          </w:p>
        </w:tc>
        <w:tc>
          <w:tcPr>
            <w:tcW w:w="2160" w:type="dxa"/>
          </w:tcPr>
          <w:p w14:paraId="58E4F8C1" w14:textId="645265BA" w:rsidR="00C3186F" w:rsidRPr="00000E14" w:rsidRDefault="00347EE4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4.24 + protection</w:t>
            </w:r>
          </w:p>
        </w:tc>
        <w:tc>
          <w:tcPr>
            <w:tcW w:w="2127" w:type="dxa"/>
          </w:tcPr>
          <w:p w14:paraId="6327D735" w14:textId="15292F0A" w:rsidR="00C3186F" w:rsidRPr="00000E14" w:rsidRDefault="00347EE4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842" w:type="dxa"/>
          </w:tcPr>
          <w:p w14:paraId="0A77F6F5" w14:textId="13EE50E1" w:rsidR="00C3186F" w:rsidRPr="00000E14" w:rsidRDefault="00347EE4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4.23</w:t>
            </w:r>
          </w:p>
        </w:tc>
      </w:tr>
      <w:tr w:rsidR="00C3186F" w14:paraId="7430E357" w14:textId="77777777" w:rsidTr="00A91731">
        <w:tc>
          <w:tcPr>
            <w:tcW w:w="2371" w:type="dxa"/>
          </w:tcPr>
          <w:p w14:paraId="22A2FF1E" w14:textId="759B378B" w:rsidR="00C3186F" w:rsidRPr="00000E14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2018/19</w:t>
            </w:r>
          </w:p>
        </w:tc>
        <w:tc>
          <w:tcPr>
            <w:tcW w:w="2160" w:type="dxa"/>
          </w:tcPr>
          <w:p w14:paraId="6221F7B1" w14:textId="260DF818" w:rsidR="00C3186F" w:rsidRPr="00000E14" w:rsidRDefault="00C144C9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 + protection</w:t>
            </w:r>
          </w:p>
        </w:tc>
        <w:tc>
          <w:tcPr>
            <w:tcW w:w="2127" w:type="dxa"/>
          </w:tcPr>
          <w:p w14:paraId="4C281A51" w14:textId="79C75436" w:rsidR="00C3186F" w:rsidRPr="00000E14" w:rsidRDefault="00C144C9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842" w:type="dxa"/>
          </w:tcPr>
          <w:p w14:paraId="3986672C" w14:textId="354547EE" w:rsidR="00C3186F" w:rsidRPr="00000E14" w:rsidRDefault="00B52EB1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</w:tr>
      <w:tr w:rsidR="00C3186F" w14:paraId="193A6569" w14:textId="77777777" w:rsidTr="00A91731">
        <w:tc>
          <w:tcPr>
            <w:tcW w:w="2371" w:type="dxa"/>
          </w:tcPr>
          <w:p w14:paraId="128E7113" w14:textId="46151B1C" w:rsidR="00C3186F" w:rsidRPr="00000E14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2019/20</w:t>
            </w:r>
          </w:p>
        </w:tc>
        <w:tc>
          <w:tcPr>
            <w:tcW w:w="2160" w:type="dxa"/>
          </w:tcPr>
          <w:p w14:paraId="7D94B21A" w14:textId="0A91AD33" w:rsidR="00C3186F" w:rsidRPr="00000E14" w:rsidRDefault="00C144C9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 + protection</w:t>
            </w:r>
          </w:p>
        </w:tc>
        <w:tc>
          <w:tcPr>
            <w:tcW w:w="2127" w:type="dxa"/>
          </w:tcPr>
          <w:p w14:paraId="4C81853B" w14:textId="1E936F9C" w:rsidR="00C3186F" w:rsidRPr="00000E14" w:rsidRDefault="00C144C9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842" w:type="dxa"/>
          </w:tcPr>
          <w:p w14:paraId="1FE116F5" w14:textId="005CBDFD" w:rsidR="00C3186F" w:rsidRPr="00000E14" w:rsidRDefault="00B52EB1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4.29</w:t>
            </w:r>
          </w:p>
        </w:tc>
      </w:tr>
      <w:tr w:rsidR="000F5386" w14:paraId="7E579D46" w14:textId="77777777" w:rsidTr="00A91731">
        <w:tc>
          <w:tcPr>
            <w:tcW w:w="2371" w:type="dxa"/>
          </w:tcPr>
          <w:p w14:paraId="029C9973" w14:textId="612807B3" w:rsidR="000F5386" w:rsidRDefault="000F5386" w:rsidP="00181F0A">
            <w:pPr>
              <w:pStyle w:val="NoSpacing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2160" w:type="dxa"/>
          </w:tcPr>
          <w:p w14:paraId="4CB776FE" w14:textId="7FF65100" w:rsidR="000F5386" w:rsidRPr="00000E14" w:rsidRDefault="00B52EB1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+ protection</w:t>
            </w:r>
          </w:p>
        </w:tc>
        <w:tc>
          <w:tcPr>
            <w:tcW w:w="2127" w:type="dxa"/>
          </w:tcPr>
          <w:p w14:paraId="355CBA2E" w14:textId="186D6751" w:rsidR="000F5386" w:rsidRPr="00000E14" w:rsidRDefault="00B52EB1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14:paraId="415F4144" w14:textId="44EEFFC0" w:rsidR="000F5386" w:rsidRPr="00000E14" w:rsidRDefault="00B52EB1" w:rsidP="00B52EB1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4.3</w:t>
            </w:r>
            <w:r w:rsidR="0061321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7C1028" w14:paraId="558EA70E" w14:textId="77777777" w:rsidTr="00A91731">
        <w:tc>
          <w:tcPr>
            <w:tcW w:w="2371" w:type="dxa"/>
          </w:tcPr>
          <w:p w14:paraId="5ED9BAC3" w14:textId="1098F454" w:rsidR="007C1028" w:rsidRDefault="007C1028" w:rsidP="007C10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2160" w:type="dxa"/>
          </w:tcPr>
          <w:p w14:paraId="61DEA62D" w14:textId="6777F850" w:rsidR="007C1028" w:rsidRDefault="007C1028" w:rsidP="007C102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440C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+ protection</w:t>
            </w:r>
          </w:p>
        </w:tc>
        <w:tc>
          <w:tcPr>
            <w:tcW w:w="2127" w:type="dxa"/>
          </w:tcPr>
          <w:p w14:paraId="3599F64C" w14:textId="1E3993F4" w:rsidR="007C1028" w:rsidRDefault="007C1028" w:rsidP="007C102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BD2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2" w:type="dxa"/>
          </w:tcPr>
          <w:p w14:paraId="6E8A954D" w14:textId="72C40F68" w:rsidR="007C1028" w:rsidRDefault="007C1028" w:rsidP="007C102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  <w:r w:rsidR="00BD2B7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</w:tbl>
    <w:p w14:paraId="3581CA83" w14:textId="77777777" w:rsidR="004B0C94" w:rsidRDefault="004B0C94" w:rsidP="007C1028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73D274B" w14:textId="1F51CCD0" w:rsidR="00E91001" w:rsidRPr="00F24FC6" w:rsidRDefault="00EB6BA8" w:rsidP="0002427F">
      <w:pPr>
        <w:pStyle w:val="NoSpacing"/>
        <w:numPr>
          <w:ilvl w:val="1"/>
          <w:numId w:val="28"/>
        </w:numPr>
        <w:spacing w:after="120"/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F24FC6">
        <w:rPr>
          <w:rFonts w:asciiTheme="minorHAnsi" w:hAnsiTheme="minorHAnsi" w:cstheme="minorHAnsi"/>
          <w:b/>
          <w:i/>
          <w:sz w:val="24"/>
          <w:szCs w:val="24"/>
        </w:rPr>
        <w:t xml:space="preserve">Rates for </w:t>
      </w:r>
      <w:r w:rsidR="00315002" w:rsidRPr="00F24FC6">
        <w:rPr>
          <w:rFonts w:asciiTheme="minorHAnsi" w:hAnsiTheme="minorHAnsi" w:cstheme="minorHAnsi"/>
          <w:b/>
          <w:i/>
          <w:sz w:val="24"/>
          <w:szCs w:val="24"/>
        </w:rPr>
        <w:t>2-year</w:t>
      </w:r>
      <w:r w:rsidR="0052372C" w:rsidRPr="00F24F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5002" w:rsidRPr="00F24FC6">
        <w:rPr>
          <w:rFonts w:asciiTheme="minorHAnsi" w:hAnsiTheme="minorHAnsi" w:cstheme="minorHAnsi"/>
          <w:b/>
          <w:i/>
          <w:sz w:val="24"/>
          <w:szCs w:val="24"/>
        </w:rPr>
        <w:t>old’s</w:t>
      </w:r>
      <w:r w:rsidR="0052372C" w:rsidRPr="00F24F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24FC6">
        <w:rPr>
          <w:rFonts w:asciiTheme="minorHAnsi" w:hAnsiTheme="minorHAnsi" w:cstheme="minorHAnsi"/>
          <w:b/>
          <w:i/>
          <w:sz w:val="24"/>
          <w:szCs w:val="24"/>
        </w:rPr>
        <w:t xml:space="preserve">– Straight </w:t>
      </w:r>
      <w:r w:rsidR="0052372C" w:rsidRPr="00F24FC6">
        <w:rPr>
          <w:rFonts w:asciiTheme="minorHAnsi" w:hAnsiTheme="minorHAnsi" w:cstheme="minorHAnsi"/>
          <w:b/>
          <w:i/>
          <w:sz w:val="24"/>
          <w:szCs w:val="24"/>
        </w:rPr>
        <w:t>in/out</w:t>
      </w:r>
      <w:r w:rsidRPr="00F24FC6">
        <w:rPr>
          <w:rFonts w:asciiTheme="minorHAnsi" w:hAnsiTheme="minorHAnsi" w:cstheme="minorHAnsi"/>
          <w:b/>
          <w:i/>
          <w:sz w:val="24"/>
          <w:szCs w:val="24"/>
        </w:rPr>
        <w:t xml:space="preserve"> for all providers.</w:t>
      </w:r>
    </w:p>
    <w:p w14:paraId="26A9BEC1" w14:textId="68E27384" w:rsidR="0069786E" w:rsidRPr="0004206E" w:rsidRDefault="00EB6BA8" w:rsidP="00483DA2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is </w:t>
      </w:r>
      <w:r w:rsidR="00E91001" w:rsidRPr="0004206E">
        <w:rPr>
          <w:rFonts w:asciiTheme="minorHAnsi" w:hAnsiTheme="minorHAnsi" w:cstheme="minorHAnsi"/>
          <w:color w:val="000000" w:themeColor="text1"/>
          <w:sz w:val="24"/>
          <w:szCs w:val="24"/>
        </w:rPr>
        <w:t>based on a straight in/out basis to all providers.</w:t>
      </w:r>
      <w:r w:rsidR="006837BC" w:rsidRPr="000420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FFB13B" w14:textId="03C22781" w:rsidR="00471A63" w:rsidRDefault="0069786E" w:rsidP="00483DA2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AD41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rate for </w:t>
      </w:r>
      <w:r w:rsidR="0004206E" w:rsidRPr="00AD411F">
        <w:rPr>
          <w:rFonts w:asciiTheme="minorHAnsi" w:hAnsiTheme="minorHAnsi" w:cstheme="minorHAnsi"/>
          <w:color w:val="000000" w:themeColor="text1"/>
          <w:sz w:val="24"/>
          <w:szCs w:val="24"/>
        </w:rPr>
        <w:t>two-year</w:t>
      </w:r>
      <w:r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old’s will </w:t>
      </w:r>
      <w:r w:rsidR="003A33CA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increase </w:t>
      </w:r>
      <w:r w:rsidR="004C07A5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by 8p </w:t>
      </w:r>
      <w:r w:rsidR="003A33CA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to </w:t>
      </w:r>
      <w:r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£5.</w:t>
      </w:r>
      <w:r w:rsidR="00AD411F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40</w:t>
      </w:r>
      <w:r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per child/hour in 202</w:t>
      </w:r>
      <w:r w:rsidR="009F74A0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</w:t>
      </w:r>
      <w:r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/2</w:t>
      </w:r>
      <w:r w:rsidR="009F74A0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</w:t>
      </w:r>
      <w:r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471A63" w:rsidRPr="00AD411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0C7A10" w14:textId="0F1CFC17" w:rsidR="00181F0A" w:rsidRPr="0069786E" w:rsidRDefault="00181F0A" w:rsidP="000F6E3D">
      <w:pPr>
        <w:pStyle w:val="NoSpacing"/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FD4FE94" w14:textId="77777777" w:rsidR="0028792E" w:rsidRPr="00AD411F" w:rsidRDefault="0028792E" w:rsidP="0002427F">
      <w:pPr>
        <w:pStyle w:val="NoSpacing"/>
        <w:numPr>
          <w:ilvl w:val="0"/>
          <w:numId w:val="28"/>
        </w:num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411F">
        <w:rPr>
          <w:rFonts w:asciiTheme="minorHAnsi" w:hAnsiTheme="minorHAnsi" w:cstheme="minorHAnsi"/>
          <w:b/>
          <w:sz w:val="24"/>
          <w:szCs w:val="24"/>
          <w:u w:val="single"/>
        </w:rPr>
        <w:t>Recommendations</w:t>
      </w:r>
    </w:p>
    <w:p w14:paraId="3937455D" w14:textId="388CE00E" w:rsidR="00DB7710" w:rsidRPr="0069786E" w:rsidRDefault="0068712D" w:rsidP="00483DA2">
      <w:pPr>
        <w:pStyle w:val="NoSpacing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Schools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Forum </w:t>
      </w:r>
      <w:r w:rsidR="000C63B9">
        <w:rPr>
          <w:rFonts w:asciiTheme="minorHAnsi" w:hAnsiTheme="minorHAnsi" w:cstheme="minorHAnsi"/>
          <w:color w:val="000000" w:themeColor="text1"/>
          <w:sz w:val="24"/>
          <w:szCs w:val="24"/>
        </w:rPr>
        <w:t>note</w:t>
      </w:r>
      <w:r w:rsidR="00DE598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C6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financial implications of the update</w:t>
      </w:r>
      <w:r w:rsidR="00A10AA3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0C6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DfE allocations </w:t>
      </w:r>
      <w:r w:rsidR="00DE59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take into account the increases to the National Formula </w:t>
      </w:r>
      <w:r w:rsidR="00A34B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A10A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previous 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recommend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ations</w:t>
      </w:r>
      <w:r w:rsidR="00A10A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December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from Early Years</w:t>
      </w:r>
      <w:r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Forum</w:t>
      </w:r>
      <w:r w:rsidR="00DB7710"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33AC1"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186CD336" w14:textId="1D1CA6E0" w:rsidR="00DB7710" w:rsidRPr="0069786E" w:rsidRDefault="00513F09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 increase to</w:t>
      </w:r>
      <w:r w:rsidR="00A34B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th</w:t>
      </w:r>
      <w:r w:rsidR="00A34B42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centrally retained amount </w:t>
      </w:r>
      <w:r w:rsidR="008A230A">
        <w:rPr>
          <w:rFonts w:asciiTheme="minorHAnsi" w:hAnsiTheme="minorHAnsi" w:cstheme="minorHAnsi"/>
          <w:color w:val="000000" w:themeColor="text1"/>
          <w:sz w:val="24"/>
          <w:szCs w:val="24"/>
        </w:rPr>
        <w:t>equivalent to 2p per hour resulting in an amount of £2.7m</w:t>
      </w:r>
      <w:r w:rsidR="00DB7710" w:rsidRPr="006978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34B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5752CF">
        <w:rPr>
          <w:rFonts w:asciiTheme="minorHAnsi" w:hAnsiTheme="minorHAnsi" w:cstheme="minorHAnsi"/>
          <w:color w:val="000000" w:themeColor="text1"/>
          <w:sz w:val="24"/>
          <w:szCs w:val="24"/>
        </w:rPr>
        <w:t>4.2% including ISEY)</w:t>
      </w:r>
      <w:r w:rsidR="00D271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this to also be used to fund the increase in the deprivation factor</w:t>
      </w:r>
    </w:p>
    <w:p w14:paraId="43028D43" w14:textId="60892F3C" w:rsidR="00316B1B" w:rsidRDefault="001B0E2F" w:rsidP="00E01300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Maintain </w:t>
      </w:r>
      <w:r w:rsidR="00316B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amount allocated to ISEY </w:t>
      </w:r>
      <w:r w:rsidR="00080763">
        <w:rPr>
          <w:rFonts w:asciiTheme="minorHAnsi" w:hAnsiTheme="minorHAnsi" w:cstheme="minorHAnsi"/>
          <w:color w:val="000000" w:themeColor="text1"/>
          <w:sz w:val="24"/>
          <w:szCs w:val="24"/>
        </w:rPr>
        <w:t>of £1m</w:t>
      </w:r>
      <w:r w:rsidR="00C80E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noting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that £0.25</w:t>
      </w:r>
      <w:r w:rsidR="00043517">
        <w:rPr>
          <w:rFonts w:asciiTheme="minorHAnsi" w:hAnsiTheme="minorHAnsi" w:cstheme="minorHAnsi"/>
          <w:color w:val="000000" w:themeColor="text1"/>
          <w:sz w:val="24"/>
          <w:szCs w:val="24"/>
        </w:rPr>
        <w:t>m is held within the centrally retained element.</w:t>
      </w:r>
    </w:p>
    <w:p w14:paraId="68A7E612" w14:textId="03727385" w:rsidR="003D7183" w:rsidRPr="005752CF" w:rsidRDefault="00043517" w:rsidP="00552565">
      <w:pPr>
        <w:pStyle w:val="NoSpacing"/>
        <w:numPr>
          <w:ilvl w:val="0"/>
          <w:numId w:val="30"/>
        </w:numPr>
        <w:spacing w:after="12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Agree</w:t>
      </w:r>
      <w:r w:rsidR="00DB7710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funding rates to be applied to providers </w:t>
      </w:r>
      <w:r w:rsidR="00B66331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set out </w:t>
      </w:r>
      <w:r w:rsidR="00F37437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="00DB7710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next </w:t>
      </w:r>
      <w:r w:rsidR="00F37437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year</w:t>
      </w:r>
      <w:r w:rsidR="00DB7710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E51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B66331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sections </w:t>
      </w:r>
      <w:r w:rsidR="005752CF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4.2</w:t>
      </w:r>
      <w:r w:rsidR="00B66331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0A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5752CF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3D7183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>.3</w:t>
      </w:r>
      <w:r w:rsidR="003A332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D7183" w:rsidRPr="005752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3D7183" w:rsidRPr="005752CF" w:rsidSect="00A10AA3">
      <w:footerReference w:type="default" r:id="rId14"/>
      <w:pgSz w:w="11906" w:h="16838"/>
      <w:pgMar w:top="993" w:right="1133" w:bottom="993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29F5" w14:textId="77777777" w:rsidR="00734A44" w:rsidRDefault="00734A44" w:rsidP="00714D13">
      <w:r>
        <w:separator/>
      </w:r>
    </w:p>
  </w:endnote>
  <w:endnote w:type="continuationSeparator" w:id="0">
    <w:p w14:paraId="00E4972B" w14:textId="77777777" w:rsidR="00734A44" w:rsidRDefault="00734A44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4534" w14:textId="12160D69" w:rsidR="00E91001" w:rsidRDefault="00526CE8" w:rsidP="005E625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271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2719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A4D9" w14:textId="77777777" w:rsidR="00734A44" w:rsidRDefault="00734A44" w:rsidP="00714D13">
      <w:r>
        <w:separator/>
      </w:r>
    </w:p>
  </w:footnote>
  <w:footnote w:type="continuationSeparator" w:id="0">
    <w:p w14:paraId="1D5ECBBB" w14:textId="77777777" w:rsidR="00734A44" w:rsidRDefault="00734A44" w:rsidP="007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2F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07D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D202C"/>
    <w:multiLevelType w:val="hybridMultilevel"/>
    <w:tmpl w:val="BE8A53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669A3"/>
    <w:multiLevelType w:val="hybridMultilevel"/>
    <w:tmpl w:val="DDD24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0A90"/>
    <w:multiLevelType w:val="hybridMultilevel"/>
    <w:tmpl w:val="57C8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561"/>
    <w:multiLevelType w:val="hybridMultilevel"/>
    <w:tmpl w:val="43D811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A670A"/>
    <w:multiLevelType w:val="hybridMultilevel"/>
    <w:tmpl w:val="4C942EFE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6717"/>
    <w:multiLevelType w:val="hybridMultilevel"/>
    <w:tmpl w:val="D8EA2C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DF17B8"/>
    <w:multiLevelType w:val="hybridMultilevel"/>
    <w:tmpl w:val="2878E50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7B7400"/>
    <w:multiLevelType w:val="hybridMultilevel"/>
    <w:tmpl w:val="0C101F9C"/>
    <w:lvl w:ilvl="0" w:tplc="08090001">
      <w:start w:val="1"/>
      <w:numFmt w:val="bullet"/>
      <w:lvlText w:val=""/>
      <w:lvlJc w:val="left"/>
      <w:pPr>
        <w:ind w:left="-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</w:abstractNum>
  <w:abstractNum w:abstractNumId="19" w15:restartNumberingAfterBreak="0">
    <w:nsid w:val="499D448F"/>
    <w:multiLevelType w:val="hybridMultilevel"/>
    <w:tmpl w:val="AEFEC24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21A24"/>
    <w:multiLevelType w:val="hybridMultilevel"/>
    <w:tmpl w:val="0B701D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2681838"/>
    <w:multiLevelType w:val="hybridMultilevel"/>
    <w:tmpl w:val="9CDE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45813"/>
    <w:multiLevelType w:val="hybridMultilevel"/>
    <w:tmpl w:val="226617F8"/>
    <w:lvl w:ilvl="0" w:tplc="04C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2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6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A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E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E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93467B"/>
    <w:multiLevelType w:val="hybridMultilevel"/>
    <w:tmpl w:val="3A5E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B2529"/>
    <w:multiLevelType w:val="hybridMultilevel"/>
    <w:tmpl w:val="BD9C8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C41"/>
    <w:multiLevelType w:val="hybridMultilevel"/>
    <w:tmpl w:val="53C6674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B30546"/>
    <w:multiLevelType w:val="hybridMultilevel"/>
    <w:tmpl w:val="D97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400"/>
    <w:multiLevelType w:val="hybridMultilevel"/>
    <w:tmpl w:val="9BA0E858"/>
    <w:lvl w:ilvl="0" w:tplc="16562A8C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9622C43"/>
    <w:multiLevelType w:val="hybridMultilevel"/>
    <w:tmpl w:val="95D6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750F4"/>
    <w:multiLevelType w:val="hybridMultilevel"/>
    <w:tmpl w:val="D5C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E571F"/>
    <w:multiLevelType w:val="hybridMultilevel"/>
    <w:tmpl w:val="EAF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AD7"/>
    <w:multiLevelType w:val="hybridMultilevel"/>
    <w:tmpl w:val="55C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20"/>
  </w:num>
  <w:num w:numId="4">
    <w:abstractNumId w:val="0"/>
  </w:num>
  <w:num w:numId="5">
    <w:abstractNumId w:val="2"/>
  </w:num>
  <w:num w:numId="6">
    <w:abstractNumId w:val="32"/>
  </w:num>
  <w:num w:numId="7">
    <w:abstractNumId w:val="12"/>
  </w:num>
  <w:num w:numId="8">
    <w:abstractNumId w:val="1"/>
  </w:num>
  <w:num w:numId="9">
    <w:abstractNumId w:val="27"/>
  </w:num>
  <w:num w:numId="10">
    <w:abstractNumId w:val="14"/>
  </w:num>
  <w:num w:numId="11">
    <w:abstractNumId w:val="25"/>
  </w:num>
  <w:num w:numId="12">
    <w:abstractNumId w:val="4"/>
  </w:num>
  <w:num w:numId="13">
    <w:abstractNumId w:val="31"/>
  </w:num>
  <w:num w:numId="14">
    <w:abstractNumId w:val="15"/>
  </w:num>
  <w:num w:numId="15">
    <w:abstractNumId w:val="8"/>
  </w:num>
  <w:num w:numId="16">
    <w:abstractNumId w:val="28"/>
  </w:num>
  <w:num w:numId="17">
    <w:abstractNumId w:val="33"/>
  </w:num>
  <w:num w:numId="18">
    <w:abstractNumId w:val="16"/>
  </w:num>
  <w:num w:numId="19">
    <w:abstractNumId w:val="38"/>
  </w:num>
  <w:num w:numId="20">
    <w:abstractNumId w:val="24"/>
  </w:num>
  <w:num w:numId="21">
    <w:abstractNumId w:val="37"/>
  </w:num>
  <w:num w:numId="22">
    <w:abstractNumId w:val="26"/>
  </w:num>
  <w:num w:numId="23">
    <w:abstractNumId w:val="10"/>
  </w:num>
  <w:num w:numId="24">
    <w:abstractNumId w:val="35"/>
  </w:num>
  <w:num w:numId="25">
    <w:abstractNumId w:val="22"/>
  </w:num>
  <w:num w:numId="26">
    <w:abstractNumId w:val="21"/>
  </w:num>
  <w:num w:numId="27">
    <w:abstractNumId w:val="30"/>
  </w:num>
  <w:num w:numId="28">
    <w:abstractNumId w:val="5"/>
  </w:num>
  <w:num w:numId="29">
    <w:abstractNumId w:val="6"/>
  </w:num>
  <w:num w:numId="30">
    <w:abstractNumId w:val="17"/>
  </w:num>
  <w:num w:numId="31">
    <w:abstractNumId w:val="19"/>
  </w:num>
  <w:num w:numId="32">
    <w:abstractNumId w:val="36"/>
  </w:num>
  <w:num w:numId="33">
    <w:abstractNumId w:val="29"/>
  </w:num>
  <w:num w:numId="34">
    <w:abstractNumId w:val="11"/>
  </w:num>
  <w:num w:numId="35">
    <w:abstractNumId w:val="7"/>
  </w:num>
  <w:num w:numId="36">
    <w:abstractNumId w:val="13"/>
  </w:num>
  <w:num w:numId="37">
    <w:abstractNumId w:val="34"/>
  </w:num>
  <w:num w:numId="38">
    <w:abstractNumId w:val="9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CD"/>
    <w:rsid w:val="00000E14"/>
    <w:rsid w:val="00017CE9"/>
    <w:rsid w:val="00017E0C"/>
    <w:rsid w:val="000227F6"/>
    <w:rsid w:val="0002427F"/>
    <w:rsid w:val="00025D18"/>
    <w:rsid w:val="000356C6"/>
    <w:rsid w:val="000373F9"/>
    <w:rsid w:val="00037C0F"/>
    <w:rsid w:val="00040E41"/>
    <w:rsid w:val="0004206E"/>
    <w:rsid w:val="00043517"/>
    <w:rsid w:val="00044873"/>
    <w:rsid w:val="00045324"/>
    <w:rsid w:val="0005362B"/>
    <w:rsid w:val="0005785C"/>
    <w:rsid w:val="00060EE3"/>
    <w:rsid w:val="000636CB"/>
    <w:rsid w:val="00071864"/>
    <w:rsid w:val="00072FCB"/>
    <w:rsid w:val="000775D9"/>
    <w:rsid w:val="00080763"/>
    <w:rsid w:val="00085DD9"/>
    <w:rsid w:val="000873C8"/>
    <w:rsid w:val="00092A6C"/>
    <w:rsid w:val="000A002D"/>
    <w:rsid w:val="000A337A"/>
    <w:rsid w:val="000B1BA9"/>
    <w:rsid w:val="000B4C4E"/>
    <w:rsid w:val="000C5DEA"/>
    <w:rsid w:val="000C5FCC"/>
    <w:rsid w:val="000C634D"/>
    <w:rsid w:val="000C63B9"/>
    <w:rsid w:val="000D0406"/>
    <w:rsid w:val="000D6999"/>
    <w:rsid w:val="000E0CFE"/>
    <w:rsid w:val="000F2CDA"/>
    <w:rsid w:val="000F5386"/>
    <w:rsid w:val="000F5DFC"/>
    <w:rsid w:val="000F6E3D"/>
    <w:rsid w:val="0010172E"/>
    <w:rsid w:val="00110BDE"/>
    <w:rsid w:val="00112C51"/>
    <w:rsid w:val="00126188"/>
    <w:rsid w:val="00134503"/>
    <w:rsid w:val="00144259"/>
    <w:rsid w:val="00144F3E"/>
    <w:rsid w:val="00146370"/>
    <w:rsid w:val="00154D55"/>
    <w:rsid w:val="00161ED2"/>
    <w:rsid w:val="00164245"/>
    <w:rsid w:val="0016723A"/>
    <w:rsid w:val="00167294"/>
    <w:rsid w:val="001746F3"/>
    <w:rsid w:val="001769E1"/>
    <w:rsid w:val="00181F0A"/>
    <w:rsid w:val="00194E46"/>
    <w:rsid w:val="001A1275"/>
    <w:rsid w:val="001A1BFE"/>
    <w:rsid w:val="001A315A"/>
    <w:rsid w:val="001B02D0"/>
    <w:rsid w:val="001B0E2F"/>
    <w:rsid w:val="001B119D"/>
    <w:rsid w:val="001B2BD4"/>
    <w:rsid w:val="001C0724"/>
    <w:rsid w:val="001C5B78"/>
    <w:rsid w:val="001E71FD"/>
    <w:rsid w:val="001E742B"/>
    <w:rsid w:val="001F753D"/>
    <w:rsid w:val="00210E3E"/>
    <w:rsid w:val="0021662C"/>
    <w:rsid w:val="002221EF"/>
    <w:rsid w:val="00222896"/>
    <w:rsid w:val="00234290"/>
    <w:rsid w:val="002342C4"/>
    <w:rsid w:val="00235EB1"/>
    <w:rsid w:val="00242C0B"/>
    <w:rsid w:val="002529F3"/>
    <w:rsid w:val="00253EE1"/>
    <w:rsid w:val="00254557"/>
    <w:rsid w:val="00255776"/>
    <w:rsid w:val="00257CDF"/>
    <w:rsid w:val="00261833"/>
    <w:rsid w:val="00270328"/>
    <w:rsid w:val="00272BE1"/>
    <w:rsid w:val="00276DD5"/>
    <w:rsid w:val="0028449E"/>
    <w:rsid w:val="0028792E"/>
    <w:rsid w:val="00287BA3"/>
    <w:rsid w:val="00291ACB"/>
    <w:rsid w:val="00294BC7"/>
    <w:rsid w:val="00294D37"/>
    <w:rsid w:val="002A0C45"/>
    <w:rsid w:val="002B2EFD"/>
    <w:rsid w:val="002B416A"/>
    <w:rsid w:val="002C23B3"/>
    <w:rsid w:val="002C5061"/>
    <w:rsid w:val="002C7226"/>
    <w:rsid w:val="002C7F4E"/>
    <w:rsid w:val="002D1FA1"/>
    <w:rsid w:val="002D3136"/>
    <w:rsid w:val="002D3787"/>
    <w:rsid w:val="002D6ECB"/>
    <w:rsid w:val="002E35C8"/>
    <w:rsid w:val="002F0F62"/>
    <w:rsid w:val="00302697"/>
    <w:rsid w:val="003139DD"/>
    <w:rsid w:val="003147D4"/>
    <w:rsid w:val="00315002"/>
    <w:rsid w:val="00316B1B"/>
    <w:rsid w:val="003171EF"/>
    <w:rsid w:val="00330123"/>
    <w:rsid w:val="00340DF1"/>
    <w:rsid w:val="003435FD"/>
    <w:rsid w:val="00344937"/>
    <w:rsid w:val="00345511"/>
    <w:rsid w:val="00347EE4"/>
    <w:rsid w:val="003503E2"/>
    <w:rsid w:val="00350B48"/>
    <w:rsid w:val="00351D92"/>
    <w:rsid w:val="00352791"/>
    <w:rsid w:val="00356B0C"/>
    <w:rsid w:val="00356FCE"/>
    <w:rsid w:val="0036743F"/>
    <w:rsid w:val="00367D9E"/>
    <w:rsid w:val="003727C0"/>
    <w:rsid w:val="00373A53"/>
    <w:rsid w:val="003811C7"/>
    <w:rsid w:val="0038222E"/>
    <w:rsid w:val="00385075"/>
    <w:rsid w:val="003943E9"/>
    <w:rsid w:val="00394B37"/>
    <w:rsid w:val="00396530"/>
    <w:rsid w:val="003972E3"/>
    <w:rsid w:val="003A332A"/>
    <w:rsid w:val="003A33CA"/>
    <w:rsid w:val="003A7656"/>
    <w:rsid w:val="003A7A9E"/>
    <w:rsid w:val="003A7B28"/>
    <w:rsid w:val="003B2527"/>
    <w:rsid w:val="003B410D"/>
    <w:rsid w:val="003C04A3"/>
    <w:rsid w:val="003C7C91"/>
    <w:rsid w:val="003D0A0D"/>
    <w:rsid w:val="003D19FE"/>
    <w:rsid w:val="003D5C61"/>
    <w:rsid w:val="003D610B"/>
    <w:rsid w:val="003D7183"/>
    <w:rsid w:val="003E5F22"/>
    <w:rsid w:val="003F2711"/>
    <w:rsid w:val="003F55BB"/>
    <w:rsid w:val="00405C66"/>
    <w:rsid w:val="00406AE2"/>
    <w:rsid w:val="00426514"/>
    <w:rsid w:val="00436A16"/>
    <w:rsid w:val="00440122"/>
    <w:rsid w:val="00440C3D"/>
    <w:rsid w:val="00442310"/>
    <w:rsid w:val="004472DC"/>
    <w:rsid w:val="004512E9"/>
    <w:rsid w:val="00454633"/>
    <w:rsid w:val="00454CA2"/>
    <w:rsid w:val="00455E6A"/>
    <w:rsid w:val="00457D59"/>
    <w:rsid w:val="00461011"/>
    <w:rsid w:val="00470994"/>
    <w:rsid w:val="00471A63"/>
    <w:rsid w:val="004753F4"/>
    <w:rsid w:val="00475CB5"/>
    <w:rsid w:val="00476374"/>
    <w:rsid w:val="004815C4"/>
    <w:rsid w:val="00481FE6"/>
    <w:rsid w:val="00483563"/>
    <w:rsid w:val="00483DA2"/>
    <w:rsid w:val="0049410B"/>
    <w:rsid w:val="00494A9D"/>
    <w:rsid w:val="00497D98"/>
    <w:rsid w:val="004A4ABC"/>
    <w:rsid w:val="004A7890"/>
    <w:rsid w:val="004B0C94"/>
    <w:rsid w:val="004B1303"/>
    <w:rsid w:val="004B6344"/>
    <w:rsid w:val="004C07A5"/>
    <w:rsid w:val="004D3FDF"/>
    <w:rsid w:val="004D4F00"/>
    <w:rsid w:val="004D7F8F"/>
    <w:rsid w:val="004E545B"/>
    <w:rsid w:val="004E6933"/>
    <w:rsid w:val="005000D4"/>
    <w:rsid w:val="00500156"/>
    <w:rsid w:val="00504B22"/>
    <w:rsid w:val="005128E1"/>
    <w:rsid w:val="00513F09"/>
    <w:rsid w:val="005158E6"/>
    <w:rsid w:val="00522AFD"/>
    <w:rsid w:val="00523579"/>
    <w:rsid w:val="0052372C"/>
    <w:rsid w:val="00525D4A"/>
    <w:rsid w:val="00526CE8"/>
    <w:rsid w:val="00540391"/>
    <w:rsid w:val="0054087E"/>
    <w:rsid w:val="005410EB"/>
    <w:rsid w:val="00543C73"/>
    <w:rsid w:val="00551FC8"/>
    <w:rsid w:val="005524CB"/>
    <w:rsid w:val="00554D03"/>
    <w:rsid w:val="00555A5C"/>
    <w:rsid w:val="005752CF"/>
    <w:rsid w:val="00582459"/>
    <w:rsid w:val="005966B9"/>
    <w:rsid w:val="00596C1C"/>
    <w:rsid w:val="005A00C8"/>
    <w:rsid w:val="005A44E1"/>
    <w:rsid w:val="005A6EC1"/>
    <w:rsid w:val="005B1415"/>
    <w:rsid w:val="005B5C13"/>
    <w:rsid w:val="005B731A"/>
    <w:rsid w:val="005C07B5"/>
    <w:rsid w:val="005C1D0A"/>
    <w:rsid w:val="005C3C53"/>
    <w:rsid w:val="005C4C33"/>
    <w:rsid w:val="005C5091"/>
    <w:rsid w:val="005D1768"/>
    <w:rsid w:val="005E19E0"/>
    <w:rsid w:val="005E1B5E"/>
    <w:rsid w:val="005E5528"/>
    <w:rsid w:val="005E57C0"/>
    <w:rsid w:val="005E59FE"/>
    <w:rsid w:val="005E625F"/>
    <w:rsid w:val="005E64E9"/>
    <w:rsid w:val="005E75C8"/>
    <w:rsid w:val="005F2282"/>
    <w:rsid w:val="00603ED5"/>
    <w:rsid w:val="00606C51"/>
    <w:rsid w:val="00610F0A"/>
    <w:rsid w:val="0061321C"/>
    <w:rsid w:val="0061585D"/>
    <w:rsid w:val="006233F1"/>
    <w:rsid w:val="00630A1E"/>
    <w:rsid w:val="00632419"/>
    <w:rsid w:val="00633B6D"/>
    <w:rsid w:val="006463ED"/>
    <w:rsid w:val="00647879"/>
    <w:rsid w:val="00650676"/>
    <w:rsid w:val="00652B1E"/>
    <w:rsid w:val="00652D91"/>
    <w:rsid w:val="0065341E"/>
    <w:rsid w:val="00656979"/>
    <w:rsid w:val="006669B9"/>
    <w:rsid w:val="00673B27"/>
    <w:rsid w:val="00676216"/>
    <w:rsid w:val="00676E22"/>
    <w:rsid w:val="006822E6"/>
    <w:rsid w:val="006837BC"/>
    <w:rsid w:val="0068712D"/>
    <w:rsid w:val="00687385"/>
    <w:rsid w:val="0069180B"/>
    <w:rsid w:val="0069786E"/>
    <w:rsid w:val="006A108F"/>
    <w:rsid w:val="006A1218"/>
    <w:rsid w:val="006A24D6"/>
    <w:rsid w:val="006A615B"/>
    <w:rsid w:val="006B0CCF"/>
    <w:rsid w:val="006B1C86"/>
    <w:rsid w:val="006B1E5E"/>
    <w:rsid w:val="006B2271"/>
    <w:rsid w:val="006B39C5"/>
    <w:rsid w:val="006C0789"/>
    <w:rsid w:val="006D3064"/>
    <w:rsid w:val="006D6C7A"/>
    <w:rsid w:val="006E04C9"/>
    <w:rsid w:val="006E38B3"/>
    <w:rsid w:val="006E7A5E"/>
    <w:rsid w:val="006F568B"/>
    <w:rsid w:val="00703A01"/>
    <w:rsid w:val="00704571"/>
    <w:rsid w:val="00704FCE"/>
    <w:rsid w:val="00712BCE"/>
    <w:rsid w:val="00714D13"/>
    <w:rsid w:val="0071679F"/>
    <w:rsid w:val="007212F3"/>
    <w:rsid w:val="0072396C"/>
    <w:rsid w:val="007252B4"/>
    <w:rsid w:val="00726CFF"/>
    <w:rsid w:val="00727A8E"/>
    <w:rsid w:val="00727B25"/>
    <w:rsid w:val="00734461"/>
    <w:rsid w:val="00734A44"/>
    <w:rsid w:val="00735723"/>
    <w:rsid w:val="00736146"/>
    <w:rsid w:val="00750EF1"/>
    <w:rsid w:val="00755CA8"/>
    <w:rsid w:val="007569C0"/>
    <w:rsid w:val="00757DBD"/>
    <w:rsid w:val="0076461C"/>
    <w:rsid w:val="00770B3C"/>
    <w:rsid w:val="007741C3"/>
    <w:rsid w:val="00785908"/>
    <w:rsid w:val="007870EE"/>
    <w:rsid w:val="00791B59"/>
    <w:rsid w:val="00792454"/>
    <w:rsid w:val="007A4C7F"/>
    <w:rsid w:val="007A52BF"/>
    <w:rsid w:val="007A5A4D"/>
    <w:rsid w:val="007C0C24"/>
    <w:rsid w:val="007C1028"/>
    <w:rsid w:val="007C26B1"/>
    <w:rsid w:val="007C561B"/>
    <w:rsid w:val="007C659D"/>
    <w:rsid w:val="007C7AD3"/>
    <w:rsid w:val="007D24AE"/>
    <w:rsid w:val="007D3A03"/>
    <w:rsid w:val="007D4F5B"/>
    <w:rsid w:val="007D57E7"/>
    <w:rsid w:val="007E4852"/>
    <w:rsid w:val="007E4DB4"/>
    <w:rsid w:val="007E7FEA"/>
    <w:rsid w:val="007F1F02"/>
    <w:rsid w:val="00804D8A"/>
    <w:rsid w:val="00810A29"/>
    <w:rsid w:val="0081665C"/>
    <w:rsid w:val="008167EE"/>
    <w:rsid w:val="00817725"/>
    <w:rsid w:val="00820427"/>
    <w:rsid w:val="00820A89"/>
    <w:rsid w:val="00824971"/>
    <w:rsid w:val="008402F7"/>
    <w:rsid w:val="00840EB5"/>
    <w:rsid w:val="00841E2B"/>
    <w:rsid w:val="00843AA9"/>
    <w:rsid w:val="00844750"/>
    <w:rsid w:val="008456F1"/>
    <w:rsid w:val="00847FD5"/>
    <w:rsid w:val="008523DF"/>
    <w:rsid w:val="008544CD"/>
    <w:rsid w:val="00865ADA"/>
    <w:rsid w:val="00881A75"/>
    <w:rsid w:val="00883F78"/>
    <w:rsid w:val="0088767B"/>
    <w:rsid w:val="00890AB0"/>
    <w:rsid w:val="00890AB9"/>
    <w:rsid w:val="00891138"/>
    <w:rsid w:val="00891BFB"/>
    <w:rsid w:val="00892756"/>
    <w:rsid w:val="00895DBF"/>
    <w:rsid w:val="00896D8D"/>
    <w:rsid w:val="008A230A"/>
    <w:rsid w:val="008B2E85"/>
    <w:rsid w:val="008B3CBD"/>
    <w:rsid w:val="008B4628"/>
    <w:rsid w:val="008C0734"/>
    <w:rsid w:val="008C4302"/>
    <w:rsid w:val="008C46E2"/>
    <w:rsid w:val="008C7631"/>
    <w:rsid w:val="008D1032"/>
    <w:rsid w:val="008D7B94"/>
    <w:rsid w:val="008E0F3C"/>
    <w:rsid w:val="008E1010"/>
    <w:rsid w:val="008E13C8"/>
    <w:rsid w:val="008E3E19"/>
    <w:rsid w:val="008E4BC6"/>
    <w:rsid w:val="008F256D"/>
    <w:rsid w:val="008F4EC4"/>
    <w:rsid w:val="0090018D"/>
    <w:rsid w:val="009055E8"/>
    <w:rsid w:val="00905F88"/>
    <w:rsid w:val="00911A24"/>
    <w:rsid w:val="00911C8E"/>
    <w:rsid w:val="00911ED6"/>
    <w:rsid w:val="00912521"/>
    <w:rsid w:val="00914679"/>
    <w:rsid w:val="00915EF6"/>
    <w:rsid w:val="00916EE1"/>
    <w:rsid w:val="009173CC"/>
    <w:rsid w:val="009311A2"/>
    <w:rsid w:val="00932008"/>
    <w:rsid w:val="009338E3"/>
    <w:rsid w:val="00933AC1"/>
    <w:rsid w:val="00937A07"/>
    <w:rsid w:val="0094379A"/>
    <w:rsid w:val="009456C6"/>
    <w:rsid w:val="009522A6"/>
    <w:rsid w:val="009530EE"/>
    <w:rsid w:val="00953CB4"/>
    <w:rsid w:val="009548B0"/>
    <w:rsid w:val="009567CE"/>
    <w:rsid w:val="0096441D"/>
    <w:rsid w:val="009644ED"/>
    <w:rsid w:val="00965755"/>
    <w:rsid w:val="00981EBA"/>
    <w:rsid w:val="00982D71"/>
    <w:rsid w:val="00990E97"/>
    <w:rsid w:val="00991329"/>
    <w:rsid w:val="00992A13"/>
    <w:rsid w:val="009947E3"/>
    <w:rsid w:val="009A24AE"/>
    <w:rsid w:val="009A3D14"/>
    <w:rsid w:val="009A401B"/>
    <w:rsid w:val="009B4B1E"/>
    <w:rsid w:val="009B7F49"/>
    <w:rsid w:val="009C2036"/>
    <w:rsid w:val="009C63E2"/>
    <w:rsid w:val="009C6CF1"/>
    <w:rsid w:val="009C7630"/>
    <w:rsid w:val="009D0FFA"/>
    <w:rsid w:val="009D60C8"/>
    <w:rsid w:val="009E2433"/>
    <w:rsid w:val="009E5326"/>
    <w:rsid w:val="009E60B4"/>
    <w:rsid w:val="009F0F2B"/>
    <w:rsid w:val="009F74A0"/>
    <w:rsid w:val="00A044D6"/>
    <w:rsid w:val="00A0530F"/>
    <w:rsid w:val="00A079BF"/>
    <w:rsid w:val="00A10AA3"/>
    <w:rsid w:val="00A13806"/>
    <w:rsid w:val="00A2008B"/>
    <w:rsid w:val="00A21599"/>
    <w:rsid w:val="00A23B7B"/>
    <w:rsid w:val="00A275CB"/>
    <w:rsid w:val="00A34B42"/>
    <w:rsid w:val="00A40946"/>
    <w:rsid w:val="00A45F38"/>
    <w:rsid w:val="00A46794"/>
    <w:rsid w:val="00A472DD"/>
    <w:rsid w:val="00A579DD"/>
    <w:rsid w:val="00A624BB"/>
    <w:rsid w:val="00A6337D"/>
    <w:rsid w:val="00A66E3A"/>
    <w:rsid w:val="00A74FB6"/>
    <w:rsid w:val="00A7543E"/>
    <w:rsid w:val="00A77EE2"/>
    <w:rsid w:val="00A91731"/>
    <w:rsid w:val="00A94511"/>
    <w:rsid w:val="00A948E6"/>
    <w:rsid w:val="00AA1B1D"/>
    <w:rsid w:val="00AA2D77"/>
    <w:rsid w:val="00AA31EE"/>
    <w:rsid w:val="00AA43C1"/>
    <w:rsid w:val="00AA6BC0"/>
    <w:rsid w:val="00AB012E"/>
    <w:rsid w:val="00AB1C46"/>
    <w:rsid w:val="00AB793B"/>
    <w:rsid w:val="00AC0B17"/>
    <w:rsid w:val="00AC4B30"/>
    <w:rsid w:val="00AD31B8"/>
    <w:rsid w:val="00AD411F"/>
    <w:rsid w:val="00AD79AA"/>
    <w:rsid w:val="00AE39D3"/>
    <w:rsid w:val="00AE6092"/>
    <w:rsid w:val="00AE6FD8"/>
    <w:rsid w:val="00AE7CC6"/>
    <w:rsid w:val="00AF0AF3"/>
    <w:rsid w:val="00B05147"/>
    <w:rsid w:val="00B06FA6"/>
    <w:rsid w:val="00B10B54"/>
    <w:rsid w:val="00B10FB1"/>
    <w:rsid w:val="00B1156E"/>
    <w:rsid w:val="00B1484D"/>
    <w:rsid w:val="00B14E8F"/>
    <w:rsid w:val="00B16E1D"/>
    <w:rsid w:val="00B2378B"/>
    <w:rsid w:val="00B25CDF"/>
    <w:rsid w:val="00B34563"/>
    <w:rsid w:val="00B46C9E"/>
    <w:rsid w:val="00B52EB1"/>
    <w:rsid w:val="00B53B0B"/>
    <w:rsid w:val="00B6272C"/>
    <w:rsid w:val="00B66331"/>
    <w:rsid w:val="00B71FAE"/>
    <w:rsid w:val="00B766D1"/>
    <w:rsid w:val="00B8627D"/>
    <w:rsid w:val="00B93540"/>
    <w:rsid w:val="00B93682"/>
    <w:rsid w:val="00B93E9A"/>
    <w:rsid w:val="00BA36DC"/>
    <w:rsid w:val="00BA3865"/>
    <w:rsid w:val="00BA3B62"/>
    <w:rsid w:val="00BA7A3E"/>
    <w:rsid w:val="00BA7D4C"/>
    <w:rsid w:val="00BA7E79"/>
    <w:rsid w:val="00BB3023"/>
    <w:rsid w:val="00BB47F2"/>
    <w:rsid w:val="00BB568F"/>
    <w:rsid w:val="00BC2DBE"/>
    <w:rsid w:val="00BD170D"/>
    <w:rsid w:val="00BD21C7"/>
    <w:rsid w:val="00BD2B77"/>
    <w:rsid w:val="00BE2B1B"/>
    <w:rsid w:val="00BF1709"/>
    <w:rsid w:val="00BF2AF0"/>
    <w:rsid w:val="00BF4B2A"/>
    <w:rsid w:val="00BF749A"/>
    <w:rsid w:val="00C04C45"/>
    <w:rsid w:val="00C07FBD"/>
    <w:rsid w:val="00C122CB"/>
    <w:rsid w:val="00C144C9"/>
    <w:rsid w:val="00C27E20"/>
    <w:rsid w:val="00C3186F"/>
    <w:rsid w:val="00C34722"/>
    <w:rsid w:val="00C34DF4"/>
    <w:rsid w:val="00C41897"/>
    <w:rsid w:val="00C4422C"/>
    <w:rsid w:val="00C47663"/>
    <w:rsid w:val="00C53556"/>
    <w:rsid w:val="00C60329"/>
    <w:rsid w:val="00C60DDE"/>
    <w:rsid w:val="00C619AF"/>
    <w:rsid w:val="00C664CC"/>
    <w:rsid w:val="00C71E6F"/>
    <w:rsid w:val="00C75D1A"/>
    <w:rsid w:val="00C77239"/>
    <w:rsid w:val="00C80E51"/>
    <w:rsid w:val="00C82582"/>
    <w:rsid w:val="00C84B25"/>
    <w:rsid w:val="00C879A3"/>
    <w:rsid w:val="00C93112"/>
    <w:rsid w:val="00C93AD3"/>
    <w:rsid w:val="00CA16E6"/>
    <w:rsid w:val="00CA1C40"/>
    <w:rsid w:val="00CA7623"/>
    <w:rsid w:val="00CB0322"/>
    <w:rsid w:val="00CB5AFC"/>
    <w:rsid w:val="00CB5D0E"/>
    <w:rsid w:val="00CB7E3A"/>
    <w:rsid w:val="00CB7FA3"/>
    <w:rsid w:val="00CC2943"/>
    <w:rsid w:val="00CD19F0"/>
    <w:rsid w:val="00CD6657"/>
    <w:rsid w:val="00CE00CB"/>
    <w:rsid w:val="00CE0312"/>
    <w:rsid w:val="00CE0F35"/>
    <w:rsid w:val="00CE37D4"/>
    <w:rsid w:val="00CE6EEB"/>
    <w:rsid w:val="00CF7FBF"/>
    <w:rsid w:val="00D01E05"/>
    <w:rsid w:val="00D07DD1"/>
    <w:rsid w:val="00D108A3"/>
    <w:rsid w:val="00D13FA4"/>
    <w:rsid w:val="00D1477D"/>
    <w:rsid w:val="00D17194"/>
    <w:rsid w:val="00D26B31"/>
    <w:rsid w:val="00D27196"/>
    <w:rsid w:val="00D279F5"/>
    <w:rsid w:val="00D311CA"/>
    <w:rsid w:val="00D31BD3"/>
    <w:rsid w:val="00D33421"/>
    <w:rsid w:val="00D34A01"/>
    <w:rsid w:val="00D37162"/>
    <w:rsid w:val="00D527DC"/>
    <w:rsid w:val="00D55BFF"/>
    <w:rsid w:val="00D64A2C"/>
    <w:rsid w:val="00D7002F"/>
    <w:rsid w:val="00D713B3"/>
    <w:rsid w:val="00D71C8A"/>
    <w:rsid w:val="00D7586C"/>
    <w:rsid w:val="00D77925"/>
    <w:rsid w:val="00D844C1"/>
    <w:rsid w:val="00D927FD"/>
    <w:rsid w:val="00D94EDA"/>
    <w:rsid w:val="00D9707A"/>
    <w:rsid w:val="00DA1D87"/>
    <w:rsid w:val="00DB049D"/>
    <w:rsid w:val="00DB1A02"/>
    <w:rsid w:val="00DB564A"/>
    <w:rsid w:val="00DB5CE5"/>
    <w:rsid w:val="00DB5D89"/>
    <w:rsid w:val="00DB7710"/>
    <w:rsid w:val="00DC3480"/>
    <w:rsid w:val="00DD00E0"/>
    <w:rsid w:val="00DD5185"/>
    <w:rsid w:val="00DE0B2A"/>
    <w:rsid w:val="00DE1147"/>
    <w:rsid w:val="00DE3895"/>
    <w:rsid w:val="00DE3D01"/>
    <w:rsid w:val="00DE4F00"/>
    <w:rsid w:val="00DE5981"/>
    <w:rsid w:val="00DE678C"/>
    <w:rsid w:val="00DE766B"/>
    <w:rsid w:val="00DF033C"/>
    <w:rsid w:val="00DF209D"/>
    <w:rsid w:val="00DF3249"/>
    <w:rsid w:val="00DF5269"/>
    <w:rsid w:val="00DF5859"/>
    <w:rsid w:val="00E01001"/>
    <w:rsid w:val="00E0129D"/>
    <w:rsid w:val="00E01300"/>
    <w:rsid w:val="00E0311F"/>
    <w:rsid w:val="00E061D8"/>
    <w:rsid w:val="00E12F8F"/>
    <w:rsid w:val="00E40E71"/>
    <w:rsid w:val="00E41F8A"/>
    <w:rsid w:val="00E50292"/>
    <w:rsid w:val="00E533B2"/>
    <w:rsid w:val="00E65503"/>
    <w:rsid w:val="00E7225C"/>
    <w:rsid w:val="00E77F31"/>
    <w:rsid w:val="00E8744E"/>
    <w:rsid w:val="00E91001"/>
    <w:rsid w:val="00EA094E"/>
    <w:rsid w:val="00EA485B"/>
    <w:rsid w:val="00EA6599"/>
    <w:rsid w:val="00EB1CF8"/>
    <w:rsid w:val="00EB5534"/>
    <w:rsid w:val="00EB6BA8"/>
    <w:rsid w:val="00EB720F"/>
    <w:rsid w:val="00EC0718"/>
    <w:rsid w:val="00EC0CA8"/>
    <w:rsid w:val="00EC29A6"/>
    <w:rsid w:val="00EC624D"/>
    <w:rsid w:val="00ED12B2"/>
    <w:rsid w:val="00ED6B92"/>
    <w:rsid w:val="00ED6FD5"/>
    <w:rsid w:val="00ED7986"/>
    <w:rsid w:val="00EE68BF"/>
    <w:rsid w:val="00EF2578"/>
    <w:rsid w:val="00EF61DF"/>
    <w:rsid w:val="00F02341"/>
    <w:rsid w:val="00F06675"/>
    <w:rsid w:val="00F105F1"/>
    <w:rsid w:val="00F15727"/>
    <w:rsid w:val="00F16BD1"/>
    <w:rsid w:val="00F239CA"/>
    <w:rsid w:val="00F24401"/>
    <w:rsid w:val="00F24FC6"/>
    <w:rsid w:val="00F2761F"/>
    <w:rsid w:val="00F32E4C"/>
    <w:rsid w:val="00F36B0E"/>
    <w:rsid w:val="00F37437"/>
    <w:rsid w:val="00F403AE"/>
    <w:rsid w:val="00F42C35"/>
    <w:rsid w:val="00F4429B"/>
    <w:rsid w:val="00F44EE6"/>
    <w:rsid w:val="00F44F2E"/>
    <w:rsid w:val="00F45C2D"/>
    <w:rsid w:val="00F472AC"/>
    <w:rsid w:val="00F47698"/>
    <w:rsid w:val="00F51D03"/>
    <w:rsid w:val="00F61F9C"/>
    <w:rsid w:val="00F63FA7"/>
    <w:rsid w:val="00F70C90"/>
    <w:rsid w:val="00F710D0"/>
    <w:rsid w:val="00F7380A"/>
    <w:rsid w:val="00F76DAB"/>
    <w:rsid w:val="00F80814"/>
    <w:rsid w:val="00F80932"/>
    <w:rsid w:val="00F80E4F"/>
    <w:rsid w:val="00F81014"/>
    <w:rsid w:val="00F8701D"/>
    <w:rsid w:val="00F9609E"/>
    <w:rsid w:val="00FA40C9"/>
    <w:rsid w:val="00FA59E0"/>
    <w:rsid w:val="00FA6239"/>
    <w:rsid w:val="00FB38D0"/>
    <w:rsid w:val="00FC031C"/>
    <w:rsid w:val="00FC132B"/>
    <w:rsid w:val="00FC1A0E"/>
    <w:rsid w:val="00FC3B74"/>
    <w:rsid w:val="00FD0C00"/>
    <w:rsid w:val="00FD75A7"/>
    <w:rsid w:val="00FE0F37"/>
    <w:rsid w:val="00FE25F7"/>
    <w:rsid w:val="00FE2697"/>
    <w:rsid w:val="00FE35F8"/>
    <w:rsid w:val="00FE7435"/>
    <w:rsid w:val="00FE7830"/>
    <w:rsid w:val="00FF3A6C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1017"/>
  <w15:docId w15:val="{2D8D36DF-DBBD-4B0D-BB40-0B5BDEA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fault">
    <w:name w:val="Default"/>
    <w:rsid w:val="00454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4941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6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63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42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eGridLight">
    <w:name w:val="Grid Table Light"/>
    <w:basedOn w:val="TableNormal"/>
    <w:uiPriority w:val="40"/>
    <w:rsid w:val="00A917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8948ccb3a04bc2a257533a787993e6df">
  <xsd:schema xmlns:xsd="http://www.w3.org/2001/XMLSchema" xmlns:xs="http://www.w3.org/2001/XMLSchema" xmlns:p="http://schemas.microsoft.com/office/2006/metadata/properties" xmlns:ns1="http://schemas.microsoft.com/sharepoint/v3" xmlns:ns3="cf4fbdc1-3486-4097-bd2f-409effe17552" xmlns:ns4="a44b952a-cdab-49d8-a572-68fa4f4b8e9d" targetNamespace="http://schemas.microsoft.com/office/2006/metadata/properties" ma:root="true" ma:fieldsID="74f2615bd119fc3c1ce05e3d41b6372a" ns1:_="" ns3:_="" ns4:_="">
    <xsd:import namespace="http://schemas.microsoft.com/sharepoint/v3"/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A9AD-42A6-4FC3-80C1-BA14447A65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5B52EC-9466-44AA-AA5D-61B7C166D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F3E9C-F61A-4197-8E1A-E4A6CD8E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F12FB-56D7-412B-A13D-29D2126E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843</Words>
  <Characters>4152</Characters>
  <Application>Microsoft Office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 Logo</dc:title>
  <dc:creator>Diane Lewis</dc:creator>
  <cp:lastModifiedBy>Sue Hopkins</cp:lastModifiedBy>
  <cp:revision>13</cp:revision>
  <cp:lastPrinted>2020-11-30T13:54:00Z</cp:lastPrinted>
  <dcterms:created xsi:type="dcterms:W3CDTF">2021-06-15T11:42:00Z</dcterms:created>
  <dcterms:modified xsi:type="dcterms:W3CDTF">2021-06-22T14:10:00Z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