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DAAD" w14:textId="15B2D5C7" w:rsidR="004753F4" w:rsidRDefault="001400FE" w:rsidP="008A463C">
      <w:pPr>
        <w:pStyle w:val="Heading1"/>
      </w:pPr>
      <w:r>
        <w:object w:dxaOrig="11970" w:dyaOrig="1815" w14:anchorId="795A4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rmingham City Council logo" style="width:414.25pt;height:63.15pt" o:ole="">
            <v:imagedata r:id="rId8" o:title=""/>
          </v:shape>
          <o:OLEObject Type="Embed" ProgID="Imaging.Document" ShapeID="_x0000_i1025" DrawAspect="Content" ObjectID="_1685879470" r:id="rId9"/>
        </w:object>
      </w:r>
    </w:p>
    <w:p w14:paraId="1ABB0BA5" w14:textId="77777777" w:rsidR="008544CD" w:rsidRDefault="008544CD" w:rsidP="008544CD">
      <w:pPr>
        <w:pStyle w:val="NoSpacing"/>
      </w:pPr>
    </w:p>
    <w:p w14:paraId="14BA88E5" w14:textId="77777777" w:rsidR="008544CD" w:rsidRDefault="008544CD" w:rsidP="008544CD">
      <w:pPr>
        <w:pStyle w:val="NoSpacing"/>
        <w:rPr>
          <w:rFonts w:ascii="Arial" w:hAnsi="Arial" w:cs="Arial"/>
        </w:rPr>
      </w:pPr>
    </w:p>
    <w:p w14:paraId="53226566" w14:textId="77777777" w:rsidR="008544CD" w:rsidRPr="00B33074" w:rsidRDefault="008544CD" w:rsidP="008544CD">
      <w:pPr>
        <w:pStyle w:val="NoSpacing"/>
        <w:rPr>
          <w:rFonts w:ascii="Arial" w:hAnsi="Arial" w:cs="Arial"/>
          <w:b/>
        </w:rPr>
      </w:pPr>
      <w:r w:rsidRPr="006C52BF">
        <w:rPr>
          <w:rFonts w:cs="Calibri"/>
          <w:b/>
          <w:sz w:val="24"/>
          <w:szCs w:val="24"/>
        </w:rPr>
        <w:t>Report to:</w:t>
      </w:r>
      <w:r w:rsidRPr="006C52BF">
        <w:rPr>
          <w:rFonts w:cs="Calibri"/>
          <w:b/>
          <w:sz w:val="24"/>
          <w:szCs w:val="24"/>
        </w:rPr>
        <w:tab/>
      </w:r>
      <w:r w:rsidR="00F32E4C" w:rsidRPr="00B33074">
        <w:rPr>
          <w:rFonts w:ascii="Arial" w:hAnsi="Arial" w:cs="Arial"/>
          <w:b/>
        </w:rPr>
        <w:t>Schools Forum</w:t>
      </w:r>
      <w:r w:rsidR="003266DB">
        <w:rPr>
          <w:rFonts w:ascii="Arial" w:hAnsi="Arial" w:cs="Arial"/>
          <w:b/>
        </w:rPr>
        <w:t xml:space="preserve"> </w:t>
      </w:r>
    </w:p>
    <w:p w14:paraId="6998DA56" w14:textId="77777777" w:rsidR="00F32E4C" w:rsidRPr="00B33074" w:rsidRDefault="00F32E4C" w:rsidP="008544CD">
      <w:pPr>
        <w:pStyle w:val="NoSpacing"/>
        <w:rPr>
          <w:rFonts w:ascii="Arial" w:hAnsi="Arial" w:cs="Arial"/>
          <w:b/>
        </w:rPr>
      </w:pPr>
    </w:p>
    <w:p w14:paraId="27FCFEBE" w14:textId="77777777" w:rsidR="008544CD" w:rsidRPr="00B33074" w:rsidRDefault="007614A4" w:rsidP="008544CD">
      <w:pPr>
        <w:pStyle w:val="NoSpacing"/>
        <w:rPr>
          <w:rFonts w:ascii="Arial" w:hAnsi="Arial" w:cs="Arial"/>
          <w:b/>
        </w:rPr>
      </w:pPr>
      <w:r>
        <w:rPr>
          <w:rFonts w:ascii="Arial" w:hAnsi="Arial" w:cs="Arial"/>
          <w:b/>
        </w:rPr>
        <w:t>Date</w:t>
      </w:r>
      <w:r>
        <w:rPr>
          <w:rFonts w:ascii="Arial" w:hAnsi="Arial" w:cs="Arial"/>
          <w:b/>
        </w:rPr>
        <w:tab/>
      </w:r>
      <w:r>
        <w:rPr>
          <w:rFonts w:ascii="Arial" w:hAnsi="Arial" w:cs="Arial"/>
          <w:b/>
        </w:rPr>
        <w:tab/>
        <w:t>21</w:t>
      </w:r>
      <w:r w:rsidRPr="007614A4">
        <w:rPr>
          <w:rFonts w:ascii="Arial" w:hAnsi="Arial" w:cs="Arial"/>
          <w:b/>
          <w:vertAlign w:val="superscript"/>
        </w:rPr>
        <w:t>st</w:t>
      </w:r>
      <w:r>
        <w:rPr>
          <w:rFonts w:ascii="Arial" w:hAnsi="Arial" w:cs="Arial"/>
          <w:b/>
        </w:rPr>
        <w:t xml:space="preserve"> January 2021 </w:t>
      </w:r>
      <w:r w:rsidR="00EC624D" w:rsidRPr="00B33074">
        <w:rPr>
          <w:rFonts w:ascii="Arial" w:hAnsi="Arial" w:cs="Arial"/>
          <w:b/>
        </w:rPr>
        <w:tab/>
      </w:r>
    </w:p>
    <w:p w14:paraId="2FC58F46" w14:textId="77777777" w:rsidR="008544CD" w:rsidRPr="00B33074" w:rsidRDefault="008544CD" w:rsidP="008544CD">
      <w:pPr>
        <w:pStyle w:val="NoSpacing"/>
        <w:rPr>
          <w:rFonts w:ascii="Arial" w:hAnsi="Arial" w:cs="Arial"/>
          <w:b/>
        </w:rPr>
      </w:pPr>
    </w:p>
    <w:p w14:paraId="49163883" w14:textId="77777777" w:rsidR="008544CD" w:rsidRDefault="008544CD" w:rsidP="007E696A">
      <w:pPr>
        <w:pStyle w:val="NoSpacing"/>
        <w:ind w:left="1440" w:hanging="1440"/>
        <w:rPr>
          <w:rFonts w:ascii="Arial" w:hAnsi="Arial" w:cs="Arial"/>
          <w:b/>
        </w:rPr>
      </w:pPr>
      <w:r w:rsidRPr="00B33074">
        <w:rPr>
          <w:rFonts w:ascii="Arial" w:hAnsi="Arial" w:cs="Arial"/>
          <w:b/>
        </w:rPr>
        <w:t>Report of:</w:t>
      </w:r>
      <w:r w:rsidRPr="00B33074">
        <w:rPr>
          <w:rFonts w:ascii="Arial" w:hAnsi="Arial" w:cs="Arial"/>
          <w:b/>
        </w:rPr>
        <w:tab/>
      </w:r>
      <w:r w:rsidR="009F01AD">
        <w:rPr>
          <w:rFonts w:ascii="Arial" w:hAnsi="Arial" w:cs="Arial"/>
          <w:b/>
        </w:rPr>
        <w:t xml:space="preserve">John Betts, Interim </w:t>
      </w:r>
      <w:r w:rsidR="00EA4A73">
        <w:rPr>
          <w:rFonts w:ascii="Arial" w:hAnsi="Arial" w:cs="Arial"/>
          <w:b/>
        </w:rPr>
        <w:t>Finance Bu</w:t>
      </w:r>
      <w:r w:rsidR="00A555ED">
        <w:rPr>
          <w:rFonts w:ascii="Arial" w:hAnsi="Arial" w:cs="Arial"/>
          <w:b/>
        </w:rPr>
        <w:t>s</w:t>
      </w:r>
      <w:r w:rsidR="00EA4A73">
        <w:rPr>
          <w:rFonts w:ascii="Arial" w:hAnsi="Arial" w:cs="Arial"/>
          <w:b/>
        </w:rPr>
        <w:t>iness Partner</w:t>
      </w:r>
      <w:r w:rsidR="009F01AD">
        <w:rPr>
          <w:rFonts w:ascii="Arial" w:hAnsi="Arial" w:cs="Arial"/>
          <w:b/>
        </w:rPr>
        <w:t xml:space="preserve"> (Education &amp; Skills) </w:t>
      </w:r>
    </w:p>
    <w:p w14:paraId="7482C963" w14:textId="77777777" w:rsidR="00EA4A73" w:rsidRPr="00B33074" w:rsidRDefault="00EA4A73" w:rsidP="007E696A">
      <w:pPr>
        <w:pStyle w:val="NoSpacing"/>
        <w:ind w:left="1440" w:hanging="1440"/>
        <w:rPr>
          <w:rFonts w:ascii="Arial" w:hAnsi="Arial" w:cs="Arial"/>
          <w:b/>
        </w:rPr>
      </w:pPr>
    </w:p>
    <w:p w14:paraId="5874C5F6" w14:textId="77777777" w:rsidR="0061434E" w:rsidRDefault="00EC624D" w:rsidP="007614A4">
      <w:pPr>
        <w:pStyle w:val="NoSpacing"/>
        <w:ind w:left="1395" w:hanging="1395"/>
        <w:rPr>
          <w:rFonts w:ascii="Arial" w:hAnsi="Arial" w:cs="Arial"/>
          <w:b/>
        </w:rPr>
      </w:pPr>
      <w:r w:rsidRPr="00B33074">
        <w:rPr>
          <w:rFonts w:ascii="Arial" w:hAnsi="Arial" w:cs="Arial"/>
          <w:b/>
        </w:rPr>
        <w:t>Title:</w:t>
      </w:r>
      <w:r w:rsidRPr="00B33074">
        <w:rPr>
          <w:rFonts w:ascii="Arial" w:hAnsi="Arial" w:cs="Arial"/>
          <w:b/>
        </w:rPr>
        <w:tab/>
      </w:r>
      <w:bookmarkStart w:id="0" w:name="_GoBack"/>
      <w:r w:rsidR="007614A4">
        <w:rPr>
          <w:rFonts w:ascii="Arial" w:hAnsi="Arial" w:cs="Arial"/>
          <w:b/>
        </w:rPr>
        <w:t xml:space="preserve">Mainstream </w:t>
      </w:r>
      <w:proofErr w:type="gramStart"/>
      <w:r w:rsidR="007614A4">
        <w:rPr>
          <w:rFonts w:ascii="Arial" w:hAnsi="Arial" w:cs="Arial"/>
          <w:b/>
        </w:rPr>
        <w:t>Schools  Funding</w:t>
      </w:r>
      <w:proofErr w:type="gramEnd"/>
      <w:r w:rsidR="007614A4">
        <w:rPr>
          <w:rFonts w:ascii="Arial" w:hAnsi="Arial" w:cs="Arial"/>
          <w:b/>
        </w:rPr>
        <w:t xml:space="preserve"> Formula and Minimum Funding Guarantee 2021/22</w:t>
      </w:r>
      <w:bookmarkEnd w:id="0"/>
    </w:p>
    <w:p w14:paraId="12DB56E5" w14:textId="77777777" w:rsidR="0061434E" w:rsidRDefault="0061434E" w:rsidP="008544CD">
      <w:pPr>
        <w:pStyle w:val="NoSpacing"/>
        <w:rPr>
          <w:rFonts w:ascii="Arial" w:hAnsi="Arial" w:cs="Arial"/>
          <w:b/>
        </w:rPr>
      </w:pPr>
    </w:p>
    <w:p w14:paraId="03A15195" w14:textId="77777777" w:rsidR="008544CD" w:rsidRPr="00B33074" w:rsidRDefault="0061434E" w:rsidP="008544CD">
      <w:pPr>
        <w:pStyle w:val="NoSpacing"/>
        <w:rPr>
          <w:rFonts w:ascii="Arial" w:hAnsi="Arial" w:cs="Arial"/>
        </w:rPr>
      </w:pPr>
      <w:r>
        <w:rPr>
          <w:rFonts w:ascii="Arial" w:hAnsi="Arial" w:cs="Arial"/>
          <w:b/>
        </w:rPr>
        <w:t>Status</w:t>
      </w:r>
      <w:r>
        <w:rPr>
          <w:rFonts w:ascii="Arial" w:hAnsi="Arial" w:cs="Arial"/>
          <w:b/>
        </w:rPr>
        <w:tab/>
      </w:r>
      <w:r>
        <w:rPr>
          <w:rFonts w:ascii="Arial" w:hAnsi="Arial" w:cs="Arial"/>
          <w:b/>
        </w:rPr>
        <w:tab/>
        <w:t xml:space="preserve">For </w:t>
      </w:r>
      <w:r w:rsidR="009F01AD">
        <w:rPr>
          <w:rFonts w:ascii="Arial" w:hAnsi="Arial" w:cs="Arial"/>
          <w:b/>
        </w:rPr>
        <w:t>Decision</w:t>
      </w:r>
      <w:r w:rsidR="00EC624D" w:rsidRPr="00B33074">
        <w:rPr>
          <w:rFonts w:ascii="Arial" w:hAnsi="Arial" w:cs="Arial"/>
          <w:b/>
        </w:rPr>
        <w:tab/>
      </w:r>
    </w:p>
    <w:p w14:paraId="5EC3720E" w14:textId="77777777" w:rsidR="008544CD" w:rsidRPr="006C52BF" w:rsidRDefault="008544CD" w:rsidP="008544CD">
      <w:pPr>
        <w:pStyle w:val="NoSpacing"/>
        <w:rPr>
          <w:rFonts w:cs="Calibri"/>
          <w:sz w:val="24"/>
          <w:szCs w:val="24"/>
        </w:rPr>
      </w:pPr>
    </w:p>
    <w:p w14:paraId="0AFB7462" w14:textId="77777777" w:rsidR="00F32E4C" w:rsidRDefault="00F32E4C" w:rsidP="00F32E4C">
      <w:pPr>
        <w:pStyle w:val="NoSpacing"/>
        <w:jc w:val="both"/>
        <w:rPr>
          <w:rFonts w:cs="Calibri"/>
          <w:b/>
          <w:sz w:val="24"/>
          <w:szCs w:val="24"/>
        </w:rPr>
      </w:pPr>
    </w:p>
    <w:p w14:paraId="6BAC794A" w14:textId="77777777" w:rsidR="007614A4" w:rsidRDefault="007614A4" w:rsidP="00F32E4C">
      <w:pPr>
        <w:pStyle w:val="NoSpacing"/>
        <w:jc w:val="both"/>
        <w:rPr>
          <w:rFonts w:cs="Calibri"/>
          <w:b/>
          <w:sz w:val="24"/>
          <w:szCs w:val="24"/>
        </w:rPr>
      </w:pPr>
      <w:r>
        <w:rPr>
          <w:rFonts w:cs="Calibri"/>
          <w:b/>
          <w:sz w:val="24"/>
          <w:szCs w:val="24"/>
        </w:rPr>
        <w:t>Purpose</w:t>
      </w:r>
    </w:p>
    <w:p w14:paraId="52B5F3BC" w14:textId="77777777" w:rsidR="007614A4" w:rsidRDefault="007614A4" w:rsidP="00F32E4C">
      <w:pPr>
        <w:pStyle w:val="NoSpacing"/>
        <w:jc w:val="both"/>
        <w:rPr>
          <w:rFonts w:cs="Calibri"/>
          <w:b/>
          <w:sz w:val="24"/>
          <w:szCs w:val="24"/>
        </w:rPr>
      </w:pPr>
    </w:p>
    <w:p w14:paraId="295443D9" w14:textId="77777777" w:rsidR="007614A4" w:rsidRDefault="007614A4" w:rsidP="007614A4">
      <w:pPr>
        <w:pStyle w:val="NoSpacing"/>
        <w:rPr>
          <w:rFonts w:cs="Calibri"/>
          <w:sz w:val="24"/>
          <w:szCs w:val="24"/>
        </w:rPr>
      </w:pPr>
      <w:r w:rsidRPr="007614A4">
        <w:rPr>
          <w:rFonts w:cs="Calibri"/>
          <w:sz w:val="24"/>
          <w:szCs w:val="24"/>
        </w:rPr>
        <w:t xml:space="preserve">The purpose of this report is to seek Schools Forum approval to the treatment of the Minimum Funding Guarantee (MFG) as part of the mainstream school funding formula for Birmingham for 2021/22. </w:t>
      </w:r>
    </w:p>
    <w:p w14:paraId="20BB996D" w14:textId="77777777" w:rsidR="007614A4" w:rsidRDefault="007614A4" w:rsidP="007614A4">
      <w:pPr>
        <w:pStyle w:val="NoSpacing"/>
        <w:rPr>
          <w:rFonts w:cs="Calibri"/>
          <w:sz w:val="24"/>
          <w:szCs w:val="24"/>
        </w:rPr>
      </w:pPr>
    </w:p>
    <w:p w14:paraId="57F9A9E9" w14:textId="77777777" w:rsidR="007614A4" w:rsidRDefault="007614A4" w:rsidP="007614A4">
      <w:pPr>
        <w:pStyle w:val="NoSpacing"/>
        <w:rPr>
          <w:rFonts w:cs="Calibri"/>
          <w:b/>
          <w:sz w:val="24"/>
          <w:szCs w:val="24"/>
        </w:rPr>
      </w:pPr>
      <w:r w:rsidRPr="007614A4">
        <w:rPr>
          <w:rFonts w:cs="Calibri"/>
          <w:b/>
          <w:sz w:val="24"/>
          <w:szCs w:val="24"/>
        </w:rPr>
        <w:t>Background</w:t>
      </w:r>
    </w:p>
    <w:p w14:paraId="1FF83C25" w14:textId="77777777" w:rsidR="007614A4" w:rsidRDefault="007614A4" w:rsidP="007614A4">
      <w:pPr>
        <w:pStyle w:val="NoSpacing"/>
        <w:rPr>
          <w:rFonts w:cs="Calibri"/>
          <w:b/>
          <w:sz w:val="24"/>
          <w:szCs w:val="24"/>
        </w:rPr>
      </w:pPr>
    </w:p>
    <w:p w14:paraId="11280B85" w14:textId="77777777" w:rsidR="007614A4" w:rsidRPr="007614A4" w:rsidRDefault="007614A4" w:rsidP="007614A4">
      <w:pPr>
        <w:pStyle w:val="NoSpacing"/>
        <w:rPr>
          <w:rFonts w:cs="Calibri"/>
          <w:sz w:val="24"/>
          <w:szCs w:val="24"/>
        </w:rPr>
      </w:pPr>
      <w:r w:rsidRPr="007614A4">
        <w:rPr>
          <w:rFonts w:cs="Calibri"/>
          <w:sz w:val="24"/>
          <w:szCs w:val="24"/>
        </w:rPr>
        <w:t>Each year local authorities are required to detail their schools block funding formulae in accordance with the arrangements set out by the Secretary of State for Education. The Education and Skills Funding Agency (ESFA) has developed the authority proforma tool (APT) to assist local authorities to model and then confirm how they plan to do this for the funding year.</w:t>
      </w:r>
    </w:p>
    <w:p w14:paraId="484EAA02" w14:textId="77777777" w:rsidR="007614A4" w:rsidRDefault="007614A4" w:rsidP="007614A4">
      <w:pPr>
        <w:pStyle w:val="NoSpacing"/>
        <w:rPr>
          <w:rFonts w:cs="Calibri"/>
          <w:b/>
          <w:sz w:val="24"/>
          <w:szCs w:val="24"/>
        </w:rPr>
      </w:pPr>
    </w:p>
    <w:p w14:paraId="0CDCED84" w14:textId="77777777" w:rsidR="007614A4" w:rsidRPr="0090396E" w:rsidRDefault="0090396E" w:rsidP="007614A4">
      <w:pPr>
        <w:pStyle w:val="NoSpacing"/>
        <w:rPr>
          <w:rFonts w:cs="Calibri"/>
          <w:sz w:val="24"/>
          <w:szCs w:val="24"/>
        </w:rPr>
      </w:pPr>
      <w:r w:rsidRPr="0090396E">
        <w:rPr>
          <w:rFonts w:cs="Calibri"/>
          <w:sz w:val="24"/>
          <w:szCs w:val="24"/>
        </w:rPr>
        <w:t xml:space="preserve">In using the APT modelling tool, it is evident that we cannot fully replicate the national funding formula and maintain a Minimum Funding Guarantee of 2%, because the Dedicated Schools Grant financial settlement does not provide sufficient funding to deliver this. </w:t>
      </w:r>
      <w:r>
        <w:rPr>
          <w:rFonts w:cs="Calibri"/>
          <w:sz w:val="24"/>
          <w:szCs w:val="24"/>
        </w:rPr>
        <w:t xml:space="preserve">Department for Education has indicated that a MFG of between 0.5% and 2.0% should be used for 2021/22. </w:t>
      </w:r>
    </w:p>
    <w:p w14:paraId="12908BD1" w14:textId="77777777" w:rsidR="0090396E" w:rsidRPr="0090396E" w:rsidRDefault="0090396E" w:rsidP="007614A4">
      <w:pPr>
        <w:pStyle w:val="NoSpacing"/>
        <w:rPr>
          <w:rFonts w:cs="Calibri"/>
          <w:sz w:val="24"/>
          <w:szCs w:val="24"/>
        </w:rPr>
      </w:pPr>
    </w:p>
    <w:p w14:paraId="4E508081" w14:textId="77777777" w:rsidR="0090396E" w:rsidRDefault="0090396E" w:rsidP="007614A4">
      <w:pPr>
        <w:pStyle w:val="NoSpacing"/>
        <w:rPr>
          <w:rFonts w:cs="Calibri"/>
          <w:sz w:val="24"/>
          <w:szCs w:val="24"/>
        </w:rPr>
      </w:pPr>
      <w:r w:rsidRPr="0090396E">
        <w:rPr>
          <w:rFonts w:cs="Calibri"/>
          <w:sz w:val="24"/>
          <w:szCs w:val="24"/>
        </w:rPr>
        <w:t xml:space="preserve">The minimum funding guarantee (MFG) is </w:t>
      </w:r>
      <w:proofErr w:type="gramStart"/>
      <w:r w:rsidRPr="0090396E">
        <w:rPr>
          <w:rFonts w:cs="Calibri"/>
          <w:sz w:val="24"/>
          <w:szCs w:val="24"/>
        </w:rPr>
        <w:t>intended  to</w:t>
      </w:r>
      <w:proofErr w:type="gramEnd"/>
      <w:r w:rsidRPr="0090396E">
        <w:rPr>
          <w:rFonts w:cs="Calibri"/>
          <w:sz w:val="24"/>
          <w:szCs w:val="24"/>
        </w:rPr>
        <w:t xml:space="preserve"> provide schools with stability of funding: the MFG does this by guaranteeing all schools a minimum percentage increase in their funding per pupil from one year to the next. MFG excludes business rates and lump sum.</w:t>
      </w:r>
    </w:p>
    <w:p w14:paraId="015EBBD2" w14:textId="77777777" w:rsidR="0090396E" w:rsidRDefault="0090396E" w:rsidP="007614A4">
      <w:pPr>
        <w:pStyle w:val="NoSpacing"/>
        <w:rPr>
          <w:rFonts w:cs="Calibri"/>
          <w:sz w:val="24"/>
          <w:szCs w:val="24"/>
        </w:rPr>
      </w:pPr>
    </w:p>
    <w:p w14:paraId="2A580A6F" w14:textId="77777777" w:rsidR="0090396E" w:rsidRPr="0090396E" w:rsidRDefault="0090396E" w:rsidP="007614A4">
      <w:pPr>
        <w:pStyle w:val="NoSpacing"/>
        <w:rPr>
          <w:rFonts w:cs="Calibri"/>
          <w:sz w:val="24"/>
          <w:szCs w:val="24"/>
        </w:rPr>
      </w:pPr>
      <w:r>
        <w:rPr>
          <w:rFonts w:cs="Calibri"/>
          <w:sz w:val="24"/>
          <w:szCs w:val="24"/>
        </w:rPr>
        <w:t xml:space="preserve">The rest of this report outlines the reasons why a 2% MFG is unaffordable; identifies two options to resolve this option and </w:t>
      </w:r>
      <w:r w:rsidR="004733DB">
        <w:rPr>
          <w:rFonts w:cs="Calibri"/>
          <w:sz w:val="24"/>
          <w:szCs w:val="24"/>
        </w:rPr>
        <w:t xml:space="preserve">suggests </w:t>
      </w:r>
      <w:r>
        <w:rPr>
          <w:rFonts w:cs="Calibri"/>
          <w:sz w:val="24"/>
          <w:szCs w:val="24"/>
        </w:rPr>
        <w:t xml:space="preserve">a preferred option.  </w:t>
      </w:r>
    </w:p>
    <w:p w14:paraId="0E94FF13" w14:textId="77777777" w:rsidR="0090396E" w:rsidRDefault="0090396E" w:rsidP="007614A4">
      <w:pPr>
        <w:pStyle w:val="NoSpacing"/>
        <w:rPr>
          <w:rFonts w:cs="Calibri"/>
          <w:b/>
          <w:sz w:val="24"/>
          <w:szCs w:val="24"/>
        </w:rPr>
      </w:pPr>
    </w:p>
    <w:p w14:paraId="050A241B" w14:textId="77777777" w:rsidR="007614A4" w:rsidRDefault="007614A4" w:rsidP="007614A4">
      <w:pPr>
        <w:pStyle w:val="NoSpacing"/>
        <w:rPr>
          <w:rFonts w:cs="Calibri"/>
          <w:b/>
          <w:sz w:val="24"/>
          <w:szCs w:val="24"/>
        </w:rPr>
      </w:pPr>
    </w:p>
    <w:p w14:paraId="7117D15F" w14:textId="77777777" w:rsidR="001A131F" w:rsidRDefault="001A131F" w:rsidP="0090396E">
      <w:pPr>
        <w:pStyle w:val="NoSpacing"/>
        <w:rPr>
          <w:rFonts w:cs="Calibri"/>
          <w:b/>
          <w:sz w:val="24"/>
          <w:szCs w:val="24"/>
        </w:rPr>
      </w:pPr>
    </w:p>
    <w:p w14:paraId="39C81C7D" w14:textId="77777777" w:rsidR="001A131F" w:rsidRDefault="001A131F" w:rsidP="0090396E">
      <w:pPr>
        <w:pStyle w:val="NoSpacing"/>
        <w:rPr>
          <w:rFonts w:cs="Calibri"/>
          <w:b/>
          <w:sz w:val="24"/>
          <w:szCs w:val="24"/>
        </w:rPr>
      </w:pPr>
    </w:p>
    <w:p w14:paraId="4CF9CA17" w14:textId="77777777" w:rsidR="0090396E" w:rsidRPr="0090396E" w:rsidRDefault="0090396E" w:rsidP="0090396E">
      <w:pPr>
        <w:pStyle w:val="NoSpacing"/>
        <w:rPr>
          <w:rFonts w:cs="Calibri"/>
          <w:b/>
          <w:sz w:val="24"/>
          <w:szCs w:val="24"/>
        </w:rPr>
      </w:pPr>
      <w:r w:rsidRPr="0090396E">
        <w:rPr>
          <w:rFonts w:cs="Calibri"/>
          <w:b/>
          <w:sz w:val="24"/>
          <w:szCs w:val="24"/>
        </w:rPr>
        <w:lastRenderedPageBreak/>
        <w:t xml:space="preserve">Government Funding Expectations </w:t>
      </w:r>
    </w:p>
    <w:p w14:paraId="25CAB6AA" w14:textId="77777777" w:rsidR="0090396E" w:rsidRDefault="0090396E" w:rsidP="0090396E">
      <w:pPr>
        <w:pStyle w:val="NoSpacing"/>
        <w:rPr>
          <w:rFonts w:cs="Calibri"/>
          <w:sz w:val="24"/>
          <w:szCs w:val="24"/>
        </w:rPr>
      </w:pPr>
    </w:p>
    <w:p w14:paraId="6CCE5738" w14:textId="77777777" w:rsidR="0090396E" w:rsidRDefault="0090396E" w:rsidP="0090396E">
      <w:pPr>
        <w:pStyle w:val="NoSpacing"/>
        <w:rPr>
          <w:rFonts w:cs="Calibri"/>
          <w:sz w:val="24"/>
          <w:szCs w:val="24"/>
        </w:rPr>
      </w:pPr>
      <w:r w:rsidRPr="0090396E">
        <w:rPr>
          <w:rFonts w:cs="Calibri"/>
          <w:sz w:val="24"/>
          <w:szCs w:val="24"/>
        </w:rPr>
        <w:t xml:space="preserve">Every school </w:t>
      </w:r>
      <w:r>
        <w:rPr>
          <w:rFonts w:cs="Calibri"/>
          <w:sz w:val="24"/>
          <w:szCs w:val="24"/>
        </w:rPr>
        <w:t xml:space="preserve">should receive a </w:t>
      </w:r>
      <w:r w:rsidRPr="0090396E">
        <w:rPr>
          <w:rFonts w:cs="Calibri"/>
          <w:sz w:val="24"/>
          <w:szCs w:val="24"/>
        </w:rPr>
        <w:t>minim</w:t>
      </w:r>
      <w:r>
        <w:rPr>
          <w:rFonts w:cs="Calibri"/>
          <w:sz w:val="24"/>
          <w:szCs w:val="24"/>
        </w:rPr>
        <w:t>um</w:t>
      </w:r>
      <w:r w:rsidR="00875318">
        <w:rPr>
          <w:rFonts w:cs="Calibri"/>
          <w:sz w:val="24"/>
          <w:szCs w:val="24"/>
        </w:rPr>
        <w:t xml:space="preserve"> of £5,415</w:t>
      </w:r>
      <w:r w:rsidRPr="0090396E">
        <w:rPr>
          <w:rFonts w:cs="Calibri"/>
          <w:sz w:val="24"/>
          <w:szCs w:val="24"/>
        </w:rPr>
        <w:t xml:space="preserve"> per-pupil funding for secondary schools and £4,</w:t>
      </w:r>
      <w:r w:rsidR="00875318">
        <w:rPr>
          <w:rFonts w:cs="Calibri"/>
          <w:sz w:val="24"/>
          <w:szCs w:val="24"/>
        </w:rPr>
        <w:t>180</w:t>
      </w:r>
      <w:r w:rsidRPr="0090396E">
        <w:rPr>
          <w:rFonts w:cs="Calibri"/>
          <w:sz w:val="24"/>
          <w:szCs w:val="24"/>
        </w:rPr>
        <w:t xml:space="preserve"> for primar</w:t>
      </w:r>
      <w:r>
        <w:rPr>
          <w:rFonts w:cs="Calibri"/>
          <w:sz w:val="24"/>
          <w:szCs w:val="24"/>
        </w:rPr>
        <w:t xml:space="preserve">y schools. </w:t>
      </w:r>
      <w:r w:rsidRPr="0090396E">
        <w:rPr>
          <w:rFonts w:cs="Calibri"/>
          <w:sz w:val="24"/>
          <w:szCs w:val="24"/>
        </w:rPr>
        <w:t xml:space="preserve"> </w:t>
      </w:r>
      <w:r>
        <w:rPr>
          <w:rFonts w:cs="Calibri"/>
          <w:sz w:val="24"/>
          <w:szCs w:val="24"/>
        </w:rPr>
        <w:t xml:space="preserve">This is already reflected in the Birmingham proposal (and is </w:t>
      </w:r>
      <w:r w:rsidR="002F6B16">
        <w:rPr>
          <w:rFonts w:cs="Calibri"/>
          <w:sz w:val="24"/>
          <w:szCs w:val="24"/>
        </w:rPr>
        <w:t>checked by the APT modelling referenced above).</w:t>
      </w:r>
    </w:p>
    <w:p w14:paraId="42F4F9C7" w14:textId="77777777" w:rsidR="002F6B16" w:rsidRDefault="002F6B16" w:rsidP="0090396E">
      <w:pPr>
        <w:pStyle w:val="NoSpacing"/>
        <w:rPr>
          <w:rFonts w:cs="Calibri"/>
          <w:sz w:val="24"/>
          <w:szCs w:val="24"/>
        </w:rPr>
      </w:pPr>
    </w:p>
    <w:p w14:paraId="4B1F19A4" w14:textId="77777777" w:rsidR="007614A4" w:rsidRDefault="002F6B16" w:rsidP="0090396E">
      <w:pPr>
        <w:pStyle w:val="NoSpacing"/>
        <w:rPr>
          <w:rFonts w:cs="Calibri"/>
          <w:sz w:val="24"/>
          <w:szCs w:val="24"/>
        </w:rPr>
      </w:pPr>
      <w:r>
        <w:rPr>
          <w:rFonts w:cs="Calibri"/>
          <w:sz w:val="24"/>
          <w:szCs w:val="24"/>
        </w:rPr>
        <w:t>However, the situation is somewhat confused as f</w:t>
      </w:r>
      <w:r w:rsidR="0090396E" w:rsidRPr="0090396E">
        <w:rPr>
          <w:rFonts w:cs="Calibri"/>
          <w:sz w:val="24"/>
          <w:szCs w:val="24"/>
        </w:rPr>
        <w:t xml:space="preserve">unding to cover increases to teacher pay and pensions </w:t>
      </w:r>
      <w:r>
        <w:rPr>
          <w:rFonts w:cs="Calibri"/>
          <w:sz w:val="24"/>
          <w:szCs w:val="24"/>
        </w:rPr>
        <w:t xml:space="preserve">has also been </w:t>
      </w:r>
      <w:r w:rsidR="0090396E" w:rsidRPr="0090396E">
        <w:rPr>
          <w:rFonts w:cs="Calibri"/>
          <w:sz w:val="24"/>
          <w:szCs w:val="24"/>
        </w:rPr>
        <w:t xml:space="preserve">included </w:t>
      </w:r>
      <w:r>
        <w:rPr>
          <w:rFonts w:cs="Calibri"/>
          <w:sz w:val="24"/>
          <w:szCs w:val="24"/>
        </w:rPr>
        <w:t xml:space="preserve">by DfE within formula funding </w:t>
      </w:r>
      <w:r w:rsidR="0090396E" w:rsidRPr="0090396E">
        <w:rPr>
          <w:rFonts w:cs="Calibri"/>
          <w:sz w:val="24"/>
          <w:szCs w:val="24"/>
        </w:rPr>
        <w:t>from 2021</w:t>
      </w:r>
      <w:r>
        <w:rPr>
          <w:rFonts w:cs="Calibri"/>
          <w:sz w:val="24"/>
          <w:szCs w:val="24"/>
        </w:rPr>
        <w:t>/22</w:t>
      </w:r>
      <w:r w:rsidR="0090396E" w:rsidRPr="0090396E">
        <w:rPr>
          <w:rFonts w:cs="Calibri"/>
          <w:sz w:val="24"/>
          <w:szCs w:val="24"/>
        </w:rPr>
        <w:t xml:space="preserve"> rather than </w:t>
      </w:r>
      <w:r>
        <w:rPr>
          <w:rFonts w:cs="Calibri"/>
          <w:sz w:val="24"/>
          <w:szCs w:val="24"/>
        </w:rPr>
        <w:t xml:space="preserve">being </w:t>
      </w:r>
      <w:r w:rsidR="0090396E" w:rsidRPr="0090396E">
        <w:rPr>
          <w:rFonts w:cs="Calibri"/>
          <w:sz w:val="24"/>
          <w:szCs w:val="24"/>
        </w:rPr>
        <w:t>paid separately</w:t>
      </w:r>
      <w:r>
        <w:rPr>
          <w:rFonts w:cs="Calibri"/>
          <w:sz w:val="24"/>
          <w:szCs w:val="24"/>
        </w:rPr>
        <w:t xml:space="preserve">. The issue here is that the way </w:t>
      </w:r>
      <w:r w:rsidRPr="002F6B16">
        <w:rPr>
          <w:rFonts w:cs="Calibri"/>
          <w:sz w:val="24"/>
          <w:szCs w:val="24"/>
        </w:rPr>
        <w:t>teacher pay and pensions</w:t>
      </w:r>
      <w:r>
        <w:rPr>
          <w:rFonts w:cs="Calibri"/>
          <w:sz w:val="24"/>
          <w:szCs w:val="24"/>
        </w:rPr>
        <w:t xml:space="preserve"> costs are distributed to schools on a grant basis differs from funding funnelled through the national formula. However, the Local Authority has no choice except to follow the national formula methodology. </w:t>
      </w:r>
    </w:p>
    <w:p w14:paraId="032773F6" w14:textId="77777777" w:rsidR="002F6B16" w:rsidRDefault="002F6B16" w:rsidP="0090396E">
      <w:pPr>
        <w:pStyle w:val="NoSpacing"/>
        <w:rPr>
          <w:rFonts w:cs="Calibri"/>
          <w:sz w:val="24"/>
          <w:szCs w:val="24"/>
        </w:rPr>
      </w:pPr>
    </w:p>
    <w:p w14:paraId="1B984D81" w14:textId="77777777" w:rsidR="002F6B16" w:rsidRPr="002F6B16" w:rsidRDefault="002F6B16" w:rsidP="0090396E">
      <w:pPr>
        <w:pStyle w:val="NoSpacing"/>
        <w:rPr>
          <w:rFonts w:cs="Calibri"/>
          <w:b/>
          <w:sz w:val="24"/>
          <w:szCs w:val="24"/>
        </w:rPr>
      </w:pPr>
      <w:r w:rsidRPr="002F6B16">
        <w:rPr>
          <w:rFonts w:cs="Calibri"/>
          <w:b/>
          <w:sz w:val="24"/>
          <w:szCs w:val="24"/>
        </w:rPr>
        <w:t>Affordability</w:t>
      </w:r>
      <w:r w:rsidR="0022109D">
        <w:rPr>
          <w:rFonts w:cs="Calibri"/>
          <w:b/>
          <w:sz w:val="24"/>
          <w:szCs w:val="24"/>
        </w:rPr>
        <w:t xml:space="preserve"> – The Funding Gap</w:t>
      </w:r>
    </w:p>
    <w:p w14:paraId="3CE21CFE" w14:textId="77777777" w:rsidR="002F6B16" w:rsidRDefault="002F6B16" w:rsidP="0090396E">
      <w:pPr>
        <w:pStyle w:val="NoSpacing"/>
        <w:rPr>
          <w:rFonts w:cs="Calibri"/>
          <w:sz w:val="24"/>
          <w:szCs w:val="24"/>
        </w:rPr>
      </w:pPr>
    </w:p>
    <w:p w14:paraId="497EFF8F" w14:textId="77777777" w:rsidR="002F6B16" w:rsidRDefault="006A068E" w:rsidP="0090396E">
      <w:pPr>
        <w:pStyle w:val="NoSpacing"/>
        <w:rPr>
          <w:rFonts w:cs="Calibri"/>
          <w:sz w:val="24"/>
          <w:szCs w:val="24"/>
        </w:rPr>
      </w:pPr>
      <w:r>
        <w:rPr>
          <w:rFonts w:cs="Calibri"/>
          <w:sz w:val="24"/>
          <w:szCs w:val="24"/>
        </w:rPr>
        <w:t xml:space="preserve">Appendix 1 shows the summary from the APT, with the national formula applied and a MFG of 2% and results in a total cost of £1,002.769m. </w:t>
      </w:r>
    </w:p>
    <w:p w14:paraId="281EEF23" w14:textId="77777777" w:rsidR="006A068E" w:rsidRDefault="006A068E" w:rsidP="0090396E">
      <w:pPr>
        <w:pStyle w:val="NoSpacing"/>
        <w:rPr>
          <w:rFonts w:cs="Calibri"/>
          <w:sz w:val="24"/>
          <w:szCs w:val="24"/>
        </w:rPr>
      </w:pPr>
    </w:p>
    <w:p w14:paraId="45C8D18E" w14:textId="77777777" w:rsidR="006A068E" w:rsidRDefault="006A068E" w:rsidP="0090396E">
      <w:pPr>
        <w:pStyle w:val="NoSpacing"/>
        <w:rPr>
          <w:rFonts w:cs="Calibri"/>
          <w:sz w:val="24"/>
          <w:szCs w:val="24"/>
        </w:rPr>
      </w:pPr>
      <w:r>
        <w:rPr>
          <w:rFonts w:cs="Calibri"/>
          <w:sz w:val="24"/>
          <w:szCs w:val="24"/>
        </w:rPr>
        <w:t>However, after accounting for growth and falling rolls funding etc, there is only funding available of £</w:t>
      </w:r>
      <w:r w:rsidRPr="006A068E">
        <w:t xml:space="preserve"> </w:t>
      </w:r>
      <w:r>
        <w:rPr>
          <w:rFonts w:cs="Calibri"/>
          <w:sz w:val="24"/>
          <w:szCs w:val="24"/>
        </w:rPr>
        <w:t xml:space="preserve">996.486m  </w:t>
      </w:r>
    </w:p>
    <w:p w14:paraId="441C0522" w14:textId="77777777" w:rsidR="006A068E" w:rsidRDefault="006A068E" w:rsidP="0090396E">
      <w:pPr>
        <w:pStyle w:val="NoSpacing"/>
        <w:rPr>
          <w:rFonts w:cs="Calibri"/>
          <w:sz w:val="24"/>
          <w:szCs w:val="24"/>
        </w:rPr>
      </w:pPr>
    </w:p>
    <w:p w14:paraId="01FDCD4F" w14:textId="77777777" w:rsidR="006A068E" w:rsidRDefault="006A068E" w:rsidP="0090396E">
      <w:pPr>
        <w:pStyle w:val="NoSpacing"/>
        <w:rPr>
          <w:rFonts w:cs="Calibri"/>
          <w:sz w:val="24"/>
          <w:szCs w:val="24"/>
        </w:rPr>
      </w:pPr>
      <w:r>
        <w:rPr>
          <w:rFonts w:cs="Calibri"/>
          <w:sz w:val="24"/>
          <w:szCs w:val="24"/>
        </w:rPr>
        <w:t>This results in a shortfall of £6.283m.</w:t>
      </w:r>
    </w:p>
    <w:p w14:paraId="00BA0F05" w14:textId="77777777" w:rsidR="006A068E" w:rsidRDefault="006A068E" w:rsidP="0090396E">
      <w:pPr>
        <w:pStyle w:val="NoSpacing"/>
        <w:rPr>
          <w:rFonts w:cs="Calibri"/>
          <w:sz w:val="24"/>
          <w:szCs w:val="24"/>
        </w:rPr>
      </w:pPr>
    </w:p>
    <w:p w14:paraId="7CDED296" w14:textId="77777777" w:rsidR="0022109D" w:rsidRDefault="006A068E" w:rsidP="0090396E">
      <w:pPr>
        <w:pStyle w:val="NoSpacing"/>
        <w:rPr>
          <w:rFonts w:cs="Calibri"/>
          <w:sz w:val="24"/>
          <w:szCs w:val="24"/>
        </w:rPr>
      </w:pPr>
      <w:r>
        <w:rPr>
          <w:rFonts w:cs="Calibri"/>
          <w:sz w:val="24"/>
          <w:szCs w:val="24"/>
        </w:rPr>
        <w:t xml:space="preserve">The primary reason behind this shortfall in funding is because the numbers of pupils used by DfE to calculate the Dedicated Schools Grant allocation for 2021/22 (based on the October 2020 pupil census) </w:t>
      </w:r>
      <w:r w:rsidR="0022109D">
        <w:rPr>
          <w:rFonts w:cs="Calibri"/>
          <w:sz w:val="24"/>
          <w:szCs w:val="24"/>
        </w:rPr>
        <w:t xml:space="preserve">is 870 pupils fewer than the Authority forecasts need to be used in the 2021/22 formula (181,785 pupils in the local formula, compared with 180,915 used in DSG calculation). This is in addition to additional pupils expected and funded from the Growth Fund that the Schools Forum approved in December 2020.  </w:t>
      </w:r>
    </w:p>
    <w:p w14:paraId="0B41B5EE" w14:textId="77777777" w:rsidR="0022109D" w:rsidRDefault="0022109D" w:rsidP="0090396E">
      <w:pPr>
        <w:pStyle w:val="NoSpacing"/>
        <w:rPr>
          <w:rFonts w:cs="Calibri"/>
          <w:sz w:val="24"/>
          <w:szCs w:val="24"/>
        </w:rPr>
      </w:pPr>
    </w:p>
    <w:p w14:paraId="72ED326A" w14:textId="77777777" w:rsidR="002F6B16" w:rsidRDefault="0022109D" w:rsidP="0090396E">
      <w:pPr>
        <w:pStyle w:val="NoSpacing"/>
        <w:rPr>
          <w:rFonts w:cs="Calibri"/>
          <w:sz w:val="24"/>
          <w:szCs w:val="24"/>
        </w:rPr>
      </w:pPr>
      <w:r>
        <w:rPr>
          <w:rFonts w:cs="Calibri"/>
          <w:sz w:val="24"/>
          <w:szCs w:val="24"/>
        </w:rPr>
        <w:t xml:space="preserve">The characteristics of some of these pupils also means that the deprivation factors that these pupils attract is also under-represented in the DSG calculation. </w:t>
      </w:r>
    </w:p>
    <w:p w14:paraId="10B40D3D" w14:textId="77777777" w:rsidR="0022109D" w:rsidRDefault="0022109D" w:rsidP="0090396E">
      <w:pPr>
        <w:pStyle w:val="NoSpacing"/>
        <w:rPr>
          <w:rFonts w:cs="Calibri"/>
          <w:sz w:val="24"/>
          <w:szCs w:val="24"/>
        </w:rPr>
      </w:pPr>
    </w:p>
    <w:p w14:paraId="666C9308" w14:textId="77777777" w:rsidR="0022109D" w:rsidRDefault="0022109D" w:rsidP="0090396E">
      <w:pPr>
        <w:pStyle w:val="NoSpacing"/>
        <w:rPr>
          <w:rFonts w:cs="Calibri"/>
          <w:b/>
          <w:sz w:val="24"/>
          <w:szCs w:val="24"/>
        </w:rPr>
      </w:pPr>
      <w:r w:rsidRPr="0022109D">
        <w:rPr>
          <w:rFonts w:cs="Calibri"/>
          <w:b/>
          <w:sz w:val="24"/>
          <w:szCs w:val="24"/>
        </w:rPr>
        <w:t xml:space="preserve">Options to Resolve </w:t>
      </w:r>
      <w:proofErr w:type="gramStart"/>
      <w:r w:rsidRPr="0022109D">
        <w:rPr>
          <w:rFonts w:cs="Calibri"/>
          <w:b/>
          <w:sz w:val="24"/>
          <w:szCs w:val="24"/>
        </w:rPr>
        <w:t>The</w:t>
      </w:r>
      <w:proofErr w:type="gramEnd"/>
      <w:r w:rsidRPr="0022109D">
        <w:rPr>
          <w:rFonts w:cs="Calibri"/>
          <w:b/>
          <w:sz w:val="24"/>
          <w:szCs w:val="24"/>
        </w:rPr>
        <w:t xml:space="preserve"> </w:t>
      </w:r>
      <w:r>
        <w:rPr>
          <w:rFonts w:cs="Calibri"/>
          <w:b/>
          <w:sz w:val="24"/>
          <w:szCs w:val="24"/>
        </w:rPr>
        <w:t xml:space="preserve">Funding </w:t>
      </w:r>
      <w:r w:rsidRPr="0022109D">
        <w:rPr>
          <w:rFonts w:cs="Calibri"/>
          <w:b/>
          <w:sz w:val="24"/>
          <w:szCs w:val="24"/>
        </w:rPr>
        <w:t>Issue</w:t>
      </w:r>
    </w:p>
    <w:p w14:paraId="6E518ABF" w14:textId="77777777" w:rsidR="0022109D" w:rsidRDefault="0022109D" w:rsidP="0090396E">
      <w:pPr>
        <w:pStyle w:val="NoSpacing"/>
        <w:rPr>
          <w:rFonts w:cs="Calibri"/>
          <w:b/>
          <w:sz w:val="24"/>
          <w:szCs w:val="24"/>
        </w:rPr>
      </w:pPr>
    </w:p>
    <w:p w14:paraId="4944B05B" w14:textId="77777777" w:rsidR="0022109D" w:rsidRDefault="0022109D" w:rsidP="0090396E">
      <w:pPr>
        <w:pStyle w:val="NoSpacing"/>
        <w:rPr>
          <w:rFonts w:cs="Calibri"/>
          <w:sz w:val="24"/>
          <w:szCs w:val="24"/>
        </w:rPr>
      </w:pPr>
      <w:r w:rsidRPr="0022109D">
        <w:rPr>
          <w:rFonts w:cs="Calibri"/>
          <w:sz w:val="24"/>
          <w:szCs w:val="24"/>
        </w:rPr>
        <w:t>In order to make the formula affordable</w:t>
      </w:r>
      <w:r>
        <w:rPr>
          <w:rFonts w:cs="Calibri"/>
          <w:sz w:val="24"/>
          <w:szCs w:val="24"/>
        </w:rPr>
        <w:t xml:space="preserve"> there are two basic options:</w:t>
      </w:r>
    </w:p>
    <w:p w14:paraId="6B2E6D58" w14:textId="77777777" w:rsidR="0022109D" w:rsidRDefault="0022109D" w:rsidP="0090396E">
      <w:pPr>
        <w:pStyle w:val="NoSpacing"/>
        <w:rPr>
          <w:rFonts w:cs="Calibri"/>
          <w:sz w:val="24"/>
          <w:szCs w:val="24"/>
        </w:rPr>
      </w:pPr>
    </w:p>
    <w:p w14:paraId="6F25C473" w14:textId="77777777" w:rsidR="007614A4" w:rsidRPr="00925CDA" w:rsidRDefault="003F4AF3" w:rsidP="003F4AF3">
      <w:pPr>
        <w:numPr>
          <w:ilvl w:val="0"/>
          <w:numId w:val="43"/>
        </w:numPr>
        <w:rPr>
          <w:sz w:val="24"/>
          <w:szCs w:val="24"/>
        </w:rPr>
      </w:pPr>
      <w:r>
        <w:rPr>
          <w:sz w:val="24"/>
          <w:szCs w:val="24"/>
        </w:rPr>
        <w:t xml:space="preserve">OPTION 1 - </w:t>
      </w:r>
      <w:r w:rsidR="0022109D" w:rsidRPr="00925CDA">
        <w:rPr>
          <w:sz w:val="24"/>
          <w:szCs w:val="24"/>
        </w:rPr>
        <w:t xml:space="preserve">Set </w:t>
      </w:r>
      <w:r w:rsidR="007614A4" w:rsidRPr="00925CDA">
        <w:rPr>
          <w:sz w:val="24"/>
          <w:szCs w:val="24"/>
        </w:rPr>
        <w:t>a MFG of 0.66%</w:t>
      </w:r>
      <w:r w:rsidR="0022109D" w:rsidRPr="00925CDA">
        <w:rPr>
          <w:sz w:val="24"/>
          <w:szCs w:val="24"/>
        </w:rPr>
        <w:t xml:space="preserve"> </w:t>
      </w:r>
      <w:r w:rsidR="007614A4" w:rsidRPr="00925CDA">
        <w:rPr>
          <w:sz w:val="24"/>
          <w:szCs w:val="24"/>
        </w:rPr>
        <w:t xml:space="preserve">(assuming we don’t cap </w:t>
      </w:r>
      <w:r w:rsidR="0022109D" w:rsidRPr="00925CDA">
        <w:rPr>
          <w:sz w:val="24"/>
          <w:szCs w:val="24"/>
        </w:rPr>
        <w:t xml:space="preserve">schools that gain more than that figure) </w:t>
      </w:r>
    </w:p>
    <w:p w14:paraId="16EE56CE" w14:textId="77777777" w:rsidR="007614A4" w:rsidRDefault="003F4AF3" w:rsidP="003F4AF3">
      <w:pPr>
        <w:numPr>
          <w:ilvl w:val="0"/>
          <w:numId w:val="43"/>
        </w:numPr>
        <w:rPr>
          <w:sz w:val="24"/>
          <w:szCs w:val="24"/>
        </w:rPr>
      </w:pPr>
      <w:r>
        <w:rPr>
          <w:sz w:val="24"/>
          <w:szCs w:val="24"/>
        </w:rPr>
        <w:t xml:space="preserve">OPTION 2 - </w:t>
      </w:r>
      <w:r w:rsidR="0022109D" w:rsidRPr="00925CDA">
        <w:rPr>
          <w:sz w:val="24"/>
          <w:szCs w:val="24"/>
        </w:rPr>
        <w:t xml:space="preserve">Set the maximum </w:t>
      </w:r>
      <w:r w:rsidR="007614A4" w:rsidRPr="00925CDA">
        <w:rPr>
          <w:sz w:val="24"/>
          <w:szCs w:val="24"/>
        </w:rPr>
        <w:t xml:space="preserve">MFG </w:t>
      </w:r>
      <w:r w:rsidR="0022109D" w:rsidRPr="00925CDA">
        <w:rPr>
          <w:sz w:val="24"/>
          <w:szCs w:val="24"/>
        </w:rPr>
        <w:t xml:space="preserve">we can afford that also </w:t>
      </w:r>
      <w:r w:rsidR="007614A4" w:rsidRPr="00925CDA">
        <w:rPr>
          <w:sz w:val="24"/>
          <w:szCs w:val="24"/>
        </w:rPr>
        <w:t>involve</w:t>
      </w:r>
      <w:r w:rsidR="0022109D" w:rsidRPr="00925CDA">
        <w:rPr>
          <w:sz w:val="24"/>
          <w:szCs w:val="24"/>
        </w:rPr>
        <w:t>s</w:t>
      </w:r>
      <w:r w:rsidR="007614A4" w:rsidRPr="00925CDA">
        <w:rPr>
          <w:sz w:val="24"/>
          <w:szCs w:val="24"/>
        </w:rPr>
        <w:t xml:space="preserve"> capping gainers too – so the minimum </w:t>
      </w:r>
      <w:r w:rsidR="0022109D" w:rsidRPr="00925CDA">
        <w:rPr>
          <w:sz w:val="24"/>
          <w:szCs w:val="24"/>
        </w:rPr>
        <w:t xml:space="preserve">funding guarantee per pupil also becomes the </w:t>
      </w:r>
      <w:proofErr w:type="gramStart"/>
      <w:r w:rsidR="007614A4" w:rsidRPr="00925CDA">
        <w:rPr>
          <w:sz w:val="24"/>
          <w:szCs w:val="24"/>
        </w:rPr>
        <w:t>max</w:t>
      </w:r>
      <w:r w:rsidR="0022109D" w:rsidRPr="00925CDA">
        <w:rPr>
          <w:sz w:val="24"/>
          <w:szCs w:val="24"/>
        </w:rPr>
        <w:t xml:space="preserve">imum </w:t>
      </w:r>
      <w:r w:rsidR="007614A4" w:rsidRPr="00925CDA">
        <w:rPr>
          <w:sz w:val="24"/>
          <w:szCs w:val="24"/>
        </w:rPr>
        <w:t xml:space="preserve"> </w:t>
      </w:r>
      <w:r w:rsidR="0022109D" w:rsidRPr="00925CDA">
        <w:rPr>
          <w:sz w:val="24"/>
          <w:szCs w:val="24"/>
        </w:rPr>
        <w:t>funding</w:t>
      </w:r>
      <w:proofErr w:type="gramEnd"/>
      <w:r w:rsidR="0022109D" w:rsidRPr="00925CDA">
        <w:rPr>
          <w:sz w:val="24"/>
          <w:szCs w:val="24"/>
        </w:rPr>
        <w:t xml:space="preserve"> guarantee per pupil too. </w:t>
      </w:r>
      <w:r w:rsidR="007614A4" w:rsidRPr="00925CDA">
        <w:rPr>
          <w:sz w:val="24"/>
          <w:szCs w:val="24"/>
        </w:rPr>
        <w:t xml:space="preserve"> Those who would gain more</w:t>
      </w:r>
      <w:r w:rsidR="0022109D" w:rsidRPr="00925CDA">
        <w:rPr>
          <w:sz w:val="24"/>
          <w:szCs w:val="24"/>
        </w:rPr>
        <w:t xml:space="preserve"> (had the MFG been set lower)</w:t>
      </w:r>
      <w:r w:rsidR="007614A4" w:rsidRPr="00925CDA">
        <w:rPr>
          <w:sz w:val="24"/>
          <w:szCs w:val="24"/>
        </w:rPr>
        <w:t xml:space="preserve"> have their gains capped. </w:t>
      </w:r>
      <w:r w:rsidR="00925CDA">
        <w:rPr>
          <w:sz w:val="24"/>
          <w:szCs w:val="24"/>
        </w:rPr>
        <w:t>The maximum we can afford here is 1.91%.</w:t>
      </w:r>
    </w:p>
    <w:p w14:paraId="5084ED62" w14:textId="77777777" w:rsidR="00925CDA" w:rsidRDefault="00925CDA" w:rsidP="007614A4">
      <w:pPr>
        <w:rPr>
          <w:sz w:val="24"/>
          <w:szCs w:val="24"/>
        </w:rPr>
      </w:pPr>
      <w:r>
        <w:rPr>
          <w:sz w:val="24"/>
          <w:szCs w:val="24"/>
        </w:rPr>
        <w:t xml:space="preserve">The impact of these (using the same ATP output) is shown in Appendices 2 and 3. </w:t>
      </w:r>
    </w:p>
    <w:p w14:paraId="1693AC8F" w14:textId="77777777" w:rsidR="00925CDA" w:rsidRDefault="00925CDA" w:rsidP="007614A4">
      <w:pPr>
        <w:rPr>
          <w:sz w:val="24"/>
          <w:szCs w:val="24"/>
        </w:rPr>
      </w:pPr>
      <w:r>
        <w:rPr>
          <w:sz w:val="24"/>
          <w:szCs w:val="24"/>
        </w:rPr>
        <w:lastRenderedPageBreak/>
        <w:t xml:space="preserve">In addition, to demonstrate the impact of these proposals, two real life (although anonymised) examples have been </w:t>
      </w:r>
      <w:r w:rsidR="001C0694">
        <w:rPr>
          <w:sz w:val="24"/>
          <w:szCs w:val="24"/>
        </w:rPr>
        <w:t>overleaf.</w:t>
      </w:r>
    </w:p>
    <w:p w14:paraId="3A4FA944" w14:textId="77777777" w:rsidR="001C0694" w:rsidRDefault="001C0694" w:rsidP="001C0694">
      <w:pPr>
        <w:numPr>
          <w:ilvl w:val="0"/>
          <w:numId w:val="42"/>
        </w:numPr>
        <w:rPr>
          <w:sz w:val="24"/>
          <w:szCs w:val="24"/>
        </w:rPr>
      </w:pPr>
      <w:r>
        <w:rPr>
          <w:sz w:val="24"/>
          <w:szCs w:val="24"/>
        </w:rPr>
        <w:t>A school with rapidly growing pupils gains more from a lower MFG and no cap. This is to be expected because there is no “</w:t>
      </w:r>
      <w:proofErr w:type="spellStart"/>
      <w:r>
        <w:rPr>
          <w:sz w:val="24"/>
          <w:szCs w:val="24"/>
        </w:rPr>
        <w:t>clawback”or</w:t>
      </w:r>
      <w:proofErr w:type="spellEnd"/>
      <w:r>
        <w:rPr>
          <w:sz w:val="24"/>
          <w:szCs w:val="24"/>
        </w:rPr>
        <w:t xml:space="preserve"> cap on the funding gains derived from the increased number of pupils. In this example, the rapidly growing school gains £781k. However, with a maximum gain of 1.91% per pupil, the same school only loses £23k (relative to the £781k gain).</w:t>
      </w:r>
    </w:p>
    <w:p w14:paraId="1D1D5BD7" w14:textId="77777777" w:rsidR="001C0694" w:rsidRDefault="001C0694" w:rsidP="001C0694">
      <w:pPr>
        <w:numPr>
          <w:ilvl w:val="0"/>
          <w:numId w:val="42"/>
        </w:numPr>
        <w:rPr>
          <w:sz w:val="24"/>
          <w:szCs w:val="24"/>
        </w:rPr>
      </w:pPr>
      <w:r>
        <w:rPr>
          <w:sz w:val="24"/>
          <w:szCs w:val="24"/>
        </w:rPr>
        <w:t>Conversely, a school rapidly losing pupils, under the 0.66% MFG is being relatively unsupported by that mechanism and so loses £238k. With a more generous MFG of 1.91%, the loss is reduced – in this case, by £47k. Of course, that reduction i</w:t>
      </w:r>
      <w:r w:rsidR="003F4AF3">
        <w:rPr>
          <w:sz w:val="24"/>
          <w:szCs w:val="24"/>
        </w:rPr>
        <w:t>n the funding</w:t>
      </w:r>
      <w:r>
        <w:rPr>
          <w:sz w:val="24"/>
          <w:szCs w:val="24"/>
        </w:rPr>
        <w:t xml:space="preserve"> loss is coming from those schools with rapidly rising pupils.   </w:t>
      </w:r>
    </w:p>
    <w:p w14:paraId="0A58FB2F" w14:textId="77777777" w:rsidR="0027388F" w:rsidRDefault="001C0694" w:rsidP="007614A4">
      <w:pPr>
        <w:rPr>
          <w:sz w:val="24"/>
          <w:szCs w:val="24"/>
        </w:rPr>
      </w:pPr>
      <w:r>
        <w:rPr>
          <w:sz w:val="24"/>
          <w:szCs w:val="24"/>
        </w:rPr>
        <w:t>Where schools are rapidly expanding and this is known and has been planned for then it is recognised and reflected in</w:t>
      </w:r>
      <w:r w:rsidR="0027388F">
        <w:rPr>
          <w:sz w:val="24"/>
          <w:szCs w:val="24"/>
        </w:rPr>
        <w:t xml:space="preserve"> the mainstream formula and so is not also separately funded from the Growth Fund (as that would be double funding). The Growth Fund primarily covers other, additional in-year growth not forecast when the formula is finalised. </w:t>
      </w:r>
      <w:proofErr w:type="gramStart"/>
      <w:r w:rsidR="0027388F">
        <w:rPr>
          <w:sz w:val="24"/>
          <w:szCs w:val="24"/>
        </w:rPr>
        <w:t>Conversely,  we</w:t>
      </w:r>
      <w:proofErr w:type="gramEnd"/>
      <w:r w:rsidR="0027388F">
        <w:rPr>
          <w:sz w:val="24"/>
          <w:szCs w:val="24"/>
        </w:rPr>
        <w:t xml:space="preserve"> would expect any falling rolls funding to also take th</w:t>
      </w:r>
      <w:r w:rsidR="003F4AF3">
        <w:rPr>
          <w:sz w:val="24"/>
          <w:szCs w:val="24"/>
        </w:rPr>
        <w:t xml:space="preserve">e impact of the MFG highlighted above </w:t>
      </w:r>
      <w:r w:rsidR="0027388F">
        <w:rPr>
          <w:sz w:val="24"/>
          <w:szCs w:val="24"/>
        </w:rPr>
        <w:t xml:space="preserve"> into account. </w:t>
      </w:r>
    </w:p>
    <w:p w14:paraId="12A8F6C5" w14:textId="77777777" w:rsidR="0027388F" w:rsidRDefault="0027388F" w:rsidP="007614A4">
      <w:pPr>
        <w:rPr>
          <w:b/>
          <w:sz w:val="24"/>
          <w:szCs w:val="24"/>
        </w:rPr>
      </w:pPr>
      <w:r w:rsidRPr="0027388F">
        <w:rPr>
          <w:b/>
          <w:sz w:val="24"/>
          <w:szCs w:val="24"/>
        </w:rPr>
        <w:t xml:space="preserve">Conclusions  </w:t>
      </w:r>
    </w:p>
    <w:p w14:paraId="770F9BFC" w14:textId="77777777" w:rsidR="0027388F" w:rsidRPr="003F4AF3" w:rsidRDefault="0027388F" w:rsidP="0027388F">
      <w:pPr>
        <w:rPr>
          <w:sz w:val="24"/>
          <w:szCs w:val="24"/>
        </w:rPr>
      </w:pPr>
      <w:r w:rsidRPr="003F4AF3">
        <w:rPr>
          <w:sz w:val="24"/>
          <w:szCs w:val="24"/>
        </w:rPr>
        <w:t xml:space="preserve">It is for the Forum to decide on which option (0.66% with no cap; or a 1.91% funding guarantee that acts as both the minimum and maximum factor) to implement. However, the Technical Sub Group highlighted that generally the policy of the Local Authority and the Schools Forum was to design a funding system that protected schools facing sudden reductions in funding. The situation is exacerbated this year as the </w:t>
      </w:r>
      <w:proofErr w:type="spellStart"/>
      <w:r w:rsidRPr="003F4AF3">
        <w:rPr>
          <w:sz w:val="24"/>
          <w:szCs w:val="24"/>
        </w:rPr>
        <w:t>teachers</w:t>
      </w:r>
      <w:proofErr w:type="spellEnd"/>
      <w:r w:rsidRPr="003F4AF3">
        <w:rPr>
          <w:sz w:val="24"/>
          <w:szCs w:val="24"/>
        </w:rPr>
        <w:t xml:space="preserve"> pay and pensions grant has been rolled into the overall funding mechanism, so all schools are facing higher levels of cost pressures and, therefore, need as much funding protection as possible.</w:t>
      </w:r>
    </w:p>
    <w:p w14:paraId="2CE00A22" w14:textId="77777777" w:rsidR="0027388F" w:rsidRPr="003F4AF3" w:rsidRDefault="0027388F" w:rsidP="0027388F">
      <w:pPr>
        <w:rPr>
          <w:b/>
          <w:sz w:val="24"/>
          <w:szCs w:val="24"/>
        </w:rPr>
      </w:pPr>
      <w:r w:rsidRPr="003F4AF3">
        <w:rPr>
          <w:b/>
          <w:sz w:val="24"/>
          <w:szCs w:val="24"/>
        </w:rPr>
        <w:t>For Decision:</w:t>
      </w:r>
    </w:p>
    <w:p w14:paraId="29F1904C" w14:textId="77777777" w:rsidR="001C0694" w:rsidRPr="003F4AF3" w:rsidRDefault="002E5915" w:rsidP="007614A4">
      <w:pPr>
        <w:rPr>
          <w:b/>
          <w:sz w:val="24"/>
          <w:szCs w:val="24"/>
        </w:rPr>
      </w:pPr>
      <w:r w:rsidRPr="003F4AF3">
        <w:rPr>
          <w:b/>
          <w:sz w:val="24"/>
          <w:szCs w:val="24"/>
        </w:rPr>
        <w:t xml:space="preserve">OPTION 1 - </w:t>
      </w:r>
      <w:r w:rsidR="0027388F" w:rsidRPr="003F4AF3">
        <w:rPr>
          <w:b/>
          <w:sz w:val="24"/>
          <w:szCs w:val="24"/>
        </w:rPr>
        <w:t xml:space="preserve">Implement a Minimum Funding Guarantee of 0.66% (with a presumption that schools that gain more than that do not have </w:t>
      </w:r>
      <w:r w:rsidR="00CA391F" w:rsidRPr="003F4AF3">
        <w:rPr>
          <w:b/>
          <w:sz w:val="24"/>
          <w:szCs w:val="24"/>
        </w:rPr>
        <w:t>any of those gains capped)</w:t>
      </w:r>
    </w:p>
    <w:p w14:paraId="33397433" w14:textId="77777777" w:rsidR="00CA391F" w:rsidRPr="003F4AF3" w:rsidRDefault="00CA391F" w:rsidP="007614A4">
      <w:pPr>
        <w:rPr>
          <w:b/>
          <w:sz w:val="24"/>
          <w:szCs w:val="24"/>
        </w:rPr>
      </w:pPr>
      <w:r w:rsidRPr="003F4AF3">
        <w:rPr>
          <w:b/>
          <w:sz w:val="24"/>
          <w:szCs w:val="24"/>
        </w:rPr>
        <w:t>Or</w:t>
      </w:r>
    </w:p>
    <w:p w14:paraId="3E2B9208" w14:textId="77777777" w:rsidR="00CA391F" w:rsidRPr="003F4AF3" w:rsidRDefault="002E5915" w:rsidP="007614A4">
      <w:pPr>
        <w:rPr>
          <w:b/>
          <w:sz w:val="24"/>
          <w:szCs w:val="24"/>
        </w:rPr>
      </w:pPr>
      <w:r w:rsidRPr="003F4AF3">
        <w:rPr>
          <w:b/>
          <w:sz w:val="24"/>
          <w:szCs w:val="24"/>
        </w:rPr>
        <w:t xml:space="preserve">OPTION 2 - </w:t>
      </w:r>
      <w:r w:rsidR="00CA391F" w:rsidRPr="003F4AF3">
        <w:rPr>
          <w:b/>
          <w:sz w:val="24"/>
          <w:szCs w:val="24"/>
        </w:rPr>
        <w:t>Set a Funding Guarantee of 1.91%</w:t>
      </w:r>
      <w:r w:rsidR="00CA391F" w:rsidRPr="003F4AF3">
        <w:rPr>
          <w:rStyle w:val="FootnoteReference"/>
          <w:b/>
          <w:sz w:val="24"/>
          <w:szCs w:val="24"/>
        </w:rPr>
        <w:footnoteReference w:id="1"/>
      </w:r>
      <w:r w:rsidR="00CA391F" w:rsidRPr="003F4AF3">
        <w:rPr>
          <w:b/>
          <w:sz w:val="24"/>
          <w:szCs w:val="24"/>
        </w:rPr>
        <w:t xml:space="preserve"> that acts as an overall minimum and maximum factor </w:t>
      </w:r>
    </w:p>
    <w:p w14:paraId="288E1E04" w14:textId="77777777" w:rsidR="00CA391F" w:rsidRPr="003F4AF3" w:rsidRDefault="00CA391F" w:rsidP="007614A4">
      <w:pPr>
        <w:rPr>
          <w:sz w:val="24"/>
          <w:szCs w:val="24"/>
        </w:rPr>
        <w:sectPr w:rsidR="00CA391F" w:rsidRPr="003F4AF3" w:rsidSect="001A131F">
          <w:headerReference w:type="even" r:id="rId10"/>
          <w:headerReference w:type="default" r:id="rId11"/>
          <w:footerReference w:type="even" r:id="rId12"/>
          <w:footerReference w:type="default" r:id="rId13"/>
          <w:headerReference w:type="first" r:id="rId14"/>
          <w:footerReference w:type="first" r:id="rId15"/>
          <w:pgSz w:w="11906" w:h="16838"/>
          <w:pgMar w:top="1079" w:right="1274" w:bottom="1440" w:left="1440" w:header="708" w:footer="708" w:gutter="0"/>
          <w:cols w:space="708"/>
          <w:docGrid w:linePitch="360"/>
        </w:sectPr>
      </w:pPr>
    </w:p>
    <w:p w14:paraId="6F224283" w14:textId="13DC2FC9" w:rsidR="00CA391F" w:rsidRDefault="001400FE" w:rsidP="007614A4">
      <w:pPr>
        <w:pStyle w:val="NoSpacing"/>
        <w:rPr>
          <w:rFonts w:cs="Calibri"/>
          <w:sz w:val="24"/>
          <w:szCs w:val="24"/>
        </w:rPr>
        <w:sectPr w:rsidR="00CA391F" w:rsidSect="001C0694">
          <w:pgSz w:w="16838" w:h="11906" w:orient="landscape"/>
          <w:pgMar w:top="2408" w:right="1440" w:bottom="1440" w:left="1079" w:header="708" w:footer="708" w:gutter="0"/>
          <w:cols w:space="708"/>
          <w:docGrid w:linePitch="360"/>
        </w:sectPr>
      </w:pPr>
      <w:r>
        <w:rPr>
          <w:noProof/>
        </w:rPr>
        <w:lastRenderedPageBreak/>
        <w:drawing>
          <wp:inline distT="0" distB="0" distL="0" distR="0" wp14:anchorId="17F1DBED" wp14:editId="15759CC6">
            <wp:extent cx="9086850" cy="3686175"/>
            <wp:effectExtent l="0" t="0" r="0" b="0"/>
            <wp:docPr id="2" name="Picture 2" descr="Picture of 2 tables, option 1 and 2 of Minimum Funding Guaran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2 tables, option 1 and 2 of Minimum Funding Guarant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6850" cy="3686175"/>
                    </a:xfrm>
                    <a:prstGeom prst="rect">
                      <a:avLst/>
                    </a:prstGeom>
                    <a:noFill/>
                    <a:ln>
                      <a:noFill/>
                    </a:ln>
                  </pic:spPr>
                </pic:pic>
              </a:graphicData>
            </a:graphic>
          </wp:inline>
        </w:drawing>
      </w:r>
    </w:p>
    <w:p w14:paraId="105E8B3C" w14:textId="77777777" w:rsidR="001A131F" w:rsidRDefault="002E5915" w:rsidP="007614A4">
      <w:pPr>
        <w:pStyle w:val="NoSpacing"/>
      </w:pPr>
      <w:r>
        <w:lastRenderedPageBreak/>
        <w:t xml:space="preserve">Appendix 1 – Shows 2% MFG is unaffordable </w:t>
      </w:r>
    </w:p>
    <w:p w14:paraId="16104927" w14:textId="77777777" w:rsidR="002E5915" w:rsidRDefault="002E5915" w:rsidP="007614A4">
      <w:pPr>
        <w:pStyle w:val="NoSpacing"/>
      </w:pPr>
    </w:p>
    <w:p w14:paraId="09D3142B" w14:textId="3DCAD524" w:rsidR="002E5915" w:rsidRDefault="001400FE" w:rsidP="007614A4">
      <w:pPr>
        <w:pStyle w:val="NoSpacing"/>
      </w:pPr>
      <w:r>
        <w:rPr>
          <w:noProof/>
        </w:rPr>
        <w:drawing>
          <wp:inline distT="0" distB="0" distL="0" distR="0" wp14:anchorId="348ECD78" wp14:editId="3A0BC2C6">
            <wp:extent cx="5476875" cy="7991475"/>
            <wp:effectExtent l="0" t="0" r="0" b="0"/>
            <wp:docPr id="3" name="Picture 3" descr="picture of a table showing 2% MFG is unaffor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a table showing 2% MFG is unaffordab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6875" cy="7991475"/>
                    </a:xfrm>
                    <a:prstGeom prst="rect">
                      <a:avLst/>
                    </a:prstGeom>
                    <a:noFill/>
                    <a:ln>
                      <a:noFill/>
                    </a:ln>
                  </pic:spPr>
                </pic:pic>
              </a:graphicData>
            </a:graphic>
          </wp:inline>
        </w:drawing>
      </w:r>
    </w:p>
    <w:p w14:paraId="01B9758A" w14:textId="77777777" w:rsidR="001A131F" w:rsidRDefault="001A131F" w:rsidP="001A131F"/>
    <w:p w14:paraId="42DEE049" w14:textId="290DBB9F" w:rsidR="007614A4" w:rsidRDefault="002E5915" w:rsidP="001A131F">
      <w:pPr>
        <w:rPr>
          <w:rFonts w:cs="Calibri"/>
          <w:sz w:val="24"/>
          <w:szCs w:val="24"/>
        </w:rPr>
      </w:pPr>
      <w:r>
        <w:lastRenderedPageBreak/>
        <w:t xml:space="preserve">Appendix 2 – Shows Option 1 – MFG at 0.66% </w:t>
      </w:r>
      <w:r w:rsidR="001400FE">
        <w:rPr>
          <w:noProof/>
        </w:rPr>
        <w:drawing>
          <wp:inline distT="0" distB="0" distL="0" distR="0" wp14:anchorId="656D3B2D" wp14:editId="4694FEE4">
            <wp:extent cx="5810250" cy="8601075"/>
            <wp:effectExtent l="0" t="0" r="0" b="0"/>
            <wp:docPr id="4" name="Picture 4" descr="Picture of Option 1 MFG at 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Option 1 MFG at 0.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0" cy="8601075"/>
                    </a:xfrm>
                    <a:prstGeom prst="rect">
                      <a:avLst/>
                    </a:prstGeom>
                    <a:noFill/>
                    <a:ln>
                      <a:noFill/>
                    </a:ln>
                  </pic:spPr>
                </pic:pic>
              </a:graphicData>
            </a:graphic>
          </wp:inline>
        </w:drawing>
      </w:r>
    </w:p>
    <w:p w14:paraId="7B4F305A" w14:textId="77777777" w:rsidR="00CA391F" w:rsidRDefault="002E5915" w:rsidP="007614A4">
      <w:pPr>
        <w:pStyle w:val="NoSpacing"/>
        <w:rPr>
          <w:rFonts w:cs="Calibri"/>
          <w:sz w:val="24"/>
          <w:szCs w:val="24"/>
        </w:rPr>
      </w:pPr>
      <w:r>
        <w:lastRenderedPageBreak/>
        <w:t>Appendix 3 – Shows Option 2 (MFG at 1.91% with gains above that capped at 1.91%)</w:t>
      </w:r>
    </w:p>
    <w:p w14:paraId="27FEE9C1" w14:textId="0A53161D" w:rsidR="00CA391F" w:rsidRPr="007614A4" w:rsidRDefault="001400FE" w:rsidP="007614A4">
      <w:pPr>
        <w:pStyle w:val="NoSpacing"/>
        <w:rPr>
          <w:rFonts w:cs="Calibri"/>
          <w:sz w:val="24"/>
          <w:szCs w:val="24"/>
        </w:rPr>
      </w:pPr>
      <w:r>
        <w:rPr>
          <w:noProof/>
        </w:rPr>
        <w:drawing>
          <wp:inline distT="0" distB="0" distL="0" distR="0" wp14:anchorId="2A840B3C" wp14:editId="6821A12A">
            <wp:extent cx="5695950" cy="8543925"/>
            <wp:effectExtent l="0" t="0" r="0" b="0"/>
            <wp:docPr id="5" name="Picture 5" descr="Picture showing option 2 MFG at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showing option 2 MFG at 1.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95950" cy="8543925"/>
                    </a:xfrm>
                    <a:prstGeom prst="rect">
                      <a:avLst/>
                    </a:prstGeom>
                    <a:noFill/>
                    <a:ln>
                      <a:noFill/>
                    </a:ln>
                  </pic:spPr>
                </pic:pic>
              </a:graphicData>
            </a:graphic>
          </wp:inline>
        </w:drawing>
      </w:r>
    </w:p>
    <w:sectPr w:rsidR="00CA391F" w:rsidRPr="007614A4" w:rsidSect="00CA391F">
      <w:pgSz w:w="11906" w:h="16838"/>
      <w:pgMar w:top="1079" w:right="24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B8EA" w14:textId="77777777" w:rsidR="00F57C53" w:rsidRDefault="00F57C53" w:rsidP="00714D13">
      <w:r>
        <w:separator/>
      </w:r>
    </w:p>
  </w:endnote>
  <w:endnote w:type="continuationSeparator" w:id="0">
    <w:p w14:paraId="506BD7BF" w14:textId="77777777" w:rsidR="00F57C53" w:rsidRDefault="00F57C53"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37C0" w14:textId="77777777" w:rsidR="00FD1261" w:rsidRDefault="00FD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B556" w14:textId="77777777" w:rsidR="00FD1261" w:rsidRDefault="00FD1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FCF6" w14:textId="77777777" w:rsidR="00FD1261" w:rsidRDefault="00FD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0E2B" w14:textId="77777777" w:rsidR="00F57C53" w:rsidRDefault="00F57C53" w:rsidP="00714D13">
      <w:r>
        <w:separator/>
      </w:r>
    </w:p>
  </w:footnote>
  <w:footnote w:type="continuationSeparator" w:id="0">
    <w:p w14:paraId="5F19A286" w14:textId="77777777" w:rsidR="00F57C53" w:rsidRDefault="00F57C53" w:rsidP="00714D13">
      <w:r>
        <w:continuationSeparator/>
      </w:r>
    </w:p>
  </w:footnote>
  <w:footnote w:id="1">
    <w:p w14:paraId="286FB3AC" w14:textId="77777777" w:rsidR="00CA391F" w:rsidRDefault="00CA391F">
      <w:pPr>
        <w:pStyle w:val="FootnoteText"/>
      </w:pPr>
      <w:r>
        <w:rPr>
          <w:rStyle w:val="FootnoteReference"/>
        </w:rPr>
        <w:footnoteRef/>
      </w:r>
      <w:r>
        <w:t xml:space="preserve"> NB final figures may need to go to more than two decimal places, to ensure overall funding affo</w:t>
      </w:r>
      <w:r w:rsidR="001A131F">
        <w:t>r</w:t>
      </w:r>
      <w:r>
        <w:t>dability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78C9" w14:textId="77777777" w:rsidR="00FD1261" w:rsidRDefault="00FD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146B" w14:textId="77777777" w:rsidR="00FD1261" w:rsidRDefault="00FD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7E31" w14:textId="77777777" w:rsidR="00FD1261" w:rsidRDefault="00FD1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E9"/>
    <w:multiLevelType w:val="hybridMultilevel"/>
    <w:tmpl w:val="EAFC6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90127B"/>
    <w:multiLevelType w:val="hybridMultilevel"/>
    <w:tmpl w:val="3F783D36"/>
    <w:lvl w:ilvl="0" w:tplc="1268981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93F2F4A"/>
    <w:multiLevelType w:val="hybridMultilevel"/>
    <w:tmpl w:val="AF46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D56ACF"/>
    <w:multiLevelType w:val="hybridMultilevel"/>
    <w:tmpl w:val="C60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F7934"/>
    <w:multiLevelType w:val="hybridMultilevel"/>
    <w:tmpl w:val="0D9207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07497"/>
    <w:multiLevelType w:val="hybridMultilevel"/>
    <w:tmpl w:val="09488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67583B"/>
    <w:multiLevelType w:val="hybridMultilevel"/>
    <w:tmpl w:val="38EE724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16F1E"/>
    <w:multiLevelType w:val="hybridMultilevel"/>
    <w:tmpl w:val="62527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B1C1C"/>
    <w:multiLevelType w:val="hybridMultilevel"/>
    <w:tmpl w:val="4BB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34B65"/>
    <w:multiLevelType w:val="hybridMultilevel"/>
    <w:tmpl w:val="716CA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E5015D"/>
    <w:multiLevelType w:val="hybridMultilevel"/>
    <w:tmpl w:val="2712491E"/>
    <w:lvl w:ilvl="0" w:tplc="08090001">
      <w:start w:val="1"/>
      <w:numFmt w:val="bullet"/>
      <w:lvlText w:val=""/>
      <w:lvlJc w:val="left"/>
      <w:pPr>
        <w:ind w:left="360" w:hanging="360"/>
      </w:pPr>
      <w:rPr>
        <w:rFonts w:ascii="Symbol" w:hAnsi="Symbol" w:hint="default"/>
      </w:rPr>
    </w:lvl>
    <w:lvl w:ilvl="1" w:tplc="8B22350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1E0516"/>
    <w:multiLevelType w:val="hybridMultilevel"/>
    <w:tmpl w:val="A30EE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6F1608"/>
    <w:multiLevelType w:val="hybridMultilevel"/>
    <w:tmpl w:val="203E3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100485"/>
    <w:multiLevelType w:val="hybridMultilevel"/>
    <w:tmpl w:val="8A0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41FAD"/>
    <w:multiLevelType w:val="hybridMultilevel"/>
    <w:tmpl w:val="D0C828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ECD0A">
      <w:start w:val="1"/>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9"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F37E12"/>
    <w:multiLevelType w:val="hybridMultilevel"/>
    <w:tmpl w:val="B69E3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1A08F8"/>
    <w:multiLevelType w:val="hybridMultilevel"/>
    <w:tmpl w:val="A55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40D5E"/>
    <w:multiLevelType w:val="hybridMultilevel"/>
    <w:tmpl w:val="258255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B25D23"/>
    <w:multiLevelType w:val="hybridMultilevel"/>
    <w:tmpl w:val="BC9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23BD8"/>
    <w:multiLevelType w:val="hybridMultilevel"/>
    <w:tmpl w:val="647670B4"/>
    <w:lvl w:ilvl="0" w:tplc="4ACE22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3E24DD"/>
    <w:multiLevelType w:val="hybridMultilevel"/>
    <w:tmpl w:val="CB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27"/>
  </w:num>
  <w:num w:numId="4">
    <w:abstractNumId w:val="1"/>
  </w:num>
  <w:num w:numId="5">
    <w:abstractNumId w:val="3"/>
  </w:num>
  <w:num w:numId="6">
    <w:abstractNumId w:val="36"/>
  </w:num>
  <w:num w:numId="7">
    <w:abstractNumId w:val="12"/>
  </w:num>
  <w:num w:numId="8">
    <w:abstractNumId w:val="2"/>
  </w:num>
  <w:num w:numId="9">
    <w:abstractNumId w:val="30"/>
  </w:num>
  <w:num w:numId="10">
    <w:abstractNumId w:val="16"/>
  </w:num>
  <w:num w:numId="11">
    <w:abstractNumId w:val="29"/>
  </w:num>
  <w:num w:numId="12">
    <w:abstractNumId w:val="5"/>
  </w:num>
  <w:num w:numId="13">
    <w:abstractNumId w:val="34"/>
  </w:num>
  <w:num w:numId="14">
    <w:abstractNumId w:val="18"/>
  </w:num>
  <w:num w:numId="15">
    <w:abstractNumId w:val="6"/>
  </w:num>
  <w:num w:numId="16">
    <w:abstractNumId w:val="31"/>
  </w:num>
  <w:num w:numId="17">
    <w:abstractNumId w:val="37"/>
  </w:num>
  <w:num w:numId="18">
    <w:abstractNumId w:val="11"/>
  </w:num>
  <w:num w:numId="19">
    <w:abstractNumId w:val="23"/>
  </w:num>
  <w:num w:numId="20">
    <w:abstractNumId w:val="40"/>
  </w:num>
  <w:num w:numId="21">
    <w:abstractNumId w:val="13"/>
  </w:num>
  <w:num w:numId="22">
    <w:abstractNumId w:val="8"/>
  </w:num>
  <w:num w:numId="23">
    <w:abstractNumId w:val="14"/>
  </w:num>
  <w:num w:numId="24">
    <w:abstractNumId w:val="26"/>
  </w:num>
  <w:num w:numId="25">
    <w:abstractNumId w:val="28"/>
  </w:num>
  <w:num w:numId="26">
    <w:abstractNumId w:val="0"/>
  </w:num>
  <w:num w:numId="27">
    <w:abstractNumId w:val="20"/>
  </w:num>
  <w:num w:numId="28">
    <w:abstractNumId w:val="22"/>
  </w:num>
  <w:num w:numId="29">
    <w:abstractNumId w:val="35"/>
  </w:num>
  <w:num w:numId="30">
    <w:abstractNumId w:val="17"/>
  </w:num>
  <w:num w:numId="31">
    <w:abstractNumId w:val="9"/>
  </w:num>
  <w:num w:numId="32">
    <w:abstractNumId w:val="42"/>
  </w:num>
  <w:num w:numId="33">
    <w:abstractNumId w:val="41"/>
  </w:num>
  <w:num w:numId="34">
    <w:abstractNumId w:val="15"/>
  </w:num>
  <w:num w:numId="35">
    <w:abstractNumId w:val="10"/>
  </w:num>
  <w:num w:numId="36">
    <w:abstractNumId w:val="25"/>
  </w:num>
  <w:num w:numId="37">
    <w:abstractNumId w:val="33"/>
  </w:num>
  <w:num w:numId="38">
    <w:abstractNumId w:val="21"/>
  </w:num>
  <w:num w:numId="39">
    <w:abstractNumId w:val="24"/>
  </w:num>
  <w:num w:numId="40">
    <w:abstractNumId w:val="7"/>
  </w:num>
  <w:num w:numId="41">
    <w:abstractNumId w:val="32"/>
  </w:num>
  <w:num w:numId="42">
    <w:abstractNumId w:val="1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CD"/>
    <w:rsid w:val="00025D18"/>
    <w:rsid w:val="00041ADC"/>
    <w:rsid w:val="00051619"/>
    <w:rsid w:val="00057C6A"/>
    <w:rsid w:val="00064120"/>
    <w:rsid w:val="000C5B69"/>
    <w:rsid w:val="000D17D0"/>
    <w:rsid w:val="000D392E"/>
    <w:rsid w:val="000D39E2"/>
    <w:rsid w:val="000F301E"/>
    <w:rsid w:val="001003B8"/>
    <w:rsid w:val="00112C51"/>
    <w:rsid w:val="00125521"/>
    <w:rsid w:val="001400FE"/>
    <w:rsid w:val="0016718B"/>
    <w:rsid w:val="001725DE"/>
    <w:rsid w:val="001729E3"/>
    <w:rsid w:val="001768C6"/>
    <w:rsid w:val="00193FEA"/>
    <w:rsid w:val="001A131F"/>
    <w:rsid w:val="001B1322"/>
    <w:rsid w:val="001C0694"/>
    <w:rsid w:val="001C170B"/>
    <w:rsid w:val="001C3A3F"/>
    <w:rsid w:val="001C4B5D"/>
    <w:rsid w:val="001E623B"/>
    <w:rsid w:val="0021662C"/>
    <w:rsid w:val="002174F2"/>
    <w:rsid w:val="0022109D"/>
    <w:rsid w:val="00223B04"/>
    <w:rsid w:val="00224247"/>
    <w:rsid w:val="00243C70"/>
    <w:rsid w:val="00251C1A"/>
    <w:rsid w:val="00272BE1"/>
    <w:rsid w:val="0027388F"/>
    <w:rsid w:val="002C5061"/>
    <w:rsid w:val="002E5915"/>
    <w:rsid w:val="002F6B16"/>
    <w:rsid w:val="00311D16"/>
    <w:rsid w:val="003124D9"/>
    <w:rsid w:val="00314720"/>
    <w:rsid w:val="003266DB"/>
    <w:rsid w:val="003343B9"/>
    <w:rsid w:val="003503FC"/>
    <w:rsid w:val="0037336F"/>
    <w:rsid w:val="003737E7"/>
    <w:rsid w:val="00384FD8"/>
    <w:rsid w:val="00394B37"/>
    <w:rsid w:val="003974FB"/>
    <w:rsid w:val="003A44EA"/>
    <w:rsid w:val="003C1A9E"/>
    <w:rsid w:val="003C5C4E"/>
    <w:rsid w:val="003E148A"/>
    <w:rsid w:val="003F12CF"/>
    <w:rsid w:val="003F2824"/>
    <w:rsid w:val="003F4AF3"/>
    <w:rsid w:val="003F71AE"/>
    <w:rsid w:val="004032B8"/>
    <w:rsid w:val="00412CB1"/>
    <w:rsid w:val="0042387B"/>
    <w:rsid w:val="00431EE3"/>
    <w:rsid w:val="004323CD"/>
    <w:rsid w:val="0044212B"/>
    <w:rsid w:val="004517A7"/>
    <w:rsid w:val="00472ADA"/>
    <w:rsid w:val="004733DB"/>
    <w:rsid w:val="004753F4"/>
    <w:rsid w:val="00491CFA"/>
    <w:rsid w:val="00494A9D"/>
    <w:rsid w:val="004D10C6"/>
    <w:rsid w:val="004E443D"/>
    <w:rsid w:val="004F40BD"/>
    <w:rsid w:val="005052AA"/>
    <w:rsid w:val="0051297A"/>
    <w:rsid w:val="00525D4A"/>
    <w:rsid w:val="00583E05"/>
    <w:rsid w:val="00585512"/>
    <w:rsid w:val="005A5FAC"/>
    <w:rsid w:val="005C07B5"/>
    <w:rsid w:val="005E1B5E"/>
    <w:rsid w:val="005E625F"/>
    <w:rsid w:val="005F26ED"/>
    <w:rsid w:val="005F4807"/>
    <w:rsid w:val="0061434E"/>
    <w:rsid w:val="00627C70"/>
    <w:rsid w:val="00652353"/>
    <w:rsid w:val="00652D91"/>
    <w:rsid w:val="0065341E"/>
    <w:rsid w:val="00661D52"/>
    <w:rsid w:val="00666653"/>
    <w:rsid w:val="006A068E"/>
    <w:rsid w:val="006A74AC"/>
    <w:rsid w:val="006B1E5E"/>
    <w:rsid w:val="006C52BF"/>
    <w:rsid w:val="006C7497"/>
    <w:rsid w:val="006C7DBC"/>
    <w:rsid w:val="006E04C9"/>
    <w:rsid w:val="00711ACE"/>
    <w:rsid w:val="00714D13"/>
    <w:rsid w:val="0071678D"/>
    <w:rsid w:val="00725156"/>
    <w:rsid w:val="00727846"/>
    <w:rsid w:val="0073164E"/>
    <w:rsid w:val="00734461"/>
    <w:rsid w:val="007614A4"/>
    <w:rsid w:val="0076461C"/>
    <w:rsid w:val="00767E4B"/>
    <w:rsid w:val="007741C3"/>
    <w:rsid w:val="007744B7"/>
    <w:rsid w:val="00786D9D"/>
    <w:rsid w:val="007870EE"/>
    <w:rsid w:val="00797BC3"/>
    <w:rsid w:val="007A4BD4"/>
    <w:rsid w:val="007E0684"/>
    <w:rsid w:val="007E696A"/>
    <w:rsid w:val="007F448F"/>
    <w:rsid w:val="00805C18"/>
    <w:rsid w:val="008130A8"/>
    <w:rsid w:val="00830FBD"/>
    <w:rsid w:val="0083146A"/>
    <w:rsid w:val="008367C4"/>
    <w:rsid w:val="008402F7"/>
    <w:rsid w:val="00843AA9"/>
    <w:rsid w:val="00844750"/>
    <w:rsid w:val="008544CD"/>
    <w:rsid w:val="00855290"/>
    <w:rsid w:val="00875318"/>
    <w:rsid w:val="00877F1A"/>
    <w:rsid w:val="008A463C"/>
    <w:rsid w:val="008D1032"/>
    <w:rsid w:val="008D558C"/>
    <w:rsid w:val="008F2903"/>
    <w:rsid w:val="008F325E"/>
    <w:rsid w:val="008F4028"/>
    <w:rsid w:val="008F6346"/>
    <w:rsid w:val="009033AF"/>
    <w:rsid w:val="0090396E"/>
    <w:rsid w:val="00905D39"/>
    <w:rsid w:val="0092499B"/>
    <w:rsid w:val="00925CDA"/>
    <w:rsid w:val="00931EFE"/>
    <w:rsid w:val="009321D2"/>
    <w:rsid w:val="00935D50"/>
    <w:rsid w:val="009424B4"/>
    <w:rsid w:val="00961380"/>
    <w:rsid w:val="00962BBE"/>
    <w:rsid w:val="00977DAE"/>
    <w:rsid w:val="00984A78"/>
    <w:rsid w:val="009B370A"/>
    <w:rsid w:val="009E595A"/>
    <w:rsid w:val="009F01AD"/>
    <w:rsid w:val="00A03B11"/>
    <w:rsid w:val="00A05F12"/>
    <w:rsid w:val="00A2008B"/>
    <w:rsid w:val="00A3522F"/>
    <w:rsid w:val="00A472DD"/>
    <w:rsid w:val="00A477E5"/>
    <w:rsid w:val="00A555ED"/>
    <w:rsid w:val="00A71094"/>
    <w:rsid w:val="00A7543E"/>
    <w:rsid w:val="00A91BEC"/>
    <w:rsid w:val="00AA5198"/>
    <w:rsid w:val="00AB7D36"/>
    <w:rsid w:val="00AC65A1"/>
    <w:rsid w:val="00AE7F12"/>
    <w:rsid w:val="00AF0AF3"/>
    <w:rsid w:val="00AF66C8"/>
    <w:rsid w:val="00B12EB0"/>
    <w:rsid w:val="00B14E8F"/>
    <w:rsid w:val="00B2542D"/>
    <w:rsid w:val="00B33074"/>
    <w:rsid w:val="00B553CA"/>
    <w:rsid w:val="00B65B7C"/>
    <w:rsid w:val="00B71C72"/>
    <w:rsid w:val="00B83102"/>
    <w:rsid w:val="00B93682"/>
    <w:rsid w:val="00BA37A6"/>
    <w:rsid w:val="00BB1EC4"/>
    <w:rsid w:val="00BC3206"/>
    <w:rsid w:val="00BF0116"/>
    <w:rsid w:val="00BF2AF0"/>
    <w:rsid w:val="00C27E20"/>
    <w:rsid w:val="00C360EF"/>
    <w:rsid w:val="00C377CF"/>
    <w:rsid w:val="00C4076B"/>
    <w:rsid w:val="00C5761A"/>
    <w:rsid w:val="00C57798"/>
    <w:rsid w:val="00C6338F"/>
    <w:rsid w:val="00C766D7"/>
    <w:rsid w:val="00C91997"/>
    <w:rsid w:val="00CA391F"/>
    <w:rsid w:val="00CC12C1"/>
    <w:rsid w:val="00CC4D9A"/>
    <w:rsid w:val="00CE71E2"/>
    <w:rsid w:val="00CE7F5C"/>
    <w:rsid w:val="00D005DE"/>
    <w:rsid w:val="00D11610"/>
    <w:rsid w:val="00D12A52"/>
    <w:rsid w:val="00D163C6"/>
    <w:rsid w:val="00D23898"/>
    <w:rsid w:val="00D3315C"/>
    <w:rsid w:val="00D7002F"/>
    <w:rsid w:val="00D72503"/>
    <w:rsid w:val="00D774CF"/>
    <w:rsid w:val="00D94AE3"/>
    <w:rsid w:val="00D9707A"/>
    <w:rsid w:val="00DA1D87"/>
    <w:rsid w:val="00DC1408"/>
    <w:rsid w:val="00DE1147"/>
    <w:rsid w:val="00E0129D"/>
    <w:rsid w:val="00E05DCD"/>
    <w:rsid w:val="00E078E9"/>
    <w:rsid w:val="00E77F31"/>
    <w:rsid w:val="00E954DF"/>
    <w:rsid w:val="00EA0FD6"/>
    <w:rsid w:val="00EA4A73"/>
    <w:rsid w:val="00EC624D"/>
    <w:rsid w:val="00EC7531"/>
    <w:rsid w:val="00ED6506"/>
    <w:rsid w:val="00ED6FD5"/>
    <w:rsid w:val="00EE270C"/>
    <w:rsid w:val="00F078C1"/>
    <w:rsid w:val="00F15C63"/>
    <w:rsid w:val="00F32E4C"/>
    <w:rsid w:val="00F365C7"/>
    <w:rsid w:val="00F41E98"/>
    <w:rsid w:val="00F47F26"/>
    <w:rsid w:val="00F57C53"/>
    <w:rsid w:val="00F76FCE"/>
    <w:rsid w:val="00F80531"/>
    <w:rsid w:val="00F9065B"/>
    <w:rsid w:val="00FB130E"/>
    <w:rsid w:val="00FC2ACC"/>
    <w:rsid w:val="00FC4A73"/>
    <w:rsid w:val="00FD0C00"/>
    <w:rsid w:val="00FD1261"/>
    <w:rsid w:val="00FD4CF2"/>
    <w:rsid w:val="00FD7D10"/>
    <w:rsid w:val="00FE0F37"/>
    <w:rsid w:val="00FE2697"/>
    <w:rsid w:val="00FE56A4"/>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B8ED2"/>
  <w15:docId w15:val="{B74DA2BF-FD8D-4B60-927C-60DA2470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A46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 w:type="table" w:styleId="TableGrid">
    <w:name w:val="Table Grid"/>
    <w:basedOn w:val="TableNormal"/>
    <w:uiPriority w:val="59"/>
    <w:rsid w:val="00F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43D"/>
    <w:rPr>
      <w:sz w:val="20"/>
      <w:szCs w:val="20"/>
    </w:rPr>
  </w:style>
  <w:style w:type="character" w:customStyle="1" w:styleId="EndnoteTextChar">
    <w:name w:val="Endnote Text Char"/>
    <w:link w:val="EndnoteText"/>
    <w:uiPriority w:val="99"/>
    <w:semiHidden/>
    <w:rsid w:val="004E443D"/>
    <w:rPr>
      <w:lang w:eastAsia="en-US"/>
    </w:rPr>
  </w:style>
  <w:style w:type="character" w:styleId="EndnoteReference">
    <w:name w:val="endnote reference"/>
    <w:uiPriority w:val="99"/>
    <w:semiHidden/>
    <w:unhideWhenUsed/>
    <w:rsid w:val="004E443D"/>
    <w:rPr>
      <w:vertAlign w:val="superscript"/>
    </w:rPr>
  </w:style>
  <w:style w:type="paragraph" w:styleId="FootnoteText">
    <w:name w:val="footnote text"/>
    <w:basedOn w:val="Normal"/>
    <w:link w:val="FootnoteTextChar"/>
    <w:uiPriority w:val="99"/>
    <w:semiHidden/>
    <w:unhideWhenUsed/>
    <w:rsid w:val="004E443D"/>
    <w:rPr>
      <w:sz w:val="20"/>
      <w:szCs w:val="20"/>
    </w:rPr>
  </w:style>
  <w:style w:type="character" w:customStyle="1" w:styleId="FootnoteTextChar">
    <w:name w:val="Footnote Text Char"/>
    <w:link w:val="FootnoteText"/>
    <w:uiPriority w:val="99"/>
    <w:semiHidden/>
    <w:rsid w:val="004E443D"/>
    <w:rPr>
      <w:lang w:eastAsia="en-US"/>
    </w:rPr>
  </w:style>
  <w:style w:type="character" w:styleId="FootnoteReference">
    <w:name w:val="footnote reference"/>
    <w:uiPriority w:val="99"/>
    <w:semiHidden/>
    <w:unhideWhenUsed/>
    <w:rsid w:val="004E443D"/>
    <w:rPr>
      <w:vertAlign w:val="superscript"/>
    </w:rPr>
  </w:style>
  <w:style w:type="character" w:customStyle="1" w:styleId="Heading1Char">
    <w:name w:val="Heading 1 Char"/>
    <w:basedOn w:val="DefaultParagraphFont"/>
    <w:link w:val="Heading1"/>
    <w:uiPriority w:val="9"/>
    <w:rsid w:val="008A463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14859511">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 w:id="19194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3378-EC0A-4692-A08C-4DD9FCBB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1053</Words>
  <Characters>5289</Characters>
  <Application>Microsoft Office Word</Application>
  <DocSecurity>0</DocSecurity>
  <Lines>135</Lines>
  <Paragraphs>47</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Birmingham City Council logo</dc:title>
  <dc:subject/>
  <dc:creator>Diane Lewis</dc:creator>
  <cp:keywords/>
  <dc:description/>
  <cp:lastModifiedBy>Sue Hopkins</cp:lastModifiedBy>
  <cp:revision>5</cp:revision>
  <cp:lastPrinted>2014-04-30T13:04:00Z</cp:lastPrinted>
  <dcterms:created xsi:type="dcterms:W3CDTF">2021-06-15T11:47:00Z</dcterms:created>
  <dcterms:modified xsi:type="dcterms:W3CDTF">2021-06-22T14:05:00Z</dcterms:modified>
</cp:coreProperties>
</file>