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20B" w:rsidRDefault="003D320B" w:rsidP="002F1AF2">
      <w:pPr>
        <w:spacing w:line="300" w:lineRule="atLeast"/>
        <w:jc w:val="center"/>
        <w:rPr>
          <w:rFonts w:ascii="Arial" w:hAnsi="Arial" w:cs="Arial"/>
          <w:b/>
          <w:sz w:val="40"/>
          <w:szCs w:val="40"/>
        </w:rPr>
      </w:pPr>
    </w:p>
    <w:p w:rsidR="003A3BB2" w:rsidRDefault="00773E1C" w:rsidP="002F1AF2">
      <w:pPr>
        <w:spacing w:line="300" w:lineRule="atLeast"/>
        <w:jc w:val="center"/>
        <w:rPr>
          <w:rFonts w:ascii="Arial" w:hAnsi="Arial" w:cs="Arial"/>
          <w:b/>
          <w:sz w:val="40"/>
          <w:szCs w:val="40"/>
        </w:rPr>
      </w:pPr>
      <w:r>
        <w:rPr>
          <w:rFonts w:cs="Arial"/>
          <w:noProof/>
          <w:lang w:val="en-GB" w:eastAsia="en-GB"/>
        </w:rPr>
        <w:drawing>
          <wp:inline distT="0" distB="0" distL="0" distR="0">
            <wp:extent cx="2933700" cy="657225"/>
            <wp:effectExtent l="0" t="0" r="0" b="9525"/>
            <wp:docPr id="10" name="Picture 10" descr="BCC_logo_black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off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657225"/>
                    </a:xfrm>
                    <a:prstGeom prst="rect">
                      <a:avLst/>
                    </a:prstGeom>
                    <a:noFill/>
                    <a:ln>
                      <a:noFill/>
                    </a:ln>
                  </pic:spPr>
                </pic:pic>
              </a:graphicData>
            </a:graphic>
          </wp:inline>
        </w:drawing>
      </w:r>
    </w:p>
    <w:p w:rsidR="003A3BB2" w:rsidRDefault="003A3BB2" w:rsidP="002F1AF2">
      <w:pPr>
        <w:spacing w:line="300" w:lineRule="atLeast"/>
        <w:jc w:val="center"/>
        <w:rPr>
          <w:rFonts w:ascii="Arial" w:hAnsi="Arial" w:cs="Arial"/>
          <w:b/>
          <w:sz w:val="40"/>
          <w:szCs w:val="40"/>
        </w:rPr>
      </w:pPr>
    </w:p>
    <w:p w:rsidR="003A3BB2" w:rsidRDefault="003A3BB2" w:rsidP="002F1AF2">
      <w:pPr>
        <w:spacing w:line="300" w:lineRule="atLeast"/>
        <w:jc w:val="center"/>
        <w:rPr>
          <w:rFonts w:ascii="Arial" w:hAnsi="Arial" w:cs="Arial"/>
          <w:b/>
          <w:sz w:val="40"/>
          <w:szCs w:val="40"/>
        </w:rPr>
      </w:pPr>
    </w:p>
    <w:p w:rsidR="003A3BB2" w:rsidRDefault="003A3BB2" w:rsidP="002F1AF2">
      <w:pPr>
        <w:spacing w:line="300" w:lineRule="atLeast"/>
        <w:jc w:val="center"/>
        <w:rPr>
          <w:rFonts w:ascii="Arial" w:hAnsi="Arial" w:cs="Arial"/>
          <w:b/>
          <w:sz w:val="40"/>
          <w:szCs w:val="40"/>
        </w:rPr>
      </w:pPr>
    </w:p>
    <w:p w:rsidR="003A3BB2" w:rsidRDefault="003A3BB2" w:rsidP="00E92BDA">
      <w:pPr>
        <w:spacing w:line="300" w:lineRule="atLeast"/>
        <w:rPr>
          <w:rFonts w:ascii="Arial" w:hAnsi="Arial" w:cs="Arial"/>
          <w:b/>
          <w:sz w:val="40"/>
          <w:szCs w:val="40"/>
        </w:rPr>
      </w:pPr>
    </w:p>
    <w:p w:rsidR="00897E81" w:rsidRPr="00E92BDA" w:rsidRDefault="003A3BB2" w:rsidP="002F1AF2">
      <w:pPr>
        <w:spacing w:line="300" w:lineRule="atLeast"/>
        <w:jc w:val="center"/>
        <w:rPr>
          <w:rFonts w:ascii="Arial" w:hAnsi="Arial" w:cs="Arial"/>
          <w:b/>
          <w:sz w:val="32"/>
          <w:szCs w:val="32"/>
        </w:rPr>
      </w:pPr>
      <w:r w:rsidRPr="00E92BDA">
        <w:rPr>
          <w:rFonts w:ascii="Arial" w:hAnsi="Arial" w:cs="Arial"/>
          <w:b/>
          <w:sz w:val="32"/>
          <w:szCs w:val="32"/>
        </w:rPr>
        <w:t>Birmingham City Council</w:t>
      </w:r>
    </w:p>
    <w:p w:rsidR="00897E81" w:rsidRPr="00E92BDA" w:rsidRDefault="00897E81" w:rsidP="002F1AF2">
      <w:pPr>
        <w:spacing w:line="300" w:lineRule="atLeast"/>
        <w:jc w:val="center"/>
        <w:rPr>
          <w:rFonts w:ascii="Arial" w:hAnsi="Arial" w:cs="Arial"/>
          <w:b/>
          <w:sz w:val="32"/>
          <w:szCs w:val="32"/>
        </w:rPr>
      </w:pPr>
      <w:r w:rsidRPr="00E92BDA">
        <w:rPr>
          <w:rFonts w:ascii="Arial" w:hAnsi="Arial" w:cs="Arial"/>
          <w:b/>
          <w:sz w:val="32"/>
          <w:szCs w:val="32"/>
        </w:rPr>
        <w:t>Local Plan</w:t>
      </w:r>
    </w:p>
    <w:p w:rsidR="00897E81" w:rsidRPr="00E92BDA" w:rsidRDefault="00897E81" w:rsidP="002F1AF2">
      <w:pPr>
        <w:spacing w:line="300" w:lineRule="atLeast"/>
        <w:jc w:val="center"/>
        <w:rPr>
          <w:rFonts w:ascii="Arial" w:hAnsi="Arial" w:cs="Arial"/>
          <w:b/>
          <w:sz w:val="32"/>
          <w:szCs w:val="32"/>
        </w:rPr>
      </w:pPr>
    </w:p>
    <w:p w:rsidR="002F1AF2" w:rsidRPr="00E92BDA" w:rsidRDefault="002F1AF2" w:rsidP="002F1AF2">
      <w:pPr>
        <w:spacing w:line="300" w:lineRule="atLeast"/>
        <w:jc w:val="center"/>
        <w:rPr>
          <w:rFonts w:ascii="Arial" w:hAnsi="Arial" w:cs="Arial"/>
          <w:b/>
          <w:sz w:val="32"/>
          <w:szCs w:val="32"/>
        </w:rPr>
      </w:pPr>
    </w:p>
    <w:p w:rsidR="003A3BB2" w:rsidRPr="00E92BDA" w:rsidRDefault="00897E81" w:rsidP="002F1AF2">
      <w:pPr>
        <w:spacing w:line="300" w:lineRule="atLeast"/>
        <w:jc w:val="center"/>
        <w:rPr>
          <w:rFonts w:ascii="Arial" w:hAnsi="Arial" w:cs="Arial"/>
          <w:b/>
          <w:sz w:val="32"/>
          <w:szCs w:val="32"/>
        </w:rPr>
      </w:pPr>
      <w:r w:rsidRPr="00E92BDA">
        <w:rPr>
          <w:rFonts w:ascii="Arial" w:hAnsi="Arial" w:cs="Arial"/>
          <w:b/>
          <w:sz w:val="32"/>
          <w:szCs w:val="32"/>
        </w:rPr>
        <w:t xml:space="preserve">Development Management </w:t>
      </w:r>
      <w:r w:rsidR="003A3BB2" w:rsidRPr="00E92BDA">
        <w:rPr>
          <w:rFonts w:ascii="Arial" w:hAnsi="Arial" w:cs="Arial"/>
          <w:b/>
          <w:sz w:val="32"/>
          <w:szCs w:val="32"/>
        </w:rPr>
        <w:t>in Birmingham</w:t>
      </w:r>
    </w:p>
    <w:p w:rsidR="002F1AF2" w:rsidRPr="00E92BDA" w:rsidRDefault="00897E81" w:rsidP="003A3BB2">
      <w:pPr>
        <w:spacing w:line="300" w:lineRule="atLeast"/>
        <w:jc w:val="center"/>
        <w:rPr>
          <w:rFonts w:ascii="Arial" w:hAnsi="Arial" w:cs="Arial"/>
          <w:b/>
          <w:sz w:val="32"/>
          <w:szCs w:val="32"/>
        </w:rPr>
      </w:pPr>
      <w:r w:rsidRPr="00E92BDA">
        <w:rPr>
          <w:rFonts w:ascii="Arial" w:hAnsi="Arial" w:cs="Arial"/>
          <w:b/>
          <w:sz w:val="32"/>
          <w:szCs w:val="32"/>
        </w:rPr>
        <w:t>D</w:t>
      </w:r>
      <w:r w:rsidR="003A3BB2" w:rsidRPr="00E92BDA">
        <w:rPr>
          <w:rFonts w:ascii="Arial" w:hAnsi="Arial" w:cs="Arial"/>
          <w:b/>
          <w:sz w:val="32"/>
          <w:szCs w:val="32"/>
        </w:rPr>
        <w:t xml:space="preserve">evelopment </w:t>
      </w:r>
      <w:r w:rsidRPr="00E92BDA">
        <w:rPr>
          <w:rFonts w:ascii="Arial" w:hAnsi="Arial" w:cs="Arial"/>
          <w:b/>
          <w:sz w:val="32"/>
          <w:szCs w:val="32"/>
        </w:rPr>
        <w:t>P</w:t>
      </w:r>
      <w:r w:rsidR="003A3BB2" w:rsidRPr="00E92BDA">
        <w:rPr>
          <w:rFonts w:ascii="Arial" w:hAnsi="Arial" w:cs="Arial"/>
          <w:b/>
          <w:sz w:val="32"/>
          <w:szCs w:val="32"/>
        </w:rPr>
        <w:t xml:space="preserve">lan </w:t>
      </w:r>
      <w:r w:rsidRPr="00E92BDA">
        <w:rPr>
          <w:rFonts w:ascii="Arial" w:hAnsi="Arial" w:cs="Arial"/>
          <w:b/>
          <w:sz w:val="32"/>
          <w:szCs w:val="32"/>
        </w:rPr>
        <w:t>D</w:t>
      </w:r>
      <w:r w:rsidR="003A3BB2" w:rsidRPr="00E92BDA">
        <w:rPr>
          <w:rFonts w:ascii="Arial" w:hAnsi="Arial" w:cs="Arial"/>
          <w:b/>
          <w:sz w:val="32"/>
          <w:szCs w:val="32"/>
        </w:rPr>
        <w:t>ocument</w:t>
      </w:r>
    </w:p>
    <w:p w:rsidR="002F1AF2" w:rsidRPr="00E92BDA" w:rsidRDefault="002F1AF2" w:rsidP="008D6866">
      <w:pPr>
        <w:pStyle w:val="Style1"/>
        <w:spacing w:after="0" w:line="300" w:lineRule="atLeast"/>
        <w:rPr>
          <w:b w:val="0"/>
        </w:rPr>
      </w:pPr>
    </w:p>
    <w:p w:rsidR="008D6866" w:rsidRPr="00E92BDA" w:rsidRDefault="008D6866" w:rsidP="008D6866">
      <w:pPr>
        <w:pStyle w:val="Style1"/>
        <w:spacing w:after="0" w:line="300" w:lineRule="atLeast"/>
        <w:rPr>
          <w:b w:val="0"/>
        </w:rPr>
      </w:pPr>
    </w:p>
    <w:p w:rsidR="00BF633C" w:rsidRPr="00E92BDA" w:rsidRDefault="008D6866" w:rsidP="008D6866">
      <w:pPr>
        <w:pStyle w:val="Style1"/>
        <w:spacing w:after="0" w:line="300" w:lineRule="atLeast"/>
        <w:jc w:val="center"/>
      </w:pPr>
      <w:r w:rsidRPr="00E92BDA">
        <w:t>Standards</w:t>
      </w:r>
      <w:r w:rsidR="00BF633C" w:rsidRPr="00E92BDA">
        <w:t xml:space="preserve"> for Residential Development</w:t>
      </w:r>
    </w:p>
    <w:p w:rsidR="008D6866" w:rsidRPr="00E92BDA" w:rsidRDefault="008D6866" w:rsidP="008D6866">
      <w:pPr>
        <w:pStyle w:val="Style1"/>
        <w:spacing w:after="0" w:line="300" w:lineRule="atLeast"/>
        <w:jc w:val="center"/>
      </w:pPr>
      <w:r w:rsidRPr="00E92BDA">
        <w:t xml:space="preserve"> Topic Paper</w:t>
      </w:r>
    </w:p>
    <w:p w:rsidR="002F1AF2" w:rsidRPr="00E92BDA" w:rsidRDefault="002F1AF2" w:rsidP="008D6866">
      <w:pPr>
        <w:pStyle w:val="Style1"/>
        <w:spacing w:after="0" w:line="300" w:lineRule="atLeast"/>
      </w:pPr>
    </w:p>
    <w:p w:rsidR="008D6866" w:rsidRPr="00E92BDA" w:rsidRDefault="008D6866" w:rsidP="008D6866">
      <w:pPr>
        <w:pStyle w:val="Style1"/>
        <w:spacing w:after="0" w:line="300" w:lineRule="atLeast"/>
      </w:pPr>
    </w:p>
    <w:p w:rsidR="007760F5" w:rsidRPr="00E92BDA" w:rsidRDefault="00A004BC" w:rsidP="00114A6D">
      <w:pPr>
        <w:spacing w:line="300" w:lineRule="atLeast"/>
        <w:jc w:val="center"/>
        <w:rPr>
          <w:rFonts w:ascii="Arial" w:hAnsi="Arial" w:cs="Arial"/>
          <w:sz w:val="32"/>
          <w:szCs w:val="32"/>
        </w:rPr>
      </w:pPr>
      <w:r w:rsidRPr="00E92BDA">
        <w:rPr>
          <w:rFonts w:ascii="Arial" w:hAnsi="Arial" w:cs="Arial"/>
          <w:b/>
          <w:sz w:val="32"/>
          <w:szCs w:val="32"/>
        </w:rPr>
        <w:t>July</w:t>
      </w:r>
      <w:r w:rsidR="00114A6D" w:rsidRPr="00E92BDA">
        <w:rPr>
          <w:rFonts w:ascii="Arial" w:hAnsi="Arial" w:cs="Arial"/>
          <w:b/>
          <w:sz w:val="32"/>
          <w:szCs w:val="32"/>
        </w:rPr>
        <w:t xml:space="preserve"> 2020</w:t>
      </w:r>
    </w:p>
    <w:p w:rsidR="00897E81" w:rsidRPr="00E92BDA" w:rsidRDefault="00897E81" w:rsidP="006A6B9F">
      <w:pPr>
        <w:spacing w:line="300" w:lineRule="atLeast"/>
        <w:rPr>
          <w:rFonts w:ascii="Arial" w:hAnsi="Arial" w:cs="Arial"/>
          <w:sz w:val="32"/>
          <w:szCs w:val="32"/>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E92BDA" w:rsidRDefault="00E92BDA" w:rsidP="006A6B9F">
      <w:pPr>
        <w:spacing w:line="300" w:lineRule="atLeast"/>
        <w:rPr>
          <w:rFonts w:ascii="Arial" w:hAnsi="Arial" w:cs="Arial"/>
          <w:sz w:val="22"/>
          <w:szCs w:val="22"/>
        </w:rPr>
      </w:pPr>
    </w:p>
    <w:p w:rsidR="00E92BDA" w:rsidRDefault="00E92BDA" w:rsidP="006A6B9F">
      <w:pPr>
        <w:spacing w:line="300" w:lineRule="atLeast"/>
        <w:rPr>
          <w:rFonts w:ascii="Arial" w:hAnsi="Arial" w:cs="Arial"/>
          <w:sz w:val="22"/>
          <w:szCs w:val="22"/>
        </w:rPr>
      </w:pPr>
    </w:p>
    <w:p w:rsidR="00E92BDA" w:rsidRDefault="00E92BDA" w:rsidP="006A6B9F">
      <w:pPr>
        <w:spacing w:line="300" w:lineRule="atLeast"/>
        <w:rPr>
          <w:rFonts w:ascii="Arial" w:hAnsi="Arial" w:cs="Arial"/>
          <w:sz w:val="22"/>
          <w:szCs w:val="22"/>
        </w:rPr>
      </w:pPr>
    </w:p>
    <w:p w:rsidR="00E92BDA" w:rsidRDefault="00E92BDA"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Default="00895188" w:rsidP="00E92BDA">
      <w:pPr>
        <w:ind w:firstLine="360"/>
        <w:jc w:val="both"/>
        <w:rPr>
          <w:rFonts w:ascii="Arial" w:hAnsi="Arial" w:cs="Arial"/>
          <w:b/>
          <w:sz w:val="28"/>
          <w:szCs w:val="28"/>
        </w:rPr>
      </w:pPr>
      <w:r>
        <w:rPr>
          <w:rFonts w:ascii="Arial" w:hAnsi="Arial" w:cs="Arial"/>
          <w:b/>
          <w:sz w:val="28"/>
          <w:szCs w:val="28"/>
        </w:rPr>
        <w:lastRenderedPageBreak/>
        <w:t>Contents</w:t>
      </w:r>
      <w:r w:rsidR="00E60EEF">
        <w:rPr>
          <w:rFonts w:ascii="Arial" w:hAnsi="Arial" w:cs="Arial"/>
          <w:b/>
          <w:sz w:val="28"/>
          <w:szCs w:val="28"/>
        </w:rPr>
        <w:tab/>
      </w:r>
      <w:r w:rsidR="00E60EEF">
        <w:rPr>
          <w:rFonts w:ascii="Arial" w:hAnsi="Arial" w:cs="Arial"/>
          <w:b/>
          <w:sz w:val="28"/>
          <w:szCs w:val="28"/>
        </w:rPr>
        <w:tab/>
      </w:r>
      <w:r w:rsidR="00E60EEF">
        <w:rPr>
          <w:rFonts w:ascii="Arial" w:hAnsi="Arial" w:cs="Arial"/>
          <w:b/>
          <w:sz w:val="28"/>
          <w:szCs w:val="28"/>
        </w:rPr>
        <w:tab/>
      </w:r>
      <w:r w:rsidR="00E60EEF">
        <w:rPr>
          <w:rFonts w:ascii="Arial" w:hAnsi="Arial" w:cs="Arial"/>
          <w:b/>
          <w:sz w:val="28"/>
          <w:szCs w:val="28"/>
        </w:rPr>
        <w:tab/>
      </w:r>
      <w:r w:rsidR="00E60EEF">
        <w:rPr>
          <w:rFonts w:ascii="Arial" w:hAnsi="Arial" w:cs="Arial"/>
          <w:b/>
          <w:sz w:val="28"/>
          <w:szCs w:val="28"/>
        </w:rPr>
        <w:tab/>
      </w:r>
      <w:r w:rsidR="00E60EEF">
        <w:rPr>
          <w:rFonts w:ascii="Arial" w:hAnsi="Arial" w:cs="Arial"/>
          <w:b/>
          <w:sz w:val="28"/>
          <w:szCs w:val="28"/>
        </w:rPr>
        <w:tab/>
      </w:r>
      <w:r w:rsidR="00E60EEF">
        <w:rPr>
          <w:rFonts w:ascii="Arial" w:hAnsi="Arial" w:cs="Arial"/>
          <w:b/>
          <w:sz w:val="28"/>
          <w:szCs w:val="28"/>
        </w:rPr>
        <w:tab/>
      </w:r>
      <w:r w:rsidR="00E60EEF">
        <w:rPr>
          <w:rFonts w:ascii="Arial" w:hAnsi="Arial" w:cs="Arial"/>
          <w:b/>
          <w:sz w:val="28"/>
          <w:szCs w:val="28"/>
        </w:rPr>
        <w:tab/>
      </w:r>
      <w:r w:rsidR="00E92BDA">
        <w:rPr>
          <w:rFonts w:ascii="Arial" w:hAnsi="Arial" w:cs="Arial"/>
          <w:b/>
          <w:sz w:val="28"/>
          <w:szCs w:val="28"/>
        </w:rPr>
        <w:tab/>
      </w:r>
      <w:r w:rsidR="00E60EEF">
        <w:rPr>
          <w:rFonts w:ascii="Arial" w:hAnsi="Arial" w:cs="Arial"/>
          <w:b/>
          <w:sz w:val="28"/>
          <w:szCs w:val="28"/>
        </w:rPr>
        <w:t>Page</w:t>
      </w:r>
    </w:p>
    <w:p w:rsidR="00895188" w:rsidRDefault="00895188" w:rsidP="006A6B9F">
      <w:pPr>
        <w:spacing w:line="300" w:lineRule="atLeast"/>
        <w:rPr>
          <w:rFonts w:ascii="Arial" w:hAnsi="Arial" w:cs="Arial"/>
          <w:sz w:val="22"/>
          <w:szCs w:val="22"/>
        </w:rPr>
      </w:pPr>
    </w:p>
    <w:p w:rsidR="00FF6240" w:rsidRDefault="00FF6240" w:rsidP="006A6B9F">
      <w:pPr>
        <w:spacing w:line="300" w:lineRule="atLeast"/>
        <w:rPr>
          <w:rFonts w:ascii="Arial" w:hAnsi="Arial" w:cs="Arial"/>
          <w:sz w:val="22"/>
          <w:szCs w:val="22"/>
        </w:rPr>
      </w:pPr>
    </w:p>
    <w:p w:rsidR="00895188" w:rsidRPr="00E92BDA" w:rsidRDefault="00895188" w:rsidP="00071525">
      <w:pPr>
        <w:numPr>
          <w:ilvl w:val="0"/>
          <w:numId w:val="12"/>
        </w:numPr>
        <w:spacing w:after="200" w:line="276" w:lineRule="auto"/>
        <w:jc w:val="both"/>
        <w:rPr>
          <w:rFonts w:ascii="Arial" w:hAnsi="Arial" w:cs="Arial"/>
          <w:b/>
          <w:bCs/>
          <w:sz w:val="22"/>
          <w:szCs w:val="22"/>
        </w:rPr>
      </w:pPr>
      <w:r w:rsidRPr="00E92BDA">
        <w:rPr>
          <w:rFonts w:ascii="Arial" w:hAnsi="Arial" w:cs="Arial"/>
          <w:b/>
          <w:bCs/>
          <w:sz w:val="22"/>
          <w:szCs w:val="22"/>
        </w:rPr>
        <w:t>Introduction</w:t>
      </w:r>
      <w:r w:rsidR="00E60EEF" w:rsidRPr="00E92BDA">
        <w:rPr>
          <w:rFonts w:ascii="Arial" w:hAnsi="Arial" w:cs="Arial"/>
          <w:b/>
          <w:bCs/>
          <w:sz w:val="22"/>
          <w:szCs w:val="22"/>
        </w:rPr>
        <w:tab/>
      </w:r>
      <w:r w:rsidR="00E60EEF" w:rsidRPr="00E92BDA">
        <w:rPr>
          <w:rFonts w:ascii="Arial" w:hAnsi="Arial" w:cs="Arial"/>
          <w:b/>
          <w:bCs/>
          <w:sz w:val="22"/>
          <w:szCs w:val="22"/>
        </w:rPr>
        <w:tab/>
      </w:r>
      <w:r w:rsidR="00E60EEF" w:rsidRPr="00E92BDA">
        <w:rPr>
          <w:rFonts w:ascii="Arial" w:hAnsi="Arial" w:cs="Arial"/>
          <w:b/>
          <w:bCs/>
          <w:sz w:val="22"/>
          <w:szCs w:val="22"/>
        </w:rPr>
        <w:tab/>
      </w:r>
      <w:r w:rsidR="00E60EEF" w:rsidRPr="00E92BDA">
        <w:rPr>
          <w:rFonts w:ascii="Arial" w:hAnsi="Arial" w:cs="Arial"/>
          <w:b/>
          <w:bCs/>
          <w:sz w:val="22"/>
          <w:szCs w:val="22"/>
        </w:rPr>
        <w:tab/>
      </w:r>
      <w:r w:rsidR="00E60EEF" w:rsidRPr="00E92BDA">
        <w:rPr>
          <w:rFonts w:ascii="Arial" w:hAnsi="Arial" w:cs="Arial"/>
          <w:b/>
          <w:bCs/>
          <w:sz w:val="22"/>
          <w:szCs w:val="22"/>
        </w:rPr>
        <w:tab/>
      </w:r>
      <w:r w:rsidR="00E60EEF" w:rsidRPr="00E92BDA">
        <w:rPr>
          <w:rFonts w:ascii="Arial" w:hAnsi="Arial" w:cs="Arial"/>
          <w:b/>
          <w:bCs/>
          <w:sz w:val="22"/>
          <w:szCs w:val="22"/>
        </w:rPr>
        <w:tab/>
      </w:r>
      <w:r w:rsidR="00E60EEF" w:rsidRPr="00E92BDA">
        <w:rPr>
          <w:rFonts w:ascii="Arial" w:hAnsi="Arial" w:cs="Arial"/>
          <w:b/>
          <w:bCs/>
          <w:sz w:val="22"/>
          <w:szCs w:val="22"/>
        </w:rPr>
        <w:tab/>
      </w:r>
      <w:r w:rsidR="00E60EEF" w:rsidRPr="00E92BDA">
        <w:rPr>
          <w:rFonts w:ascii="Arial" w:hAnsi="Arial" w:cs="Arial"/>
          <w:b/>
          <w:bCs/>
          <w:sz w:val="22"/>
          <w:szCs w:val="22"/>
        </w:rPr>
        <w:tab/>
      </w:r>
      <w:r w:rsidR="00E60EEF" w:rsidRPr="00E92BDA">
        <w:rPr>
          <w:rFonts w:ascii="Arial" w:hAnsi="Arial" w:cs="Arial"/>
          <w:b/>
          <w:bCs/>
          <w:sz w:val="22"/>
          <w:szCs w:val="22"/>
        </w:rPr>
        <w:tab/>
      </w:r>
      <w:r w:rsidR="008C4A82" w:rsidRPr="00E92BDA">
        <w:rPr>
          <w:rFonts w:ascii="Arial" w:hAnsi="Arial" w:cs="Arial"/>
          <w:b/>
          <w:bCs/>
          <w:sz w:val="22"/>
          <w:szCs w:val="22"/>
        </w:rPr>
        <w:t>2</w:t>
      </w:r>
    </w:p>
    <w:p w:rsidR="00E60EEF" w:rsidRPr="00E92BDA" w:rsidRDefault="00D06DEF" w:rsidP="00071525">
      <w:pPr>
        <w:numPr>
          <w:ilvl w:val="0"/>
          <w:numId w:val="12"/>
        </w:numPr>
        <w:spacing w:after="200" w:line="276" w:lineRule="auto"/>
        <w:jc w:val="both"/>
        <w:rPr>
          <w:rFonts w:ascii="Arial" w:hAnsi="Arial" w:cs="Arial"/>
          <w:b/>
          <w:bCs/>
          <w:sz w:val="22"/>
          <w:szCs w:val="22"/>
        </w:rPr>
      </w:pPr>
      <w:r w:rsidRPr="00E92BDA">
        <w:rPr>
          <w:rFonts w:ascii="Arial" w:hAnsi="Arial" w:cs="Arial"/>
          <w:b/>
          <w:bCs/>
          <w:sz w:val="22"/>
          <w:szCs w:val="22"/>
        </w:rPr>
        <w:t>Planning Policy Context</w:t>
      </w:r>
      <w:r w:rsidR="00E60EEF" w:rsidRPr="00E92BDA">
        <w:rPr>
          <w:rFonts w:ascii="Arial" w:hAnsi="Arial" w:cs="Arial"/>
          <w:b/>
          <w:bCs/>
          <w:sz w:val="22"/>
          <w:szCs w:val="22"/>
        </w:rPr>
        <w:tab/>
      </w:r>
      <w:r w:rsidR="00E60EEF" w:rsidRPr="00E92BDA">
        <w:rPr>
          <w:rFonts w:ascii="Arial" w:hAnsi="Arial" w:cs="Arial"/>
          <w:b/>
          <w:bCs/>
          <w:sz w:val="22"/>
          <w:szCs w:val="22"/>
        </w:rPr>
        <w:tab/>
      </w:r>
      <w:r w:rsidR="00E60EEF" w:rsidRPr="00E92BDA">
        <w:rPr>
          <w:rFonts w:ascii="Arial" w:hAnsi="Arial" w:cs="Arial"/>
          <w:b/>
          <w:bCs/>
          <w:sz w:val="22"/>
          <w:szCs w:val="22"/>
        </w:rPr>
        <w:tab/>
      </w:r>
      <w:r w:rsidR="00610E57" w:rsidRPr="00E92BDA">
        <w:rPr>
          <w:rFonts w:ascii="Arial" w:hAnsi="Arial" w:cs="Arial"/>
          <w:b/>
          <w:bCs/>
          <w:sz w:val="22"/>
          <w:szCs w:val="22"/>
        </w:rPr>
        <w:tab/>
      </w:r>
      <w:r w:rsidR="00610E57" w:rsidRPr="00E92BDA">
        <w:rPr>
          <w:rFonts w:ascii="Arial" w:hAnsi="Arial" w:cs="Arial"/>
          <w:b/>
          <w:bCs/>
          <w:sz w:val="22"/>
          <w:szCs w:val="22"/>
        </w:rPr>
        <w:tab/>
      </w:r>
      <w:r w:rsidR="00E60EEF" w:rsidRPr="00E92BDA">
        <w:rPr>
          <w:rFonts w:ascii="Arial" w:hAnsi="Arial" w:cs="Arial"/>
          <w:b/>
          <w:bCs/>
          <w:sz w:val="22"/>
          <w:szCs w:val="22"/>
        </w:rPr>
        <w:tab/>
      </w:r>
      <w:r w:rsidR="00E60EEF" w:rsidRPr="00E92BDA">
        <w:rPr>
          <w:rFonts w:ascii="Arial" w:hAnsi="Arial" w:cs="Arial"/>
          <w:b/>
          <w:bCs/>
          <w:sz w:val="22"/>
          <w:szCs w:val="22"/>
        </w:rPr>
        <w:tab/>
      </w:r>
      <w:r w:rsidR="008C4A82" w:rsidRPr="00E92BDA">
        <w:rPr>
          <w:rFonts w:ascii="Arial" w:hAnsi="Arial" w:cs="Arial"/>
          <w:b/>
          <w:bCs/>
          <w:sz w:val="22"/>
          <w:szCs w:val="22"/>
        </w:rPr>
        <w:t>2</w:t>
      </w:r>
    </w:p>
    <w:p w:rsidR="00610E57" w:rsidRPr="00E92BDA" w:rsidRDefault="00610E57" w:rsidP="00071525">
      <w:pPr>
        <w:numPr>
          <w:ilvl w:val="0"/>
          <w:numId w:val="12"/>
        </w:numPr>
        <w:spacing w:after="200" w:line="276" w:lineRule="auto"/>
        <w:jc w:val="both"/>
        <w:rPr>
          <w:rFonts w:ascii="Arial" w:hAnsi="Arial" w:cs="Arial"/>
          <w:b/>
          <w:bCs/>
          <w:sz w:val="22"/>
          <w:szCs w:val="22"/>
        </w:rPr>
      </w:pPr>
      <w:r w:rsidRPr="00E92BDA">
        <w:rPr>
          <w:rFonts w:ascii="Arial" w:hAnsi="Arial" w:cs="Arial"/>
          <w:b/>
          <w:bCs/>
          <w:sz w:val="22"/>
          <w:szCs w:val="22"/>
        </w:rPr>
        <w:t>Internal Space Standards Evidence</w:t>
      </w:r>
      <w:r w:rsidR="00E60EEF" w:rsidRPr="00E92BDA">
        <w:rPr>
          <w:rFonts w:ascii="Arial" w:hAnsi="Arial" w:cs="Arial"/>
          <w:b/>
          <w:bCs/>
          <w:sz w:val="22"/>
          <w:szCs w:val="22"/>
        </w:rPr>
        <w:tab/>
      </w:r>
      <w:r w:rsidR="00E60EEF" w:rsidRPr="00E92BDA">
        <w:rPr>
          <w:rFonts w:ascii="Arial" w:hAnsi="Arial" w:cs="Arial"/>
          <w:b/>
          <w:bCs/>
          <w:sz w:val="22"/>
          <w:szCs w:val="22"/>
        </w:rPr>
        <w:tab/>
      </w:r>
      <w:r w:rsidR="00E60EEF" w:rsidRPr="00E92BDA">
        <w:rPr>
          <w:rFonts w:ascii="Arial" w:hAnsi="Arial" w:cs="Arial"/>
          <w:b/>
          <w:bCs/>
          <w:sz w:val="22"/>
          <w:szCs w:val="22"/>
        </w:rPr>
        <w:tab/>
      </w:r>
      <w:r w:rsidR="00E60EEF" w:rsidRPr="00E92BDA">
        <w:rPr>
          <w:rFonts w:ascii="Arial" w:hAnsi="Arial" w:cs="Arial"/>
          <w:b/>
          <w:bCs/>
          <w:sz w:val="22"/>
          <w:szCs w:val="22"/>
        </w:rPr>
        <w:tab/>
      </w:r>
      <w:r w:rsidR="00E60EEF" w:rsidRPr="00E92BDA">
        <w:rPr>
          <w:rFonts w:ascii="Arial" w:hAnsi="Arial" w:cs="Arial"/>
          <w:b/>
          <w:bCs/>
          <w:sz w:val="22"/>
          <w:szCs w:val="22"/>
        </w:rPr>
        <w:tab/>
      </w:r>
      <w:r w:rsidR="008C4A82" w:rsidRPr="00E92BDA">
        <w:rPr>
          <w:rFonts w:ascii="Arial" w:hAnsi="Arial" w:cs="Arial"/>
          <w:b/>
          <w:bCs/>
          <w:sz w:val="22"/>
          <w:szCs w:val="22"/>
        </w:rPr>
        <w:t>8</w:t>
      </w:r>
    </w:p>
    <w:p w:rsidR="00E60EEF" w:rsidRPr="00E92BDA" w:rsidRDefault="00610E57" w:rsidP="00071525">
      <w:pPr>
        <w:numPr>
          <w:ilvl w:val="0"/>
          <w:numId w:val="12"/>
        </w:numPr>
        <w:spacing w:after="200" w:line="276" w:lineRule="auto"/>
        <w:jc w:val="both"/>
        <w:rPr>
          <w:rFonts w:ascii="Arial" w:hAnsi="Arial" w:cs="Arial"/>
          <w:b/>
          <w:bCs/>
          <w:sz w:val="22"/>
          <w:szCs w:val="22"/>
        </w:rPr>
      </w:pPr>
      <w:r w:rsidRPr="00E92BDA">
        <w:rPr>
          <w:rFonts w:ascii="Arial" w:hAnsi="Arial" w:cs="Arial"/>
          <w:b/>
          <w:bCs/>
          <w:sz w:val="22"/>
          <w:szCs w:val="22"/>
        </w:rPr>
        <w:t>Building Regulations M4 (2) Category 2 Standard Evidence</w:t>
      </w:r>
      <w:r w:rsidRPr="00E92BDA">
        <w:rPr>
          <w:rFonts w:ascii="Arial" w:hAnsi="Arial" w:cs="Arial"/>
          <w:b/>
          <w:bCs/>
          <w:sz w:val="22"/>
          <w:szCs w:val="22"/>
        </w:rPr>
        <w:tab/>
      </w:r>
      <w:r w:rsidRPr="00E92BDA">
        <w:rPr>
          <w:rFonts w:ascii="Arial" w:hAnsi="Arial" w:cs="Arial"/>
          <w:b/>
          <w:bCs/>
          <w:sz w:val="22"/>
          <w:szCs w:val="22"/>
        </w:rPr>
        <w:tab/>
        <w:t>1</w:t>
      </w:r>
      <w:r w:rsidR="008C4A82" w:rsidRPr="00E92BDA">
        <w:rPr>
          <w:rFonts w:ascii="Arial" w:hAnsi="Arial" w:cs="Arial"/>
          <w:b/>
          <w:bCs/>
          <w:sz w:val="22"/>
          <w:szCs w:val="22"/>
        </w:rPr>
        <w:t>8</w:t>
      </w:r>
    </w:p>
    <w:p w:rsidR="00FF6240" w:rsidRPr="00E92BDA" w:rsidRDefault="00E60EEF" w:rsidP="00071525">
      <w:pPr>
        <w:numPr>
          <w:ilvl w:val="0"/>
          <w:numId w:val="12"/>
        </w:numPr>
        <w:spacing w:after="200" w:line="276" w:lineRule="auto"/>
        <w:jc w:val="both"/>
        <w:rPr>
          <w:rFonts w:ascii="Arial" w:hAnsi="Arial" w:cs="Arial"/>
          <w:b/>
          <w:bCs/>
          <w:sz w:val="22"/>
          <w:szCs w:val="22"/>
        </w:rPr>
      </w:pPr>
      <w:r w:rsidRPr="00E92BDA">
        <w:rPr>
          <w:rFonts w:ascii="Arial" w:hAnsi="Arial" w:cs="Arial"/>
          <w:b/>
          <w:bCs/>
          <w:sz w:val="22"/>
          <w:szCs w:val="22"/>
        </w:rPr>
        <w:t>Conclusions</w:t>
      </w:r>
      <w:r w:rsidR="00FF6240" w:rsidRPr="00E92BDA">
        <w:rPr>
          <w:rFonts w:ascii="Arial" w:hAnsi="Arial" w:cs="Arial"/>
          <w:b/>
          <w:bCs/>
          <w:sz w:val="22"/>
          <w:szCs w:val="22"/>
        </w:rPr>
        <w:tab/>
      </w:r>
      <w:r w:rsidR="00FF6240" w:rsidRPr="00E92BDA">
        <w:rPr>
          <w:rFonts w:ascii="Arial" w:hAnsi="Arial" w:cs="Arial"/>
          <w:b/>
          <w:bCs/>
          <w:sz w:val="22"/>
          <w:szCs w:val="22"/>
        </w:rPr>
        <w:tab/>
      </w:r>
      <w:r w:rsidR="00FF6240" w:rsidRPr="00E92BDA">
        <w:rPr>
          <w:rFonts w:ascii="Arial" w:hAnsi="Arial" w:cs="Arial"/>
          <w:b/>
          <w:bCs/>
          <w:sz w:val="22"/>
          <w:szCs w:val="22"/>
        </w:rPr>
        <w:tab/>
      </w:r>
      <w:r w:rsidR="00FF6240" w:rsidRPr="00E92BDA">
        <w:rPr>
          <w:rFonts w:ascii="Arial" w:hAnsi="Arial" w:cs="Arial"/>
          <w:b/>
          <w:bCs/>
          <w:sz w:val="22"/>
          <w:szCs w:val="22"/>
        </w:rPr>
        <w:tab/>
      </w:r>
      <w:r w:rsidR="00FF6240" w:rsidRPr="00E92BDA">
        <w:rPr>
          <w:rFonts w:ascii="Arial" w:hAnsi="Arial" w:cs="Arial"/>
          <w:b/>
          <w:bCs/>
          <w:sz w:val="22"/>
          <w:szCs w:val="22"/>
        </w:rPr>
        <w:tab/>
      </w:r>
      <w:r w:rsidR="00FF6240" w:rsidRPr="00E92BDA">
        <w:rPr>
          <w:rFonts w:ascii="Arial" w:hAnsi="Arial" w:cs="Arial"/>
          <w:b/>
          <w:bCs/>
          <w:sz w:val="22"/>
          <w:szCs w:val="22"/>
        </w:rPr>
        <w:tab/>
      </w:r>
      <w:r w:rsidR="00FF6240" w:rsidRPr="00E92BDA">
        <w:rPr>
          <w:rFonts w:ascii="Arial" w:hAnsi="Arial" w:cs="Arial"/>
          <w:b/>
          <w:bCs/>
          <w:sz w:val="22"/>
          <w:szCs w:val="22"/>
        </w:rPr>
        <w:tab/>
      </w:r>
      <w:r w:rsidR="00FF6240" w:rsidRPr="00E92BDA">
        <w:rPr>
          <w:rFonts w:ascii="Arial" w:hAnsi="Arial" w:cs="Arial"/>
          <w:b/>
          <w:bCs/>
          <w:sz w:val="22"/>
          <w:szCs w:val="22"/>
        </w:rPr>
        <w:tab/>
      </w:r>
      <w:r w:rsidR="00FF6240" w:rsidRPr="00E92BDA">
        <w:rPr>
          <w:rFonts w:ascii="Arial" w:hAnsi="Arial" w:cs="Arial"/>
          <w:b/>
          <w:bCs/>
          <w:sz w:val="22"/>
          <w:szCs w:val="22"/>
        </w:rPr>
        <w:tab/>
        <w:t>2</w:t>
      </w:r>
      <w:r w:rsidR="008C4A82" w:rsidRPr="00E92BDA">
        <w:rPr>
          <w:rFonts w:ascii="Arial" w:hAnsi="Arial" w:cs="Arial"/>
          <w:b/>
          <w:bCs/>
          <w:sz w:val="22"/>
          <w:szCs w:val="22"/>
        </w:rPr>
        <w:t>4</w:t>
      </w:r>
    </w:p>
    <w:p w:rsidR="00FF6240" w:rsidRDefault="00FF6240" w:rsidP="00FF6240">
      <w:pPr>
        <w:spacing w:after="200" w:line="276" w:lineRule="auto"/>
        <w:jc w:val="both"/>
        <w:rPr>
          <w:rFonts w:ascii="Arial" w:hAnsi="Arial" w:cs="Arial"/>
          <w:sz w:val="22"/>
          <w:szCs w:val="22"/>
        </w:rPr>
      </w:pPr>
    </w:p>
    <w:p w:rsidR="00FF6240" w:rsidRDefault="00FF6240" w:rsidP="00FF6240">
      <w:pPr>
        <w:spacing w:after="200" w:line="276" w:lineRule="auto"/>
        <w:jc w:val="both"/>
        <w:rPr>
          <w:rFonts w:ascii="Arial" w:hAnsi="Arial" w:cs="Arial"/>
          <w:sz w:val="22"/>
          <w:szCs w:val="22"/>
        </w:rPr>
      </w:pPr>
    </w:p>
    <w:p w:rsidR="00FF6240" w:rsidRDefault="00FF6240" w:rsidP="00E92BDA">
      <w:pPr>
        <w:ind w:firstLine="360"/>
        <w:jc w:val="both"/>
        <w:rPr>
          <w:rFonts w:ascii="Arial" w:hAnsi="Arial" w:cs="Arial"/>
          <w:b/>
          <w:sz w:val="28"/>
          <w:szCs w:val="28"/>
        </w:rPr>
      </w:pPr>
      <w:r>
        <w:rPr>
          <w:rFonts w:ascii="Arial" w:hAnsi="Arial" w:cs="Arial"/>
          <w:b/>
          <w:sz w:val="28"/>
          <w:szCs w:val="28"/>
        </w:rPr>
        <w:t>Appendices</w:t>
      </w:r>
    </w:p>
    <w:p w:rsidR="00FF6240" w:rsidRDefault="00FF6240" w:rsidP="00FF6240">
      <w:pPr>
        <w:jc w:val="both"/>
        <w:rPr>
          <w:rFonts w:ascii="Arial" w:hAnsi="Arial" w:cs="Arial"/>
          <w:b/>
          <w:sz w:val="28"/>
          <w:szCs w:val="28"/>
        </w:rPr>
      </w:pPr>
    </w:p>
    <w:p w:rsidR="00E60EEF" w:rsidRPr="00FF6240" w:rsidRDefault="00FF6240" w:rsidP="00071525">
      <w:pPr>
        <w:pStyle w:val="ListParagraph"/>
        <w:numPr>
          <w:ilvl w:val="0"/>
          <w:numId w:val="13"/>
        </w:numPr>
        <w:spacing w:after="200" w:line="276" w:lineRule="auto"/>
        <w:jc w:val="both"/>
        <w:rPr>
          <w:rFonts w:ascii="Arial" w:hAnsi="Arial" w:cs="Arial"/>
          <w:sz w:val="22"/>
          <w:szCs w:val="22"/>
        </w:rPr>
      </w:pPr>
      <w:r w:rsidRPr="00FF6240">
        <w:rPr>
          <w:rFonts w:ascii="Arial" w:hAnsi="Arial" w:cs="Arial"/>
          <w:sz w:val="22"/>
          <w:szCs w:val="22"/>
        </w:rPr>
        <w:t>Technical Housing Standards - Nationally Described Space St</w:t>
      </w:r>
      <w:bookmarkStart w:id="0" w:name="_GoBack"/>
      <w:bookmarkEnd w:id="0"/>
      <w:r w:rsidRPr="00FF6240">
        <w:rPr>
          <w:rFonts w:ascii="Arial" w:hAnsi="Arial" w:cs="Arial"/>
          <w:sz w:val="22"/>
          <w:szCs w:val="22"/>
        </w:rPr>
        <w:t>andard (March 2015 as updated)</w:t>
      </w:r>
    </w:p>
    <w:p w:rsidR="00895188" w:rsidRDefault="00895188" w:rsidP="006A6B9F">
      <w:pPr>
        <w:spacing w:line="300" w:lineRule="atLeast"/>
        <w:rPr>
          <w:rFonts w:ascii="Arial" w:hAnsi="Arial" w:cs="Arial"/>
          <w:sz w:val="22"/>
          <w:szCs w:val="22"/>
        </w:rPr>
      </w:pPr>
    </w:p>
    <w:p w:rsidR="00E60EEF" w:rsidRPr="00FF6240" w:rsidRDefault="00E60EEF" w:rsidP="00071525">
      <w:pPr>
        <w:pStyle w:val="ListParagraph"/>
        <w:numPr>
          <w:ilvl w:val="0"/>
          <w:numId w:val="13"/>
        </w:numPr>
        <w:spacing w:line="300" w:lineRule="atLeast"/>
        <w:rPr>
          <w:rFonts w:ascii="Arial" w:hAnsi="Arial" w:cs="Arial"/>
          <w:sz w:val="22"/>
          <w:szCs w:val="22"/>
        </w:rPr>
        <w:sectPr w:rsidR="00E60EEF" w:rsidRPr="00FF6240" w:rsidSect="008C4A82">
          <w:footerReference w:type="even" r:id="rId9"/>
          <w:footerReference w:type="default" r:id="rId10"/>
          <w:pgSz w:w="11900" w:h="16840"/>
          <w:pgMar w:top="1440" w:right="1440" w:bottom="1440" w:left="1440" w:header="709" w:footer="709" w:gutter="0"/>
          <w:pgNumType w:start="0"/>
          <w:cols w:space="708"/>
          <w:titlePg/>
          <w:docGrid w:linePitch="360"/>
        </w:sectPr>
      </w:pPr>
    </w:p>
    <w:p w:rsidR="007760F5" w:rsidRPr="00DC03A3" w:rsidRDefault="00C0623E" w:rsidP="006A6B9F">
      <w:pPr>
        <w:pStyle w:val="ListParagraph"/>
        <w:numPr>
          <w:ilvl w:val="0"/>
          <w:numId w:val="1"/>
        </w:numPr>
        <w:spacing w:line="300" w:lineRule="atLeast"/>
        <w:rPr>
          <w:rFonts w:ascii="Arial" w:hAnsi="Arial" w:cs="Arial"/>
          <w:b/>
          <w:sz w:val="28"/>
          <w:szCs w:val="28"/>
        </w:rPr>
      </w:pPr>
      <w:r w:rsidRPr="00DC03A3">
        <w:rPr>
          <w:rFonts w:ascii="Arial" w:hAnsi="Arial" w:cs="Arial"/>
          <w:b/>
          <w:sz w:val="28"/>
          <w:szCs w:val="28"/>
        </w:rPr>
        <w:lastRenderedPageBreak/>
        <w:tab/>
      </w:r>
      <w:r w:rsidR="007760F5" w:rsidRPr="00DC03A3">
        <w:rPr>
          <w:rFonts w:ascii="Arial" w:hAnsi="Arial" w:cs="Arial"/>
          <w:b/>
          <w:sz w:val="28"/>
          <w:szCs w:val="28"/>
        </w:rPr>
        <w:t>Introduction</w:t>
      </w:r>
    </w:p>
    <w:p w:rsidR="00C0623E" w:rsidRPr="006A6B9F" w:rsidRDefault="00C0623E" w:rsidP="006A6B9F">
      <w:pPr>
        <w:spacing w:line="300" w:lineRule="atLeast"/>
        <w:rPr>
          <w:rFonts w:ascii="Arial" w:hAnsi="Arial" w:cs="Arial"/>
          <w:sz w:val="22"/>
          <w:szCs w:val="22"/>
        </w:rPr>
      </w:pPr>
    </w:p>
    <w:p w:rsidR="0008719C" w:rsidRDefault="00032400" w:rsidP="0008719C">
      <w:pPr>
        <w:pStyle w:val="ListParagraph"/>
        <w:numPr>
          <w:ilvl w:val="1"/>
          <w:numId w:val="1"/>
        </w:numPr>
        <w:spacing w:line="300" w:lineRule="atLeast"/>
        <w:ind w:left="709" w:hanging="695"/>
        <w:rPr>
          <w:rFonts w:ascii="Arial" w:hAnsi="Arial" w:cs="Arial"/>
          <w:sz w:val="22"/>
          <w:szCs w:val="22"/>
        </w:rPr>
      </w:pPr>
      <w:r w:rsidRPr="006A6B9F">
        <w:rPr>
          <w:rFonts w:ascii="Arial" w:hAnsi="Arial" w:cs="Arial"/>
          <w:sz w:val="22"/>
          <w:szCs w:val="22"/>
        </w:rPr>
        <w:t>This topic paper h</w:t>
      </w:r>
      <w:r w:rsidR="00AD6134">
        <w:rPr>
          <w:rFonts w:ascii="Arial" w:hAnsi="Arial" w:cs="Arial"/>
          <w:sz w:val="22"/>
          <w:szCs w:val="22"/>
        </w:rPr>
        <w:t>as been produced to support ‘Policy D</w:t>
      </w:r>
      <w:r w:rsidR="006559A6">
        <w:rPr>
          <w:rFonts w:ascii="Arial" w:hAnsi="Arial" w:cs="Arial"/>
          <w:sz w:val="22"/>
          <w:szCs w:val="22"/>
        </w:rPr>
        <w:t>M</w:t>
      </w:r>
      <w:r w:rsidR="00AD6134">
        <w:rPr>
          <w:rFonts w:ascii="Arial" w:hAnsi="Arial" w:cs="Arial"/>
          <w:sz w:val="22"/>
          <w:szCs w:val="22"/>
        </w:rPr>
        <w:t>10 Standards for Residential Development’ proposed in the Development Management in Birmingham Development Plan Document (DMB).</w:t>
      </w:r>
      <w:r w:rsidR="0008719C">
        <w:rPr>
          <w:rFonts w:ascii="Arial" w:hAnsi="Arial" w:cs="Arial"/>
          <w:sz w:val="22"/>
          <w:szCs w:val="22"/>
        </w:rPr>
        <w:t xml:space="preserve"> </w:t>
      </w:r>
      <w:r w:rsidR="0008719C" w:rsidRPr="00AD6134">
        <w:rPr>
          <w:rFonts w:ascii="Arial" w:hAnsi="Arial" w:cs="Arial"/>
          <w:sz w:val="22"/>
          <w:szCs w:val="22"/>
        </w:rPr>
        <w:t xml:space="preserve">Policy DM10 seeks to introduce elements of the </w:t>
      </w:r>
      <w:r w:rsidR="0008719C">
        <w:rPr>
          <w:rFonts w:ascii="Arial" w:hAnsi="Arial" w:cs="Arial"/>
          <w:sz w:val="22"/>
          <w:szCs w:val="22"/>
        </w:rPr>
        <w:t xml:space="preserve">Housing: optional national technical </w:t>
      </w:r>
      <w:r w:rsidR="0008719C" w:rsidRPr="00AD6134">
        <w:rPr>
          <w:rFonts w:ascii="Arial" w:hAnsi="Arial" w:cs="Arial"/>
          <w:sz w:val="22"/>
          <w:szCs w:val="22"/>
        </w:rPr>
        <w:t xml:space="preserve">standards for new developments in Birmingham, specifically the ‘access’ and ‘space’ components. </w:t>
      </w:r>
    </w:p>
    <w:p w:rsidR="00C0623E" w:rsidRPr="006A6B9F" w:rsidRDefault="00C0623E" w:rsidP="006A6B9F">
      <w:pPr>
        <w:spacing w:line="300" w:lineRule="atLeast"/>
        <w:rPr>
          <w:rFonts w:ascii="Arial" w:hAnsi="Arial" w:cs="Arial"/>
          <w:sz w:val="22"/>
          <w:szCs w:val="22"/>
        </w:rPr>
      </w:pPr>
    </w:p>
    <w:p w:rsidR="006003E8" w:rsidRDefault="00385D68" w:rsidP="006003E8">
      <w:pPr>
        <w:pStyle w:val="ListParagraph"/>
        <w:numPr>
          <w:ilvl w:val="1"/>
          <w:numId w:val="1"/>
        </w:numPr>
        <w:spacing w:line="300" w:lineRule="atLeast"/>
        <w:ind w:left="709" w:hanging="709"/>
        <w:rPr>
          <w:rFonts w:ascii="Arial" w:hAnsi="Arial" w:cs="Arial"/>
          <w:sz w:val="22"/>
          <w:szCs w:val="22"/>
        </w:rPr>
      </w:pPr>
      <w:r w:rsidRPr="006003E8">
        <w:rPr>
          <w:rFonts w:ascii="Arial" w:hAnsi="Arial" w:cs="Arial"/>
          <w:sz w:val="22"/>
          <w:szCs w:val="22"/>
        </w:rPr>
        <w:t>In 2015 the government set out a new approach to housing technical standards in a Written M</w:t>
      </w:r>
      <w:r w:rsidR="00241739" w:rsidRPr="006003E8">
        <w:rPr>
          <w:rFonts w:ascii="Arial" w:hAnsi="Arial" w:cs="Arial"/>
          <w:sz w:val="22"/>
          <w:szCs w:val="22"/>
        </w:rPr>
        <w:t>inisterial Statement</w:t>
      </w:r>
      <w:r w:rsidRPr="006003E8">
        <w:rPr>
          <w:rFonts w:ascii="Arial" w:hAnsi="Arial" w:cs="Arial"/>
          <w:sz w:val="22"/>
          <w:szCs w:val="22"/>
        </w:rPr>
        <w:t>.</w:t>
      </w:r>
      <w:r w:rsidR="006B7E38" w:rsidRPr="006A6B9F">
        <w:rPr>
          <w:rStyle w:val="FootnoteReference"/>
          <w:rFonts w:ascii="Arial" w:hAnsi="Arial" w:cs="Arial"/>
          <w:sz w:val="22"/>
          <w:szCs w:val="22"/>
        </w:rPr>
        <w:footnoteReference w:id="1"/>
      </w:r>
      <w:r w:rsidR="009A3267" w:rsidRPr="006003E8">
        <w:rPr>
          <w:rFonts w:ascii="Arial" w:hAnsi="Arial" w:cs="Arial"/>
          <w:sz w:val="22"/>
          <w:szCs w:val="22"/>
        </w:rPr>
        <w:t xml:space="preserve"> </w:t>
      </w:r>
      <w:r w:rsidR="006003E8" w:rsidRPr="006003E8">
        <w:rPr>
          <w:rFonts w:ascii="Arial" w:hAnsi="Arial" w:cs="Arial"/>
          <w:sz w:val="22"/>
          <w:szCs w:val="22"/>
        </w:rPr>
        <w:t xml:space="preserve">Whilst the majority of the </w:t>
      </w:r>
      <w:r w:rsidR="006003E8">
        <w:rPr>
          <w:rFonts w:ascii="Arial" w:hAnsi="Arial" w:cs="Arial"/>
          <w:sz w:val="22"/>
          <w:szCs w:val="22"/>
        </w:rPr>
        <w:t>reforms</w:t>
      </w:r>
      <w:r w:rsidR="006003E8" w:rsidRPr="006003E8">
        <w:rPr>
          <w:rFonts w:ascii="Arial" w:hAnsi="Arial" w:cs="Arial"/>
          <w:sz w:val="22"/>
          <w:szCs w:val="22"/>
        </w:rPr>
        <w:t xml:space="preserve"> were incorporated into Building Regulations, the space</w:t>
      </w:r>
      <w:r w:rsidR="006003E8">
        <w:rPr>
          <w:rFonts w:ascii="Arial" w:hAnsi="Arial" w:cs="Arial"/>
          <w:sz w:val="22"/>
          <w:szCs w:val="22"/>
        </w:rPr>
        <w:t>, water</w:t>
      </w:r>
      <w:r w:rsidR="006003E8" w:rsidRPr="006003E8">
        <w:rPr>
          <w:rFonts w:ascii="Arial" w:hAnsi="Arial" w:cs="Arial"/>
          <w:sz w:val="22"/>
          <w:szCs w:val="22"/>
        </w:rPr>
        <w:t xml:space="preserve"> and enhanced accessibility standards were treated as optional standards that Local Planning Authorities (LPAs) can adopt through their </w:t>
      </w:r>
      <w:r w:rsidR="006003E8">
        <w:rPr>
          <w:rFonts w:ascii="Arial" w:hAnsi="Arial" w:cs="Arial"/>
          <w:sz w:val="22"/>
          <w:szCs w:val="22"/>
        </w:rPr>
        <w:t>l</w:t>
      </w:r>
      <w:r w:rsidR="006003E8" w:rsidRPr="006003E8">
        <w:rPr>
          <w:rFonts w:ascii="Arial" w:hAnsi="Arial" w:cs="Arial"/>
          <w:sz w:val="22"/>
          <w:szCs w:val="22"/>
        </w:rPr>
        <w:t xml:space="preserve">ocal </w:t>
      </w:r>
      <w:r w:rsidR="006003E8">
        <w:rPr>
          <w:rFonts w:ascii="Arial" w:hAnsi="Arial" w:cs="Arial"/>
          <w:sz w:val="22"/>
          <w:szCs w:val="22"/>
        </w:rPr>
        <w:t>p</w:t>
      </w:r>
      <w:r w:rsidR="006003E8" w:rsidRPr="006003E8">
        <w:rPr>
          <w:rFonts w:ascii="Arial" w:hAnsi="Arial" w:cs="Arial"/>
          <w:sz w:val="22"/>
          <w:szCs w:val="22"/>
        </w:rPr>
        <w:t>lan</w:t>
      </w:r>
      <w:r w:rsidR="006003E8">
        <w:rPr>
          <w:rFonts w:ascii="Arial" w:hAnsi="Arial" w:cs="Arial"/>
          <w:sz w:val="22"/>
          <w:szCs w:val="22"/>
        </w:rPr>
        <w:t>,</w:t>
      </w:r>
      <w:r w:rsidR="006003E8" w:rsidRPr="006003E8">
        <w:rPr>
          <w:rFonts w:ascii="Arial" w:hAnsi="Arial" w:cs="Arial"/>
          <w:sz w:val="22"/>
          <w:szCs w:val="22"/>
        </w:rPr>
        <w:t xml:space="preserve"> where there is demonstrated to be a local need.</w:t>
      </w:r>
    </w:p>
    <w:p w:rsidR="006003E8" w:rsidRPr="006003E8" w:rsidRDefault="006003E8" w:rsidP="006003E8">
      <w:pPr>
        <w:pStyle w:val="ListParagraph"/>
        <w:rPr>
          <w:rFonts w:ascii="Arial" w:hAnsi="Arial" w:cs="Arial"/>
          <w:sz w:val="22"/>
          <w:szCs w:val="22"/>
        </w:rPr>
      </w:pPr>
    </w:p>
    <w:p w:rsidR="00385D68" w:rsidRDefault="006003E8" w:rsidP="004E212B">
      <w:pPr>
        <w:pStyle w:val="ListParagraph"/>
        <w:numPr>
          <w:ilvl w:val="1"/>
          <w:numId w:val="1"/>
        </w:numPr>
        <w:spacing w:line="300" w:lineRule="atLeast"/>
        <w:ind w:left="709" w:hanging="709"/>
        <w:rPr>
          <w:rFonts w:ascii="Arial" w:hAnsi="Arial" w:cs="Arial"/>
          <w:sz w:val="22"/>
          <w:szCs w:val="22"/>
        </w:rPr>
      </w:pPr>
      <w:r w:rsidRPr="006003E8">
        <w:rPr>
          <w:rFonts w:ascii="Arial" w:hAnsi="Arial" w:cs="Arial"/>
          <w:sz w:val="22"/>
          <w:szCs w:val="22"/>
        </w:rPr>
        <w:t xml:space="preserve">LPAs </w:t>
      </w:r>
      <w:proofErr w:type="gramStart"/>
      <w:r w:rsidRPr="006003E8">
        <w:rPr>
          <w:rFonts w:ascii="Arial" w:hAnsi="Arial" w:cs="Arial"/>
          <w:sz w:val="22"/>
          <w:szCs w:val="22"/>
        </w:rPr>
        <w:t>have to</w:t>
      </w:r>
      <w:proofErr w:type="gramEnd"/>
      <w:r w:rsidRPr="006003E8">
        <w:rPr>
          <w:rFonts w:ascii="Arial" w:hAnsi="Arial" w:cs="Arial"/>
          <w:sz w:val="22"/>
          <w:szCs w:val="22"/>
        </w:rPr>
        <w:t xml:space="preserve"> gather evidence to determine whether there is a need for additional standards in their area</w:t>
      </w:r>
      <w:r w:rsidR="004E212B">
        <w:rPr>
          <w:rFonts w:ascii="Arial" w:hAnsi="Arial" w:cs="Arial"/>
          <w:sz w:val="22"/>
          <w:szCs w:val="22"/>
        </w:rPr>
        <w:t xml:space="preserve"> and</w:t>
      </w:r>
      <w:r w:rsidRPr="006003E8">
        <w:rPr>
          <w:rFonts w:ascii="Arial" w:hAnsi="Arial" w:cs="Arial"/>
          <w:sz w:val="22"/>
          <w:szCs w:val="22"/>
        </w:rPr>
        <w:t xml:space="preserve"> that they have</w:t>
      </w:r>
      <w:r w:rsidR="004E212B">
        <w:rPr>
          <w:rFonts w:ascii="Arial" w:hAnsi="Arial" w:cs="Arial"/>
          <w:sz w:val="22"/>
          <w:szCs w:val="22"/>
        </w:rPr>
        <w:t xml:space="preserve"> </w:t>
      </w:r>
      <w:r w:rsidRPr="004E212B">
        <w:rPr>
          <w:rFonts w:ascii="Arial" w:hAnsi="Arial" w:cs="Arial"/>
          <w:sz w:val="22"/>
          <w:szCs w:val="22"/>
        </w:rPr>
        <w:t>considered the viability implications of adopting them</w:t>
      </w:r>
      <w:r w:rsidR="004E212B">
        <w:rPr>
          <w:rFonts w:ascii="Arial" w:hAnsi="Arial" w:cs="Arial"/>
          <w:sz w:val="22"/>
          <w:szCs w:val="22"/>
        </w:rPr>
        <w:t xml:space="preserve">, to </w:t>
      </w:r>
      <w:r w:rsidRPr="004E212B">
        <w:rPr>
          <w:rFonts w:ascii="Arial" w:hAnsi="Arial" w:cs="Arial"/>
          <w:sz w:val="22"/>
          <w:szCs w:val="22"/>
        </w:rPr>
        <w:t xml:space="preserve">justify setting policies in their </w:t>
      </w:r>
      <w:r w:rsidR="004E212B">
        <w:rPr>
          <w:rFonts w:ascii="Arial" w:hAnsi="Arial" w:cs="Arial"/>
          <w:sz w:val="22"/>
          <w:szCs w:val="22"/>
        </w:rPr>
        <w:t>l</w:t>
      </w:r>
      <w:r w:rsidRPr="004E212B">
        <w:rPr>
          <w:rFonts w:ascii="Arial" w:hAnsi="Arial" w:cs="Arial"/>
          <w:sz w:val="22"/>
          <w:szCs w:val="22"/>
        </w:rPr>
        <w:t xml:space="preserve">ocal </w:t>
      </w:r>
      <w:r w:rsidR="004E212B">
        <w:rPr>
          <w:rFonts w:ascii="Arial" w:hAnsi="Arial" w:cs="Arial"/>
          <w:sz w:val="22"/>
          <w:szCs w:val="22"/>
        </w:rPr>
        <w:t>p</w:t>
      </w:r>
      <w:r w:rsidRPr="004E212B">
        <w:rPr>
          <w:rFonts w:ascii="Arial" w:hAnsi="Arial" w:cs="Arial"/>
          <w:sz w:val="22"/>
          <w:szCs w:val="22"/>
        </w:rPr>
        <w:t>lans.</w:t>
      </w:r>
    </w:p>
    <w:p w:rsidR="004E212B" w:rsidRPr="004E212B" w:rsidRDefault="004E212B" w:rsidP="004E212B">
      <w:pPr>
        <w:spacing w:line="300" w:lineRule="atLeast"/>
        <w:rPr>
          <w:rFonts w:ascii="Arial" w:hAnsi="Arial" w:cs="Arial"/>
          <w:sz w:val="22"/>
          <w:szCs w:val="22"/>
        </w:rPr>
      </w:pPr>
    </w:p>
    <w:p w:rsidR="00385D68" w:rsidRPr="00385D68" w:rsidRDefault="00385D68" w:rsidP="00385D68">
      <w:pPr>
        <w:pStyle w:val="ListParagraph"/>
        <w:numPr>
          <w:ilvl w:val="1"/>
          <w:numId w:val="1"/>
        </w:numPr>
        <w:spacing w:line="300" w:lineRule="atLeast"/>
        <w:ind w:left="709" w:hanging="709"/>
        <w:rPr>
          <w:rFonts w:ascii="Arial" w:hAnsi="Arial" w:cs="Arial"/>
          <w:sz w:val="22"/>
          <w:szCs w:val="22"/>
        </w:rPr>
      </w:pPr>
      <w:r w:rsidRPr="00385D68">
        <w:rPr>
          <w:rFonts w:ascii="Arial" w:hAnsi="Arial" w:cs="Arial"/>
          <w:sz w:val="22"/>
          <w:szCs w:val="22"/>
        </w:rPr>
        <w:t xml:space="preserve">This paper </w:t>
      </w:r>
      <w:r w:rsidR="006003E8">
        <w:rPr>
          <w:rFonts w:ascii="Arial" w:hAnsi="Arial" w:cs="Arial"/>
          <w:sz w:val="22"/>
          <w:szCs w:val="22"/>
        </w:rPr>
        <w:t xml:space="preserve">therefore </w:t>
      </w:r>
      <w:r w:rsidRPr="00385D68">
        <w:rPr>
          <w:rFonts w:ascii="Arial" w:hAnsi="Arial" w:cs="Arial"/>
          <w:sz w:val="22"/>
          <w:szCs w:val="22"/>
        </w:rPr>
        <w:t xml:space="preserve">provides </w:t>
      </w:r>
      <w:r w:rsidR="006003E8" w:rsidRPr="006003E8">
        <w:rPr>
          <w:rFonts w:ascii="Arial" w:hAnsi="Arial" w:cs="Arial"/>
          <w:sz w:val="22"/>
          <w:szCs w:val="22"/>
        </w:rPr>
        <w:t xml:space="preserve">evidence of need for the optional technical standards relating to space and accessibility in </w:t>
      </w:r>
      <w:r w:rsidR="006003E8">
        <w:rPr>
          <w:rFonts w:ascii="Arial" w:hAnsi="Arial" w:cs="Arial"/>
          <w:sz w:val="22"/>
          <w:szCs w:val="22"/>
        </w:rPr>
        <w:t>Birmingham</w:t>
      </w:r>
      <w:r w:rsidR="006003E8" w:rsidRPr="006003E8">
        <w:rPr>
          <w:rFonts w:ascii="Arial" w:hAnsi="Arial" w:cs="Arial"/>
          <w:sz w:val="22"/>
          <w:szCs w:val="22"/>
        </w:rPr>
        <w:t>, demonstrates that the introduction of these enhanced optional standards will not have a significant impact on the viability of development in the city</w:t>
      </w:r>
      <w:r w:rsidR="006003E8">
        <w:rPr>
          <w:rFonts w:ascii="Arial" w:hAnsi="Arial" w:cs="Arial"/>
          <w:sz w:val="22"/>
          <w:szCs w:val="22"/>
        </w:rPr>
        <w:t xml:space="preserve"> and justifies </w:t>
      </w:r>
      <w:r w:rsidRPr="00385D68">
        <w:rPr>
          <w:rFonts w:ascii="Arial" w:hAnsi="Arial" w:cs="Arial"/>
          <w:sz w:val="22"/>
          <w:szCs w:val="22"/>
        </w:rPr>
        <w:t>inclusion of the optional Nationally Described Space Standards</w:t>
      </w:r>
      <w:r w:rsidR="007A06AC">
        <w:rPr>
          <w:rStyle w:val="FootnoteReference"/>
          <w:rFonts w:ascii="Arial" w:hAnsi="Arial" w:cs="Arial"/>
          <w:sz w:val="22"/>
          <w:szCs w:val="22"/>
        </w:rPr>
        <w:footnoteReference w:id="2"/>
      </w:r>
      <w:r w:rsidRPr="00385D68">
        <w:rPr>
          <w:rFonts w:ascii="Arial" w:hAnsi="Arial" w:cs="Arial"/>
          <w:sz w:val="22"/>
          <w:szCs w:val="22"/>
        </w:rPr>
        <w:t xml:space="preserve"> and Building Regulations Part M4(2) (accessible and adaptable dwellings) standard</w:t>
      </w:r>
      <w:r w:rsidR="004E212B">
        <w:rPr>
          <w:rFonts w:ascii="Arial" w:hAnsi="Arial" w:cs="Arial"/>
          <w:sz w:val="22"/>
          <w:szCs w:val="22"/>
        </w:rPr>
        <w:t>.</w:t>
      </w:r>
      <w:r w:rsidR="007A06AC">
        <w:rPr>
          <w:rStyle w:val="FootnoteReference"/>
          <w:rFonts w:ascii="Arial" w:hAnsi="Arial" w:cs="Arial"/>
          <w:sz w:val="22"/>
          <w:szCs w:val="22"/>
        </w:rPr>
        <w:footnoteReference w:id="3"/>
      </w:r>
    </w:p>
    <w:p w:rsidR="009A3267" w:rsidRDefault="009A3267" w:rsidP="009A3267">
      <w:pPr>
        <w:rPr>
          <w:rFonts w:ascii="Arial" w:hAnsi="Arial" w:cs="Arial"/>
          <w:sz w:val="22"/>
          <w:szCs w:val="22"/>
        </w:rPr>
      </w:pPr>
    </w:p>
    <w:p w:rsidR="009A3267" w:rsidRDefault="009A3267" w:rsidP="009A3267">
      <w:pPr>
        <w:rPr>
          <w:rFonts w:ascii="Arial" w:hAnsi="Arial" w:cs="Arial"/>
          <w:sz w:val="22"/>
          <w:szCs w:val="22"/>
        </w:rPr>
      </w:pPr>
    </w:p>
    <w:p w:rsidR="009A3267" w:rsidRDefault="004E212B" w:rsidP="00116388">
      <w:pPr>
        <w:rPr>
          <w:rFonts w:ascii="Arial" w:hAnsi="Arial" w:cs="Arial"/>
          <w:b/>
          <w:sz w:val="28"/>
          <w:szCs w:val="28"/>
        </w:rPr>
      </w:pPr>
      <w:r>
        <w:rPr>
          <w:rFonts w:ascii="Arial" w:hAnsi="Arial" w:cs="Arial"/>
          <w:b/>
          <w:sz w:val="28"/>
          <w:szCs w:val="28"/>
        </w:rPr>
        <w:t>2</w:t>
      </w:r>
      <w:r w:rsidR="009A3267" w:rsidRPr="00DC03A3">
        <w:rPr>
          <w:rFonts w:ascii="Arial" w:hAnsi="Arial" w:cs="Arial"/>
          <w:b/>
          <w:sz w:val="28"/>
          <w:szCs w:val="28"/>
        </w:rPr>
        <w:t>.0</w:t>
      </w:r>
      <w:r w:rsidR="009A3267" w:rsidRPr="00DC03A3">
        <w:rPr>
          <w:rFonts w:ascii="Arial" w:hAnsi="Arial" w:cs="Arial"/>
          <w:b/>
          <w:sz w:val="28"/>
          <w:szCs w:val="28"/>
        </w:rPr>
        <w:tab/>
      </w:r>
      <w:r w:rsidR="007A06AC">
        <w:rPr>
          <w:rFonts w:ascii="Arial" w:hAnsi="Arial" w:cs="Arial"/>
          <w:b/>
          <w:sz w:val="28"/>
          <w:szCs w:val="28"/>
        </w:rPr>
        <w:t xml:space="preserve">Planning </w:t>
      </w:r>
      <w:r w:rsidR="009A3267" w:rsidRPr="00DC03A3">
        <w:rPr>
          <w:rFonts w:ascii="Arial" w:hAnsi="Arial" w:cs="Arial"/>
          <w:b/>
          <w:sz w:val="28"/>
          <w:szCs w:val="28"/>
        </w:rPr>
        <w:t>Policy Context</w:t>
      </w:r>
    </w:p>
    <w:p w:rsidR="00116388" w:rsidRPr="00116388" w:rsidRDefault="00116388" w:rsidP="00116388">
      <w:pPr>
        <w:rPr>
          <w:rFonts w:ascii="Arial" w:hAnsi="Arial" w:cs="Arial"/>
          <w:b/>
          <w:sz w:val="28"/>
          <w:szCs w:val="28"/>
        </w:rPr>
      </w:pPr>
    </w:p>
    <w:p w:rsidR="00116388" w:rsidRDefault="00116388" w:rsidP="009A3267">
      <w:pPr>
        <w:spacing w:line="300" w:lineRule="atLeast"/>
        <w:rPr>
          <w:rFonts w:ascii="Arial" w:hAnsi="Arial" w:cs="Arial"/>
          <w:b/>
          <w:bCs/>
          <w:sz w:val="22"/>
          <w:szCs w:val="22"/>
        </w:rPr>
      </w:pPr>
      <w:r>
        <w:rPr>
          <w:rFonts w:ascii="Arial" w:hAnsi="Arial" w:cs="Arial"/>
          <w:sz w:val="22"/>
          <w:szCs w:val="22"/>
        </w:rPr>
        <w:tab/>
      </w:r>
      <w:r w:rsidRPr="00116388">
        <w:rPr>
          <w:rFonts w:ascii="Arial" w:hAnsi="Arial" w:cs="Arial"/>
          <w:b/>
          <w:bCs/>
          <w:sz w:val="22"/>
          <w:szCs w:val="22"/>
        </w:rPr>
        <w:t xml:space="preserve">National </w:t>
      </w:r>
    </w:p>
    <w:p w:rsidR="00116388" w:rsidRPr="00116388" w:rsidRDefault="00116388" w:rsidP="009A3267">
      <w:pPr>
        <w:spacing w:line="300" w:lineRule="atLeast"/>
        <w:rPr>
          <w:rFonts w:ascii="Arial" w:hAnsi="Arial" w:cs="Arial"/>
          <w:b/>
          <w:bCs/>
          <w:sz w:val="22"/>
          <w:szCs w:val="22"/>
        </w:rPr>
      </w:pPr>
    </w:p>
    <w:p w:rsidR="008C62E0" w:rsidRPr="0010760E" w:rsidRDefault="00116388" w:rsidP="0010760E">
      <w:pPr>
        <w:spacing w:line="300" w:lineRule="atLeast"/>
        <w:ind w:left="709" w:hanging="709"/>
        <w:rPr>
          <w:rFonts w:ascii="Arial" w:hAnsi="Arial" w:cs="Arial"/>
          <w:sz w:val="22"/>
          <w:szCs w:val="22"/>
        </w:rPr>
      </w:pPr>
      <w:r>
        <w:rPr>
          <w:rFonts w:ascii="Arial" w:hAnsi="Arial" w:cs="Arial"/>
          <w:sz w:val="22"/>
          <w:szCs w:val="22"/>
        </w:rPr>
        <w:t>2</w:t>
      </w:r>
      <w:r w:rsidR="009A3267">
        <w:rPr>
          <w:rFonts w:ascii="Arial" w:hAnsi="Arial" w:cs="Arial"/>
          <w:sz w:val="22"/>
          <w:szCs w:val="22"/>
        </w:rPr>
        <w:t>.1</w:t>
      </w:r>
      <w:r w:rsidR="009A3267">
        <w:rPr>
          <w:rFonts w:ascii="Arial" w:hAnsi="Arial" w:cs="Arial"/>
          <w:sz w:val="22"/>
          <w:szCs w:val="22"/>
        </w:rPr>
        <w:tab/>
        <w:t xml:space="preserve">The National Planning Policy Framework (NPPF) </w:t>
      </w:r>
      <w:r w:rsidR="008C62E0">
        <w:rPr>
          <w:rFonts w:ascii="Arial" w:hAnsi="Arial" w:cs="Arial"/>
          <w:sz w:val="22"/>
          <w:szCs w:val="22"/>
        </w:rPr>
        <w:t>sets out government’s planning policies for England and how these are to be applied. The NPPF is clear th</w:t>
      </w:r>
      <w:r w:rsidR="0010760E">
        <w:rPr>
          <w:rFonts w:ascii="Arial" w:hAnsi="Arial" w:cs="Arial"/>
          <w:sz w:val="22"/>
          <w:szCs w:val="22"/>
        </w:rPr>
        <w:t>at</w:t>
      </w:r>
      <w:r w:rsidR="008C62E0">
        <w:rPr>
          <w:rFonts w:ascii="Arial" w:hAnsi="Arial" w:cs="Arial"/>
          <w:sz w:val="22"/>
          <w:szCs w:val="22"/>
        </w:rPr>
        <w:t xml:space="preserve"> </w:t>
      </w:r>
      <w:r w:rsidR="0010760E">
        <w:rPr>
          <w:rFonts w:ascii="Arial" w:hAnsi="Arial" w:cs="Arial"/>
          <w:sz w:val="22"/>
          <w:szCs w:val="22"/>
        </w:rPr>
        <w:t>local planning authorities</w:t>
      </w:r>
      <w:r w:rsidR="008C62E0">
        <w:rPr>
          <w:rFonts w:ascii="Arial" w:hAnsi="Arial" w:cs="Arial"/>
          <w:sz w:val="22"/>
          <w:szCs w:val="22"/>
        </w:rPr>
        <w:t xml:space="preserve"> should plan to create safe, accessible environments and promote inclusion and community cohesion. </w:t>
      </w:r>
      <w:r w:rsidR="002616B3">
        <w:rPr>
          <w:rFonts w:ascii="Arial" w:hAnsi="Arial" w:cs="Arial"/>
          <w:sz w:val="22"/>
          <w:szCs w:val="22"/>
        </w:rPr>
        <w:t xml:space="preserve">In achieving well designed places, </w:t>
      </w:r>
      <w:r w:rsidR="0010760E">
        <w:rPr>
          <w:rFonts w:ascii="Arial" w:hAnsi="Arial" w:cs="Arial"/>
          <w:sz w:val="22"/>
          <w:szCs w:val="22"/>
        </w:rPr>
        <w:t xml:space="preserve">para. 127 of the </w:t>
      </w:r>
      <w:r w:rsidR="002616B3">
        <w:rPr>
          <w:rFonts w:ascii="Arial" w:hAnsi="Arial" w:cs="Arial"/>
          <w:sz w:val="22"/>
          <w:szCs w:val="22"/>
        </w:rPr>
        <w:t xml:space="preserve">NPPF says that </w:t>
      </w:r>
      <w:r w:rsidR="002616B3" w:rsidRPr="00D3726E">
        <w:rPr>
          <w:rFonts w:ascii="Arial" w:hAnsi="Arial" w:cs="Arial"/>
          <w:i/>
          <w:sz w:val="22"/>
          <w:szCs w:val="22"/>
        </w:rPr>
        <w:t>“Planning policies and decisions should ensure that developments …. f) create places that are safe, inclusive and accessible and which promote health and well-being, with a high standard of amenity for existing and future users</w:t>
      </w:r>
      <w:r w:rsidR="00D3726E">
        <w:rPr>
          <w:rFonts w:ascii="Arial" w:hAnsi="Arial" w:cs="Arial"/>
          <w:i/>
          <w:sz w:val="22"/>
          <w:szCs w:val="22"/>
        </w:rPr>
        <w:t>(</w:t>
      </w:r>
      <w:r w:rsidR="002616B3" w:rsidRPr="00D3726E">
        <w:rPr>
          <w:rFonts w:ascii="Arial" w:hAnsi="Arial" w:cs="Arial"/>
          <w:i/>
          <w:sz w:val="22"/>
          <w:szCs w:val="22"/>
        </w:rPr>
        <w:t>46</w:t>
      </w:r>
      <w:r w:rsidR="00D3726E">
        <w:rPr>
          <w:rFonts w:ascii="Arial" w:hAnsi="Arial" w:cs="Arial"/>
          <w:i/>
          <w:sz w:val="22"/>
          <w:szCs w:val="22"/>
        </w:rPr>
        <w:t>)</w:t>
      </w:r>
      <w:r w:rsidR="002616B3" w:rsidRPr="00D3726E">
        <w:rPr>
          <w:rFonts w:ascii="Arial" w:hAnsi="Arial" w:cs="Arial"/>
          <w:i/>
          <w:sz w:val="22"/>
          <w:szCs w:val="22"/>
        </w:rPr>
        <w:t>; and where crime and disorder, and the fear of crime, do not undermine the quality of life or community cohesion and resilience.”</w:t>
      </w:r>
    </w:p>
    <w:p w:rsidR="00DC03A3" w:rsidRDefault="00DC03A3" w:rsidP="008C62E0">
      <w:pPr>
        <w:spacing w:line="300" w:lineRule="atLeast"/>
        <w:ind w:left="709" w:hanging="709"/>
        <w:rPr>
          <w:rFonts w:ascii="Arial" w:hAnsi="Arial" w:cs="Arial"/>
          <w:i/>
          <w:sz w:val="22"/>
          <w:szCs w:val="22"/>
        </w:rPr>
      </w:pPr>
    </w:p>
    <w:p w:rsidR="008C62E0" w:rsidRDefault="00116388" w:rsidP="00F03EC5">
      <w:pPr>
        <w:spacing w:line="300" w:lineRule="atLeast"/>
        <w:ind w:left="709" w:hanging="709"/>
        <w:rPr>
          <w:rFonts w:ascii="Arial" w:hAnsi="Arial" w:cs="Arial"/>
          <w:i/>
          <w:sz w:val="22"/>
          <w:szCs w:val="22"/>
        </w:rPr>
      </w:pPr>
      <w:r>
        <w:rPr>
          <w:rFonts w:ascii="Arial" w:hAnsi="Arial" w:cs="Arial"/>
          <w:sz w:val="22"/>
          <w:szCs w:val="22"/>
        </w:rPr>
        <w:t>2</w:t>
      </w:r>
      <w:r w:rsidR="008C62E0" w:rsidRPr="008C62E0">
        <w:rPr>
          <w:rFonts w:ascii="Arial" w:hAnsi="Arial" w:cs="Arial"/>
          <w:sz w:val="22"/>
          <w:szCs w:val="22"/>
        </w:rPr>
        <w:t>.</w:t>
      </w:r>
      <w:r w:rsidR="0010760E">
        <w:rPr>
          <w:rFonts w:ascii="Arial" w:hAnsi="Arial" w:cs="Arial"/>
          <w:sz w:val="22"/>
          <w:szCs w:val="22"/>
        </w:rPr>
        <w:t>2</w:t>
      </w:r>
      <w:r w:rsidR="008C62E0" w:rsidRPr="008C62E0">
        <w:rPr>
          <w:rFonts w:ascii="Arial" w:hAnsi="Arial" w:cs="Arial"/>
          <w:sz w:val="22"/>
          <w:szCs w:val="22"/>
        </w:rPr>
        <w:tab/>
      </w:r>
      <w:r w:rsidR="00D3726E" w:rsidRPr="006740C1">
        <w:rPr>
          <w:rFonts w:ascii="Arial" w:hAnsi="Arial" w:cs="Arial"/>
          <w:i/>
          <w:sz w:val="22"/>
          <w:szCs w:val="22"/>
        </w:rPr>
        <w:t xml:space="preserve">Footnote </w:t>
      </w:r>
      <w:r w:rsidR="004A19F7">
        <w:rPr>
          <w:rFonts w:ascii="Arial" w:hAnsi="Arial" w:cs="Arial"/>
          <w:i/>
          <w:sz w:val="22"/>
          <w:szCs w:val="22"/>
        </w:rPr>
        <w:t>(</w:t>
      </w:r>
      <w:r w:rsidR="00D3726E" w:rsidRPr="006740C1">
        <w:rPr>
          <w:rFonts w:ascii="Arial" w:hAnsi="Arial" w:cs="Arial"/>
          <w:i/>
          <w:sz w:val="22"/>
          <w:szCs w:val="22"/>
        </w:rPr>
        <w:t>46</w:t>
      </w:r>
      <w:r w:rsidR="004A19F7">
        <w:rPr>
          <w:rFonts w:ascii="Arial" w:hAnsi="Arial" w:cs="Arial"/>
          <w:i/>
          <w:sz w:val="22"/>
          <w:szCs w:val="22"/>
        </w:rPr>
        <w:t>) states:</w:t>
      </w:r>
      <w:r w:rsidR="006740C1">
        <w:rPr>
          <w:rFonts w:ascii="Arial" w:hAnsi="Arial" w:cs="Arial"/>
          <w:i/>
          <w:sz w:val="22"/>
          <w:szCs w:val="22"/>
        </w:rPr>
        <w:t xml:space="preserve"> </w:t>
      </w:r>
      <w:r w:rsidR="004A19F7">
        <w:rPr>
          <w:rFonts w:ascii="Arial" w:hAnsi="Arial" w:cs="Arial"/>
          <w:i/>
          <w:sz w:val="22"/>
          <w:szCs w:val="22"/>
        </w:rPr>
        <w:t>“</w:t>
      </w:r>
      <w:r w:rsidR="006740C1" w:rsidRPr="006740C1">
        <w:rPr>
          <w:rFonts w:ascii="Arial" w:hAnsi="Arial" w:cs="Arial"/>
          <w:i/>
          <w:sz w:val="22"/>
          <w:szCs w:val="22"/>
        </w:rPr>
        <w:t xml:space="preserve">Planning policies for housing should make use of the Government’s optional technical standards for accessible and adaptable housing, where this would address </w:t>
      </w:r>
      <w:r w:rsidR="006740C1" w:rsidRPr="006740C1">
        <w:rPr>
          <w:rFonts w:ascii="Arial" w:hAnsi="Arial" w:cs="Arial"/>
          <w:i/>
          <w:sz w:val="22"/>
          <w:szCs w:val="22"/>
        </w:rPr>
        <w:lastRenderedPageBreak/>
        <w:t>an identified need for such properties. Policies may also make use of the nationally described space standard, where the need for an internal space standard can be justified.</w:t>
      </w:r>
      <w:r w:rsidR="006740C1">
        <w:rPr>
          <w:rFonts w:ascii="Arial" w:hAnsi="Arial" w:cs="Arial"/>
          <w:i/>
          <w:sz w:val="22"/>
          <w:szCs w:val="22"/>
        </w:rPr>
        <w:t>”</w:t>
      </w:r>
      <w:r w:rsidR="00D3726E" w:rsidRPr="006740C1">
        <w:rPr>
          <w:rFonts w:ascii="Arial" w:hAnsi="Arial" w:cs="Arial"/>
          <w:i/>
          <w:sz w:val="22"/>
          <w:szCs w:val="22"/>
        </w:rPr>
        <w:t xml:space="preserve"> </w:t>
      </w:r>
    </w:p>
    <w:p w:rsidR="005C5D5B" w:rsidRPr="00F03EC5" w:rsidRDefault="005C5D5B" w:rsidP="00F03EC5">
      <w:pPr>
        <w:spacing w:line="300" w:lineRule="atLeast"/>
        <w:ind w:left="709" w:hanging="709"/>
        <w:rPr>
          <w:rFonts w:ascii="Arial" w:hAnsi="Arial" w:cs="Arial"/>
          <w:i/>
          <w:sz w:val="22"/>
          <w:szCs w:val="22"/>
        </w:rPr>
      </w:pPr>
    </w:p>
    <w:p w:rsidR="008C62E0" w:rsidRDefault="007A06AC" w:rsidP="008C62E0">
      <w:pPr>
        <w:spacing w:line="300" w:lineRule="atLeast"/>
        <w:ind w:left="709" w:hanging="709"/>
        <w:rPr>
          <w:rFonts w:ascii="Arial" w:hAnsi="Arial" w:cs="Arial"/>
          <w:sz w:val="22"/>
          <w:szCs w:val="22"/>
        </w:rPr>
      </w:pPr>
      <w:r>
        <w:rPr>
          <w:rFonts w:ascii="Arial" w:hAnsi="Arial" w:cs="Arial"/>
          <w:sz w:val="22"/>
          <w:szCs w:val="22"/>
        </w:rPr>
        <w:t>2</w:t>
      </w:r>
      <w:r w:rsidR="008C62E0">
        <w:rPr>
          <w:rFonts w:ascii="Arial" w:hAnsi="Arial" w:cs="Arial"/>
          <w:sz w:val="22"/>
          <w:szCs w:val="22"/>
        </w:rPr>
        <w:t>.</w:t>
      </w:r>
      <w:r w:rsidR="0010760E">
        <w:rPr>
          <w:rFonts w:ascii="Arial" w:hAnsi="Arial" w:cs="Arial"/>
          <w:sz w:val="22"/>
          <w:szCs w:val="22"/>
        </w:rPr>
        <w:t>3</w:t>
      </w:r>
      <w:r w:rsidR="008C62E0">
        <w:rPr>
          <w:rFonts w:ascii="Arial" w:hAnsi="Arial" w:cs="Arial"/>
          <w:sz w:val="22"/>
          <w:szCs w:val="22"/>
        </w:rPr>
        <w:tab/>
      </w:r>
      <w:r w:rsidR="008C62E0" w:rsidRPr="008C62E0">
        <w:rPr>
          <w:rFonts w:ascii="Arial" w:hAnsi="Arial" w:cs="Arial"/>
          <w:sz w:val="22"/>
          <w:szCs w:val="22"/>
        </w:rPr>
        <w:t>The g</w:t>
      </w:r>
      <w:r w:rsidR="008C38D0" w:rsidRPr="008C62E0">
        <w:rPr>
          <w:rFonts w:ascii="Arial" w:hAnsi="Arial" w:cs="Arial"/>
          <w:sz w:val="22"/>
          <w:szCs w:val="22"/>
        </w:rPr>
        <w:t xml:space="preserve">overnment </w:t>
      </w:r>
      <w:r w:rsidR="008C62E0" w:rsidRPr="008C62E0">
        <w:rPr>
          <w:rFonts w:ascii="Arial" w:hAnsi="Arial" w:cs="Arial"/>
          <w:sz w:val="22"/>
          <w:szCs w:val="22"/>
        </w:rPr>
        <w:t>has</w:t>
      </w:r>
      <w:r w:rsidR="00287223" w:rsidRPr="008C62E0">
        <w:rPr>
          <w:rFonts w:ascii="Arial" w:hAnsi="Arial" w:cs="Arial"/>
          <w:sz w:val="22"/>
          <w:szCs w:val="22"/>
        </w:rPr>
        <w:t xml:space="preserve"> provide</w:t>
      </w:r>
      <w:r w:rsidR="006B7E38" w:rsidRPr="008C62E0">
        <w:rPr>
          <w:rFonts w:ascii="Arial" w:hAnsi="Arial" w:cs="Arial"/>
          <w:sz w:val="22"/>
          <w:szCs w:val="22"/>
        </w:rPr>
        <w:t>d</w:t>
      </w:r>
      <w:r w:rsidR="00287223" w:rsidRPr="008C62E0">
        <w:rPr>
          <w:rFonts w:ascii="Arial" w:hAnsi="Arial" w:cs="Arial"/>
          <w:sz w:val="22"/>
          <w:szCs w:val="22"/>
        </w:rPr>
        <w:t xml:space="preserve"> additional guidance in the</w:t>
      </w:r>
      <w:r w:rsidR="006B7E38" w:rsidRPr="008C62E0">
        <w:rPr>
          <w:rFonts w:ascii="Arial" w:hAnsi="Arial" w:cs="Arial"/>
          <w:sz w:val="22"/>
          <w:szCs w:val="22"/>
        </w:rPr>
        <w:t xml:space="preserve"> form of the</w:t>
      </w:r>
      <w:r w:rsidR="00287223" w:rsidRPr="008C62E0">
        <w:rPr>
          <w:rFonts w:ascii="Arial" w:hAnsi="Arial" w:cs="Arial"/>
          <w:sz w:val="22"/>
          <w:szCs w:val="22"/>
        </w:rPr>
        <w:t xml:space="preserve"> online Planning Practice Guidance (PPG) resource. The PPG</w:t>
      </w:r>
      <w:r w:rsidR="008C62E0" w:rsidRPr="008C62E0">
        <w:rPr>
          <w:rFonts w:ascii="Arial" w:hAnsi="Arial" w:cs="Arial"/>
          <w:sz w:val="22"/>
          <w:szCs w:val="22"/>
        </w:rPr>
        <w:t xml:space="preserve"> </w:t>
      </w:r>
      <w:r w:rsidR="004A19F7">
        <w:rPr>
          <w:rFonts w:ascii="Arial" w:hAnsi="Arial" w:cs="Arial"/>
          <w:sz w:val="22"/>
          <w:szCs w:val="22"/>
        </w:rPr>
        <w:t>‘</w:t>
      </w:r>
      <w:r w:rsidR="008C62E0" w:rsidRPr="008C62E0">
        <w:rPr>
          <w:rFonts w:ascii="Arial" w:hAnsi="Arial" w:cs="Arial"/>
          <w:sz w:val="22"/>
          <w:szCs w:val="22"/>
        </w:rPr>
        <w:t>Housing: optional technical standards</w:t>
      </w:r>
      <w:r w:rsidR="004A19F7">
        <w:rPr>
          <w:rFonts w:ascii="Arial" w:hAnsi="Arial" w:cs="Arial"/>
          <w:sz w:val="22"/>
          <w:szCs w:val="22"/>
        </w:rPr>
        <w:t>’</w:t>
      </w:r>
      <w:r w:rsidR="00287223" w:rsidRPr="008C62E0">
        <w:rPr>
          <w:rFonts w:ascii="Arial" w:hAnsi="Arial" w:cs="Arial"/>
          <w:sz w:val="22"/>
          <w:szCs w:val="22"/>
        </w:rPr>
        <w:t xml:space="preserve"> makes clear that w</w:t>
      </w:r>
      <w:r w:rsidR="007704B3" w:rsidRPr="008C62E0">
        <w:rPr>
          <w:rFonts w:ascii="Arial" w:hAnsi="Arial" w:cs="Arial"/>
          <w:sz w:val="22"/>
          <w:szCs w:val="22"/>
        </w:rPr>
        <w:t>here</w:t>
      </w:r>
      <w:r w:rsidR="00A13874" w:rsidRPr="008C62E0">
        <w:rPr>
          <w:rFonts w:ascii="Arial" w:hAnsi="Arial" w:cs="Arial"/>
          <w:sz w:val="22"/>
          <w:szCs w:val="22"/>
        </w:rPr>
        <w:t xml:space="preserve"> </w:t>
      </w:r>
      <w:r w:rsidR="007704B3" w:rsidRPr="008C62E0">
        <w:rPr>
          <w:rFonts w:ascii="Arial" w:hAnsi="Arial" w:cs="Arial"/>
          <w:sz w:val="22"/>
          <w:szCs w:val="22"/>
        </w:rPr>
        <w:t>LPAs wish to adopt</w:t>
      </w:r>
      <w:r w:rsidR="00287223" w:rsidRPr="008C62E0">
        <w:rPr>
          <w:rFonts w:ascii="Arial" w:hAnsi="Arial" w:cs="Arial"/>
          <w:sz w:val="22"/>
          <w:szCs w:val="22"/>
        </w:rPr>
        <w:t xml:space="preserve"> any of the</w:t>
      </w:r>
      <w:r w:rsidR="00A13874" w:rsidRPr="008C62E0">
        <w:rPr>
          <w:rFonts w:ascii="Arial" w:hAnsi="Arial" w:cs="Arial"/>
          <w:sz w:val="22"/>
          <w:szCs w:val="22"/>
        </w:rPr>
        <w:t xml:space="preserve"> </w:t>
      </w:r>
      <w:r w:rsidR="00F16393" w:rsidRPr="008C62E0">
        <w:rPr>
          <w:rFonts w:ascii="Arial" w:hAnsi="Arial" w:cs="Arial"/>
          <w:sz w:val="22"/>
          <w:szCs w:val="22"/>
        </w:rPr>
        <w:t>optional</w:t>
      </w:r>
      <w:r w:rsidR="00A13874" w:rsidRPr="008C62E0">
        <w:rPr>
          <w:rFonts w:ascii="Arial" w:hAnsi="Arial" w:cs="Arial"/>
          <w:sz w:val="22"/>
          <w:szCs w:val="22"/>
        </w:rPr>
        <w:t xml:space="preserve"> technical </w:t>
      </w:r>
      <w:r w:rsidR="00287223" w:rsidRPr="008C62E0">
        <w:rPr>
          <w:rFonts w:ascii="Arial" w:hAnsi="Arial" w:cs="Arial"/>
          <w:sz w:val="22"/>
          <w:szCs w:val="22"/>
        </w:rPr>
        <w:t xml:space="preserve">housing </w:t>
      </w:r>
      <w:r w:rsidR="00A13874" w:rsidRPr="008C62E0">
        <w:rPr>
          <w:rFonts w:ascii="Arial" w:hAnsi="Arial" w:cs="Arial"/>
          <w:sz w:val="22"/>
          <w:szCs w:val="22"/>
        </w:rPr>
        <w:t>standards</w:t>
      </w:r>
      <w:r w:rsidR="00287223" w:rsidRPr="008C62E0">
        <w:rPr>
          <w:rFonts w:ascii="Arial" w:hAnsi="Arial" w:cs="Arial"/>
          <w:sz w:val="22"/>
          <w:szCs w:val="22"/>
        </w:rPr>
        <w:t>,</w:t>
      </w:r>
      <w:r w:rsidR="00A13874" w:rsidRPr="008C62E0">
        <w:rPr>
          <w:rFonts w:ascii="Arial" w:hAnsi="Arial" w:cs="Arial"/>
          <w:sz w:val="22"/>
          <w:szCs w:val="22"/>
        </w:rPr>
        <w:t xml:space="preserve"> </w:t>
      </w:r>
      <w:r w:rsidR="00287223" w:rsidRPr="008C62E0">
        <w:rPr>
          <w:rFonts w:ascii="Arial" w:hAnsi="Arial" w:cs="Arial"/>
          <w:sz w:val="22"/>
          <w:szCs w:val="22"/>
        </w:rPr>
        <w:t xml:space="preserve">they should be </w:t>
      </w:r>
      <w:r w:rsidR="00A13874" w:rsidRPr="008C62E0">
        <w:rPr>
          <w:rFonts w:ascii="Arial" w:hAnsi="Arial" w:cs="Arial"/>
          <w:sz w:val="22"/>
          <w:szCs w:val="22"/>
        </w:rPr>
        <w:t xml:space="preserve">clearly evidenced </w:t>
      </w:r>
      <w:r w:rsidR="00287223" w:rsidRPr="008C62E0">
        <w:rPr>
          <w:rFonts w:ascii="Arial" w:hAnsi="Arial" w:cs="Arial"/>
          <w:sz w:val="22"/>
          <w:szCs w:val="22"/>
        </w:rPr>
        <w:t>to determine whether there is a need for additional standards in their area</w:t>
      </w:r>
      <w:r w:rsidR="006979D5" w:rsidRPr="008C62E0">
        <w:rPr>
          <w:rFonts w:ascii="Arial" w:hAnsi="Arial" w:cs="Arial"/>
          <w:sz w:val="22"/>
          <w:szCs w:val="22"/>
        </w:rPr>
        <w:t>.</w:t>
      </w:r>
      <w:r w:rsidR="00F16393" w:rsidRPr="008C62E0">
        <w:rPr>
          <w:rFonts w:ascii="Arial" w:hAnsi="Arial" w:cs="Arial"/>
          <w:sz w:val="22"/>
          <w:szCs w:val="22"/>
        </w:rPr>
        <w:t xml:space="preserve"> </w:t>
      </w:r>
      <w:r w:rsidR="001F2D50" w:rsidRPr="008C62E0">
        <w:rPr>
          <w:rFonts w:ascii="Arial" w:hAnsi="Arial" w:cs="Arial"/>
          <w:sz w:val="22"/>
          <w:szCs w:val="22"/>
        </w:rPr>
        <w:t xml:space="preserve"> </w:t>
      </w:r>
    </w:p>
    <w:p w:rsidR="00DC03A3" w:rsidRDefault="00DC03A3" w:rsidP="00B95CB4">
      <w:pPr>
        <w:spacing w:line="300" w:lineRule="atLeast"/>
        <w:rPr>
          <w:rFonts w:ascii="Arial" w:hAnsi="Arial" w:cs="Arial"/>
          <w:sz w:val="22"/>
          <w:szCs w:val="22"/>
        </w:rPr>
      </w:pPr>
    </w:p>
    <w:p w:rsidR="00DC03A3" w:rsidRPr="00DC03A3" w:rsidRDefault="007A06AC" w:rsidP="00DC03A3">
      <w:pPr>
        <w:spacing w:line="300" w:lineRule="atLeast"/>
        <w:ind w:left="709" w:hanging="709"/>
        <w:rPr>
          <w:rFonts w:ascii="Arial" w:hAnsi="Arial" w:cs="Arial"/>
          <w:sz w:val="22"/>
          <w:szCs w:val="22"/>
        </w:rPr>
      </w:pPr>
      <w:r>
        <w:rPr>
          <w:rFonts w:ascii="Arial" w:hAnsi="Arial" w:cs="Arial"/>
          <w:sz w:val="22"/>
          <w:szCs w:val="22"/>
        </w:rPr>
        <w:t>2</w:t>
      </w:r>
      <w:r w:rsidR="00DC03A3">
        <w:rPr>
          <w:rFonts w:ascii="Arial" w:hAnsi="Arial" w:cs="Arial"/>
          <w:sz w:val="22"/>
          <w:szCs w:val="22"/>
        </w:rPr>
        <w:t>.</w:t>
      </w:r>
      <w:r w:rsidR="00B95CB4">
        <w:rPr>
          <w:rFonts w:ascii="Arial" w:hAnsi="Arial" w:cs="Arial"/>
          <w:sz w:val="22"/>
          <w:szCs w:val="22"/>
        </w:rPr>
        <w:t>4</w:t>
      </w:r>
      <w:r w:rsidR="00DC03A3">
        <w:rPr>
          <w:rFonts w:ascii="Arial" w:hAnsi="Arial" w:cs="Arial"/>
          <w:sz w:val="22"/>
          <w:szCs w:val="22"/>
        </w:rPr>
        <w:tab/>
      </w:r>
      <w:r w:rsidR="00DC03A3" w:rsidRPr="00DC03A3">
        <w:rPr>
          <w:rFonts w:ascii="Arial" w:hAnsi="Arial" w:cs="Arial"/>
          <w:sz w:val="22"/>
          <w:szCs w:val="22"/>
        </w:rPr>
        <w:t xml:space="preserve">The </w:t>
      </w:r>
      <w:r w:rsidR="0010760E">
        <w:rPr>
          <w:rFonts w:ascii="Arial" w:hAnsi="Arial" w:cs="Arial"/>
          <w:sz w:val="22"/>
          <w:szCs w:val="22"/>
        </w:rPr>
        <w:t>PPG</w:t>
      </w:r>
      <w:r w:rsidR="00DC03A3" w:rsidRPr="00DC03A3">
        <w:rPr>
          <w:rFonts w:ascii="Arial" w:hAnsi="Arial" w:cs="Arial"/>
          <w:sz w:val="22"/>
          <w:szCs w:val="22"/>
        </w:rPr>
        <w:t xml:space="preserve"> suggests that the following information is considered when deciding </w:t>
      </w:r>
      <w:proofErr w:type="gramStart"/>
      <w:r w:rsidR="00DC03A3" w:rsidRPr="00DC03A3">
        <w:rPr>
          <w:rFonts w:ascii="Arial" w:hAnsi="Arial" w:cs="Arial"/>
          <w:sz w:val="22"/>
          <w:szCs w:val="22"/>
        </w:rPr>
        <w:t>whether or not</w:t>
      </w:r>
      <w:proofErr w:type="gramEnd"/>
      <w:r w:rsidR="00DC03A3" w:rsidRPr="00DC03A3">
        <w:rPr>
          <w:rFonts w:ascii="Arial" w:hAnsi="Arial" w:cs="Arial"/>
          <w:sz w:val="22"/>
          <w:szCs w:val="22"/>
        </w:rPr>
        <w:t xml:space="preserve"> to introduce the optional standards:</w:t>
      </w:r>
    </w:p>
    <w:p w:rsidR="00DC03A3" w:rsidRDefault="00DC03A3" w:rsidP="00071525">
      <w:pPr>
        <w:pStyle w:val="ListParagraph"/>
        <w:numPr>
          <w:ilvl w:val="0"/>
          <w:numId w:val="4"/>
        </w:numPr>
        <w:spacing w:line="300" w:lineRule="atLeast"/>
        <w:rPr>
          <w:rFonts w:ascii="Arial" w:hAnsi="Arial" w:cs="Arial"/>
          <w:sz w:val="22"/>
          <w:szCs w:val="22"/>
        </w:rPr>
      </w:pPr>
      <w:r w:rsidRPr="00DC03A3">
        <w:rPr>
          <w:rFonts w:ascii="Arial" w:hAnsi="Arial" w:cs="Arial"/>
          <w:sz w:val="22"/>
          <w:szCs w:val="22"/>
        </w:rPr>
        <w:t>the likely future need for housing for older and disabled people (including wheelchair user dwellings).</w:t>
      </w:r>
    </w:p>
    <w:p w:rsidR="00DC03A3" w:rsidRDefault="00DC03A3" w:rsidP="00071525">
      <w:pPr>
        <w:pStyle w:val="ListParagraph"/>
        <w:numPr>
          <w:ilvl w:val="0"/>
          <w:numId w:val="4"/>
        </w:numPr>
        <w:spacing w:line="300" w:lineRule="atLeast"/>
        <w:rPr>
          <w:rFonts w:ascii="Arial" w:hAnsi="Arial" w:cs="Arial"/>
          <w:sz w:val="22"/>
          <w:szCs w:val="22"/>
        </w:rPr>
      </w:pPr>
      <w:r w:rsidRPr="00DC03A3">
        <w:rPr>
          <w:rFonts w:ascii="Arial" w:hAnsi="Arial" w:cs="Arial"/>
          <w:sz w:val="22"/>
          <w:szCs w:val="22"/>
        </w:rPr>
        <w:t>size, location, type and quality of dwellings needed to meet specifically evidenced needs (for example retirement homes, sheltered homes or care homes).</w:t>
      </w:r>
    </w:p>
    <w:p w:rsidR="00DC03A3" w:rsidRPr="00DC03A3" w:rsidRDefault="00DC03A3" w:rsidP="00071525">
      <w:pPr>
        <w:pStyle w:val="ListParagraph"/>
        <w:numPr>
          <w:ilvl w:val="0"/>
          <w:numId w:val="4"/>
        </w:numPr>
        <w:spacing w:line="300" w:lineRule="atLeast"/>
        <w:rPr>
          <w:rFonts w:ascii="Arial" w:hAnsi="Arial" w:cs="Arial"/>
          <w:sz w:val="22"/>
          <w:szCs w:val="22"/>
        </w:rPr>
      </w:pPr>
      <w:r w:rsidRPr="00DC03A3">
        <w:rPr>
          <w:rFonts w:ascii="Arial" w:hAnsi="Arial" w:cs="Arial"/>
          <w:sz w:val="22"/>
          <w:szCs w:val="22"/>
        </w:rPr>
        <w:t>the accessibility and adaptability of existing housing stock.</w:t>
      </w:r>
    </w:p>
    <w:p w:rsidR="00DC03A3" w:rsidRPr="00DC03A3" w:rsidRDefault="00DC03A3" w:rsidP="00071525">
      <w:pPr>
        <w:pStyle w:val="ListParagraph"/>
        <w:numPr>
          <w:ilvl w:val="0"/>
          <w:numId w:val="4"/>
        </w:numPr>
        <w:spacing w:line="300" w:lineRule="atLeast"/>
        <w:rPr>
          <w:rFonts w:ascii="Arial" w:hAnsi="Arial" w:cs="Arial"/>
          <w:sz w:val="22"/>
          <w:szCs w:val="22"/>
        </w:rPr>
      </w:pPr>
      <w:r w:rsidRPr="00DC03A3">
        <w:rPr>
          <w:rFonts w:ascii="Arial" w:hAnsi="Arial" w:cs="Arial"/>
          <w:sz w:val="22"/>
          <w:szCs w:val="22"/>
        </w:rPr>
        <w:t>how needs vary across different housing tenures.</w:t>
      </w:r>
    </w:p>
    <w:p w:rsidR="00DC03A3" w:rsidRPr="00DC03A3" w:rsidRDefault="00DC03A3" w:rsidP="00071525">
      <w:pPr>
        <w:pStyle w:val="ListParagraph"/>
        <w:numPr>
          <w:ilvl w:val="0"/>
          <w:numId w:val="4"/>
        </w:numPr>
        <w:spacing w:line="300" w:lineRule="atLeast"/>
        <w:rPr>
          <w:rFonts w:ascii="Arial" w:hAnsi="Arial" w:cs="Arial"/>
          <w:sz w:val="22"/>
          <w:szCs w:val="22"/>
        </w:rPr>
      </w:pPr>
      <w:r w:rsidRPr="00DC03A3">
        <w:rPr>
          <w:rFonts w:ascii="Arial" w:hAnsi="Arial" w:cs="Arial"/>
          <w:sz w:val="22"/>
          <w:szCs w:val="22"/>
        </w:rPr>
        <w:t>the overall impact on viability.</w:t>
      </w:r>
    </w:p>
    <w:p w:rsidR="008C62E0" w:rsidRDefault="008C62E0" w:rsidP="00DC03A3">
      <w:pPr>
        <w:spacing w:line="300" w:lineRule="atLeast"/>
        <w:rPr>
          <w:rFonts w:ascii="Arial" w:hAnsi="Arial" w:cs="Arial"/>
          <w:sz w:val="22"/>
          <w:szCs w:val="22"/>
        </w:rPr>
      </w:pPr>
    </w:p>
    <w:p w:rsidR="0010760E" w:rsidRDefault="007A06AC" w:rsidP="0010760E">
      <w:pPr>
        <w:spacing w:line="300" w:lineRule="atLeast"/>
        <w:ind w:left="709" w:hanging="709"/>
        <w:rPr>
          <w:rFonts w:ascii="Arial" w:hAnsi="Arial" w:cs="Arial"/>
          <w:sz w:val="22"/>
          <w:szCs w:val="22"/>
        </w:rPr>
      </w:pPr>
      <w:r>
        <w:rPr>
          <w:rFonts w:ascii="Arial" w:hAnsi="Arial" w:cs="Arial"/>
          <w:sz w:val="22"/>
          <w:szCs w:val="22"/>
        </w:rPr>
        <w:t>2</w:t>
      </w:r>
      <w:r w:rsidR="0010760E">
        <w:rPr>
          <w:rFonts w:ascii="Arial" w:hAnsi="Arial" w:cs="Arial"/>
          <w:sz w:val="22"/>
          <w:szCs w:val="22"/>
        </w:rPr>
        <w:t>.</w:t>
      </w:r>
      <w:r w:rsidR="00B95CB4">
        <w:rPr>
          <w:rFonts w:ascii="Arial" w:hAnsi="Arial" w:cs="Arial"/>
          <w:sz w:val="22"/>
          <w:szCs w:val="22"/>
        </w:rPr>
        <w:t>5</w:t>
      </w:r>
      <w:r w:rsidR="0010760E">
        <w:rPr>
          <w:rFonts w:ascii="Arial" w:hAnsi="Arial" w:cs="Arial"/>
          <w:sz w:val="22"/>
          <w:szCs w:val="22"/>
        </w:rPr>
        <w:tab/>
      </w:r>
      <w:r w:rsidR="0010760E" w:rsidRPr="0010760E">
        <w:rPr>
          <w:rFonts w:ascii="Arial" w:hAnsi="Arial" w:cs="Arial"/>
          <w:sz w:val="22"/>
          <w:szCs w:val="22"/>
        </w:rPr>
        <w:t xml:space="preserve">The Government’s </w:t>
      </w:r>
      <w:r w:rsidR="005C5D5B">
        <w:rPr>
          <w:rFonts w:ascii="Arial" w:hAnsi="Arial" w:cs="Arial"/>
          <w:sz w:val="22"/>
          <w:szCs w:val="22"/>
        </w:rPr>
        <w:t>N</w:t>
      </w:r>
      <w:r w:rsidR="0010760E" w:rsidRPr="0010760E">
        <w:rPr>
          <w:rFonts w:ascii="Arial" w:hAnsi="Arial" w:cs="Arial"/>
          <w:sz w:val="22"/>
          <w:szCs w:val="22"/>
        </w:rPr>
        <w:t xml:space="preserve">ationally </w:t>
      </w:r>
      <w:r w:rsidR="005C5D5B">
        <w:rPr>
          <w:rFonts w:ascii="Arial" w:hAnsi="Arial" w:cs="Arial"/>
          <w:sz w:val="22"/>
          <w:szCs w:val="22"/>
        </w:rPr>
        <w:t>D</w:t>
      </w:r>
      <w:r w:rsidR="0010760E" w:rsidRPr="0010760E">
        <w:rPr>
          <w:rFonts w:ascii="Arial" w:hAnsi="Arial" w:cs="Arial"/>
          <w:sz w:val="22"/>
          <w:szCs w:val="22"/>
        </w:rPr>
        <w:t xml:space="preserve">escribed </w:t>
      </w:r>
      <w:r w:rsidR="005C5D5B">
        <w:rPr>
          <w:rFonts w:ascii="Arial" w:hAnsi="Arial" w:cs="Arial"/>
          <w:sz w:val="22"/>
          <w:szCs w:val="22"/>
        </w:rPr>
        <w:t>S</w:t>
      </w:r>
      <w:r w:rsidR="0010760E" w:rsidRPr="0010760E">
        <w:rPr>
          <w:rFonts w:ascii="Arial" w:hAnsi="Arial" w:cs="Arial"/>
          <w:sz w:val="22"/>
          <w:szCs w:val="22"/>
        </w:rPr>
        <w:t xml:space="preserve">pace </w:t>
      </w:r>
      <w:r w:rsidR="005C5D5B">
        <w:rPr>
          <w:rFonts w:ascii="Arial" w:hAnsi="Arial" w:cs="Arial"/>
          <w:sz w:val="22"/>
          <w:szCs w:val="22"/>
        </w:rPr>
        <w:t>S</w:t>
      </w:r>
      <w:r w:rsidR="0010760E" w:rsidRPr="0010760E">
        <w:rPr>
          <w:rFonts w:ascii="Arial" w:hAnsi="Arial" w:cs="Arial"/>
          <w:sz w:val="22"/>
          <w:szCs w:val="22"/>
        </w:rPr>
        <w:t xml:space="preserve">tandard </w:t>
      </w:r>
      <w:r w:rsidR="0010760E">
        <w:rPr>
          <w:rFonts w:ascii="Arial" w:hAnsi="Arial" w:cs="Arial"/>
          <w:sz w:val="22"/>
          <w:szCs w:val="22"/>
        </w:rPr>
        <w:t xml:space="preserve">(NDSS) </w:t>
      </w:r>
      <w:r w:rsidR="0010760E" w:rsidRPr="0010760E">
        <w:rPr>
          <w:rFonts w:ascii="Arial" w:hAnsi="Arial" w:cs="Arial"/>
          <w:sz w:val="22"/>
          <w:szCs w:val="22"/>
        </w:rPr>
        <w:t>(</w:t>
      </w:r>
      <w:r w:rsidR="0010760E">
        <w:rPr>
          <w:rFonts w:ascii="Arial" w:hAnsi="Arial" w:cs="Arial"/>
          <w:sz w:val="22"/>
          <w:szCs w:val="22"/>
        </w:rPr>
        <w:t>Appendix 1</w:t>
      </w:r>
      <w:r w:rsidR="0010760E" w:rsidRPr="0010760E">
        <w:rPr>
          <w:rFonts w:ascii="Arial" w:hAnsi="Arial" w:cs="Arial"/>
          <w:sz w:val="22"/>
          <w:szCs w:val="22"/>
        </w:rPr>
        <w:t>) sets out the minimum requirements for the Gross Internal (floor) Area (GIA) of new dwellings at a defined level of occupancy as well as floor areas and dimensions for key parts of the home, notably bedrooms, storage, floor to ceiling height and a minimum requirement for built-in storage (</w:t>
      </w:r>
      <w:proofErr w:type="spellStart"/>
      <w:r w:rsidR="0010760E" w:rsidRPr="0010760E">
        <w:rPr>
          <w:rFonts w:ascii="Arial" w:hAnsi="Arial" w:cs="Arial"/>
          <w:sz w:val="22"/>
          <w:szCs w:val="22"/>
        </w:rPr>
        <w:t>BiS</w:t>
      </w:r>
      <w:proofErr w:type="spellEnd"/>
      <w:r w:rsidR="0010760E" w:rsidRPr="0010760E">
        <w:rPr>
          <w:rFonts w:ascii="Arial" w:hAnsi="Arial" w:cs="Arial"/>
          <w:sz w:val="22"/>
          <w:szCs w:val="22"/>
        </w:rPr>
        <w:t>).</w:t>
      </w:r>
    </w:p>
    <w:p w:rsidR="0010760E" w:rsidRDefault="0010760E" w:rsidP="0010760E">
      <w:pPr>
        <w:spacing w:line="300" w:lineRule="atLeast"/>
        <w:ind w:left="709" w:hanging="709"/>
        <w:rPr>
          <w:rFonts w:ascii="Arial" w:hAnsi="Arial" w:cs="Arial"/>
          <w:sz w:val="22"/>
          <w:szCs w:val="22"/>
        </w:rPr>
      </w:pPr>
    </w:p>
    <w:p w:rsidR="0010760E" w:rsidRDefault="007A06AC" w:rsidP="0010760E">
      <w:pPr>
        <w:spacing w:line="300" w:lineRule="atLeast"/>
        <w:ind w:left="709" w:hanging="709"/>
        <w:rPr>
          <w:rFonts w:ascii="Arial" w:hAnsi="Arial" w:cs="Arial"/>
          <w:sz w:val="22"/>
          <w:szCs w:val="22"/>
        </w:rPr>
      </w:pPr>
      <w:r>
        <w:rPr>
          <w:rFonts w:ascii="Arial" w:hAnsi="Arial" w:cs="Arial"/>
          <w:sz w:val="22"/>
          <w:szCs w:val="22"/>
        </w:rPr>
        <w:t>2</w:t>
      </w:r>
      <w:r w:rsidR="0010760E">
        <w:rPr>
          <w:rFonts w:ascii="Arial" w:hAnsi="Arial" w:cs="Arial"/>
          <w:sz w:val="22"/>
          <w:szCs w:val="22"/>
        </w:rPr>
        <w:t>.</w:t>
      </w:r>
      <w:r w:rsidR="00B95CB4">
        <w:rPr>
          <w:rFonts w:ascii="Arial" w:hAnsi="Arial" w:cs="Arial"/>
          <w:sz w:val="22"/>
          <w:szCs w:val="22"/>
        </w:rPr>
        <w:t>6</w:t>
      </w:r>
      <w:r w:rsidR="0010760E">
        <w:rPr>
          <w:rFonts w:ascii="Arial" w:hAnsi="Arial" w:cs="Arial"/>
          <w:sz w:val="22"/>
          <w:szCs w:val="22"/>
        </w:rPr>
        <w:tab/>
        <w:t>The PPG</w:t>
      </w:r>
      <w:r w:rsidR="0010760E" w:rsidRPr="0010760E">
        <w:rPr>
          <w:rFonts w:ascii="Arial" w:hAnsi="Arial" w:cs="Arial"/>
          <w:sz w:val="22"/>
          <w:szCs w:val="22"/>
        </w:rPr>
        <w:t xml:space="preserve"> clarifies that if a local authority wishes to apply the NDSS within its area, evidence needs to be gathered to determine whether there is a local basis for adopting them, as well as consideration of how the setting of optional standards affects viability and delivery of development.</w:t>
      </w:r>
      <w:r w:rsidR="0010760E">
        <w:rPr>
          <w:rFonts w:ascii="Arial" w:hAnsi="Arial" w:cs="Arial"/>
          <w:sz w:val="22"/>
          <w:szCs w:val="22"/>
        </w:rPr>
        <w:t xml:space="preserve"> </w:t>
      </w:r>
      <w:r w:rsidR="0010760E" w:rsidRPr="0010760E">
        <w:rPr>
          <w:rFonts w:ascii="Arial" w:hAnsi="Arial" w:cs="Arial"/>
          <w:sz w:val="22"/>
          <w:szCs w:val="22"/>
        </w:rPr>
        <w:t>Local planning authorities should take account of the following areas:</w:t>
      </w:r>
    </w:p>
    <w:p w:rsidR="0010760E" w:rsidRDefault="0010760E" w:rsidP="00071525">
      <w:pPr>
        <w:pStyle w:val="ListParagraph"/>
        <w:numPr>
          <w:ilvl w:val="0"/>
          <w:numId w:val="8"/>
        </w:numPr>
        <w:spacing w:line="300" w:lineRule="atLeast"/>
        <w:rPr>
          <w:rFonts w:ascii="Arial" w:hAnsi="Arial" w:cs="Arial"/>
          <w:sz w:val="22"/>
          <w:szCs w:val="22"/>
        </w:rPr>
      </w:pPr>
      <w:r w:rsidRPr="0010760E">
        <w:rPr>
          <w:rFonts w:ascii="Arial" w:hAnsi="Arial" w:cs="Arial"/>
          <w:sz w:val="22"/>
          <w:szCs w:val="22"/>
        </w:rPr>
        <w:t>need – evidence should be provided on the size and type of dwellings currently being built in the area, to ensure the impacts of adopting space standards can be properly assessed, for example, to consider any potential impact on meeting demand for starter homes.</w:t>
      </w:r>
    </w:p>
    <w:p w:rsidR="0010760E" w:rsidRDefault="0010760E" w:rsidP="00071525">
      <w:pPr>
        <w:pStyle w:val="ListParagraph"/>
        <w:numPr>
          <w:ilvl w:val="0"/>
          <w:numId w:val="8"/>
        </w:numPr>
        <w:spacing w:line="300" w:lineRule="atLeast"/>
        <w:rPr>
          <w:rFonts w:ascii="Arial" w:hAnsi="Arial" w:cs="Arial"/>
          <w:sz w:val="22"/>
          <w:szCs w:val="22"/>
        </w:rPr>
      </w:pPr>
      <w:r w:rsidRPr="0010760E">
        <w:rPr>
          <w:rFonts w:ascii="Arial" w:hAnsi="Arial" w:cs="Arial"/>
          <w:sz w:val="22"/>
          <w:szCs w:val="22"/>
        </w:rPr>
        <w:t>viability – the impact of adopting the space standard should be considered as part of a plan’s viability assessment with account taken of the impact of potentially larger dwellings on land supply. Local planning authorities will also need to consider impacts on affordability where a space standard is to be adopted.</w:t>
      </w:r>
    </w:p>
    <w:p w:rsidR="005C5D5B" w:rsidRDefault="0010760E" w:rsidP="00071525">
      <w:pPr>
        <w:pStyle w:val="ListParagraph"/>
        <w:numPr>
          <w:ilvl w:val="0"/>
          <w:numId w:val="8"/>
        </w:numPr>
        <w:spacing w:line="300" w:lineRule="atLeast"/>
        <w:rPr>
          <w:rFonts w:ascii="Arial" w:hAnsi="Arial" w:cs="Arial"/>
          <w:sz w:val="22"/>
          <w:szCs w:val="22"/>
        </w:rPr>
      </w:pPr>
      <w:r w:rsidRPr="0010760E">
        <w:rPr>
          <w:rFonts w:ascii="Arial" w:hAnsi="Arial" w:cs="Arial"/>
          <w:sz w:val="22"/>
          <w:szCs w:val="22"/>
        </w:rPr>
        <w:t>timing – there may need to be a reasonable transitional period following adoption of a new policy on space standards to enable developers to factor the cost of space standards into future land acquisitions.</w:t>
      </w:r>
    </w:p>
    <w:p w:rsidR="005C5D5B" w:rsidRDefault="005C5D5B" w:rsidP="005C5D5B">
      <w:pPr>
        <w:spacing w:line="300" w:lineRule="atLeast"/>
        <w:rPr>
          <w:rFonts w:ascii="Arial" w:hAnsi="Arial" w:cs="Arial"/>
          <w:sz w:val="22"/>
          <w:szCs w:val="22"/>
        </w:rPr>
      </w:pPr>
    </w:p>
    <w:p w:rsidR="005C5D5B" w:rsidRDefault="005C5D5B" w:rsidP="005C5D5B">
      <w:pPr>
        <w:spacing w:line="300" w:lineRule="atLeast"/>
        <w:rPr>
          <w:rFonts w:ascii="Arial" w:hAnsi="Arial" w:cs="Arial"/>
          <w:sz w:val="22"/>
          <w:szCs w:val="22"/>
        </w:rPr>
      </w:pPr>
    </w:p>
    <w:p w:rsidR="005C5D5B" w:rsidRDefault="005C5D5B" w:rsidP="005C5D5B">
      <w:pPr>
        <w:spacing w:line="300" w:lineRule="atLeast"/>
        <w:rPr>
          <w:rFonts w:ascii="Arial" w:hAnsi="Arial" w:cs="Arial"/>
          <w:sz w:val="22"/>
          <w:szCs w:val="22"/>
        </w:rPr>
      </w:pPr>
    </w:p>
    <w:p w:rsidR="005C5D5B" w:rsidRDefault="005C5D5B" w:rsidP="005C5D5B">
      <w:pPr>
        <w:spacing w:line="300" w:lineRule="atLeast"/>
        <w:rPr>
          <w:rFonts w:ascii="Arial" w:hAnsi="Arial" w:cs="Arial"/>
          <w:sz w:val="22"/>
          <w:szCs w:val="22"/>
        </w:rPr>
      </w:pPr>
    </w:p>
    <w:p w:rsidR="005C5D5B" w:rsidRPr="005C5D5B" w:rsidRDefault="005C5D5B" w:rsidP="005C5D5B">
      <w:pPr>
        <w:spacing w:line="300" w:lineRule="atLeast"/>
        <w:rPr>
          <w:rFonts w:ascii="Arial" w:hAnsi="Arial" w:cs="Arial"/>
          <w:sz w:val="22"/>
          <w:szCs w:val="22"/>
        </w:rPr>
      </w:pPr>
    </w:p>
    <w:p w:rsidR="005C5D5B" w:rsidRDefault="005C5D5B" w:rsidP="006A6B9F">
      <w:pPr>
        <w:spacing w:line="300" w:lineRule="atLeast"/>
        <w:rPr>
          <w:rFonts w:ascii="Arial" w:hAnsi="Arial" w:cs="Arial"/>
          <w:sz w:val="22"/>
          <w:szCs w:val="22"/>
        </w:rPr>
      </w:pPr>
    </w:p>
    <w:p w:rsidR="005C5D5B" w:rsidRPr="005C5D5B" w:rsidRDefault="005C5D5B" w:rsidP="006A6B9F">
      <w:pPr>
        <w:spacing w:line="300" w:lineRule="atLeast"/>
        <w:rPr>
          <w:rFonts w:ascii="Arial" w:hAnsi="Arial" w:cs="Arial"/>
          <w:b/>
          <w:bCs/>
          <w:sz w:val="22"/>
          <w:szCs w:val="22"/>
        </w:rPr>
      </w:pPr>
      <w:r w:rsidRPr="005C5D5B">
        <w:rPr>
          <w:rFonts w:ascii="Arial" w:hAnsi="Arial" w:cs="Arial"/>
          <w:b/>
          <w:bCs/>
          <w:sz w:val="22"/>
          <w:szCs w:val="22"/>
        </w:rPr>
        <w:lastRenderedPageBreak/>
        <w:tab/>
        <w:t>Local</w:t>
      </w:r>
    </w:p>
    <w:p w:rsidR="005C5D5B" w:rsidRDefault="007B40F4" w:rsidP="006A6B9F">
      <w:pPr>
        <w:spacing w:line="300" w:lineRule="atLeast"/>
        <w:rPr>
          <w:rFonts w:ascii="Arial" w:hAnsi="Arial" w:cs="Arial"/>
          <w:sz w:val="22"/>
          <w:szCs w:val="22"/>
        </w:rPr>
      </w:pPr>
      <w:r>
        <w:rPr>
          <w:rFonts w:ascii="Arial" w:hAnsi="Arial" w:cs="Arial"/>
          <w:sz w:val="22"/>
          <w:szCs w:val="22"/>
        </w:rPr>
        <w:tab/>
      </w:r>
    </w:p>
    <w:p w:rsidR="00C25F24" w:rsidRPr="00C25F24" w:rsidRDefault="00C25F24" w:rsidP="00C25F24">
      <w:pPr>
        <w:pStyle w:val="ListParagraph"/>
        <w:spacing w:line="300" w:lineRule="atLeast"/>
        <w:ind w:left="400" w:firstLine="309"/>
        <w:rPr>
          <w:rFonts w:ascii="Arial" w:hAnsi="Arial" w:cs="Arial"/>
          <w:bCs/>
          <w:iCs/>
          <w:sz w:val="22"/>
          <w:szCs w:val="22"/>
          <w:u w:val="single"/>
        </w:rPr>
      </w:pPr>
      <w:r w:rsidRPr="00C25F24">
        <w:rPr>
          <w:rFonts w:ascii="Arial" w:hAnsi="Arial" w:cs="Arial"/>
          <w:bCs/>
          <w:iCs/>
          <w:sz w:val="22"/>
          <w:szCs w:val="22"/>
          <w:u w:val="single"/>
        </w:rPr>
        <w:t>Birmingham Development Plan</w:t>
      </w:r>
    </w:p>
    <w:p w:rsidR="00C25F24" w:rsidRPr="00CB1A1A" w:rsidRDefault="00C25F24" w:rsidP="00C25F24">
      <w:pPr>
        <w:pStyle w:val="ListParagraph"/>
        <w:spacing w:line="300" w:lineRule="atLeast"/>
        <w:ind w:left="400" w:firstLine="309"/>
        <w:rPr>
          <w:rFonts w:ascii="Arial" w:hAnsi="Arial" w:cs="Arial"/>
          <w:b/>
          <w:i/>
          <w:sz w:val="22"/>
          <w:szCs w:val="22"/>
        </w:rPr>
      </w:pPr>
    </w:p>
    <w:p w:rsidR="00C25F24" w:rsidRDefault="00C25F24" w:rsidP="00C25F24">
      <w:pPr>
        <w:spacing w:line="300" w:lineRule="atLeast"/>
        <w:ind w:left="720" w:hanging="709"/>
        <w:rPr>
          <w:rFonts w:ascii="Arial" w:hAnsi="Arial" w:cs="Arial"/>
          <w:sz w:val="22"/>
          <w:szCs w:val="22"/>
        </w:rPr>
      </w:pPr>
      <w:r>
        <w:rPr>
          <w:rFonts w:ascii="Arial" w:hAnsi="Arial" w:cs="Arial"/>
          <w:sz w:val="22"/>
          <w:szCs w:val="22"/>
        </w:rPr>
        <w:t>2.7</w:t>
      </w:r>
      <w:r>
        <w:rPr>
          <w:rFonts w:ascii="Arial" w:hAnsi="Arial" w:cs="Arial"/>
          <w:sz w:val="22"/>
          <w:szCs w:val="22"/>
        </w:rPr>
        <w:tab/>
        <w:t>The Birmingham Development Plan (BDP) was adopted in January 2017. Policy PG</w:t>
      </w:r>
      <w:r w:rsidR="00C835AC">
        <w:rPr>
          <w:rFonts w:ascii="Arial" w:hAnsi="Arial" w:cs="Arial"/>
          <w:sz w:val="22"/>
          <w:szCs w:val="22"/>
        </w:rPr>
        <w:t>1</w:t>
      </w:r>
      <w:r>
        <w:rPr>
          <w:rFonts w:ascii="Arial" w:hAnsi="Arial" w:cs="Arial"/>
          <w:sz w:val="22"/>
          <w:szCs w:val="22"/>
        </w:rPr>
        <w:t xml:space="preserve"> sets out the overall levels of growth required for the plan period, which includes the provision of at least 51,100 new homes. As well as planning to provide for a suitable amount of new housing development, the plans seeks to ensure that a range and mix of housing types, sizes and tenure are delivered to meet local needs and support the creation of sustainable neighborhoods (Policy TP30). </w:t>
      </w:r>
      <w:r w:rsidRPr="003B4D40">
        <w:rPr>
          <w:rFonts w:ascii="Arial" w:hAnsi="Arial" w:cs="Arial"/>
          <w:sz w:val="22"/>
          <w:szCs w:val="22"/>
        </w:rPr>
        <w:t xml:space="preserve">Given that at least 51,100 new dwellings will be delivered in Birmingham, the </w:t>
      </w:r>
      <w:r>
        <w:rPr>
          <w:rFonts w:ascii="Arial" w:hAnsi="Arial" w:cs="Arial"/>
          <w:sz w:val="22"/>
          <w:szCs w:val="22"/>
        </w:rPr>
        <w:t xml:space="preserve">proposed </w:t>
      </w:r>
      <w:r w:rsidRPr="003B4D40">
        <w:rPr>
          <w:rFonts w:ascii="Arial" w:hAnsi="Arial" w:cs="Arial"/>
          <w:sz w:val="22"/>
          <w:szCs w:val="22"/>
        </w:rPr>
        <w:t xml:space="preserve">standards </w:t>
      </w:r>
      <w:r>
        <w:rPr>
          <w:rFonts w:ascii="Arial" w:hAnsi="Arial" w:cs="Arial"/>
          <w:sz w:val="22"/>
          <w:szCs w:val="22"/>
        </w:rPr>
        <w:t xml:space="preserve">in policy DM10 </w:t>
      </w:r>
      <w:r w:rsidRPr="003B4D40">
        <w:rPr>
          <w:rFonts w:ascii="Arial" w:hAnsi="Arial" w:cs="Arial"/>
          <w:sz w:val="22"/>
          <w:szCs w:val="22"/>
        </w:rPr>
        <w:t xml:space="preserve">will help to ensure that new development is of </w:t>
      </w:r>
      <w:proofErr w:type="gramStart"/>
      <w:r w:rsidRPr="003B4D40">
        <w:rPr>
          <w:rFonts w:ascii="Arial" w:hAnsi="Arial" w:cs="Arial"/>
          <w:sz w:val="22"/>
          <w:szCs w:val="22"/>
        </w:rPr>
        <w:t>sufficient</w:t>
      </w:r>
      <w:proofErr w:type="gramEnd"/>
      <w:r w:rsidRPr="003B4D40">
        <w:rPr>
          <w:rFonts w:ascii="Arial" w:hAnsi="Arial" w:cs="Arial"/>
          <w:sz w:val="22"/>
          <w:szCs w:val="22"/>
        </w:rPr>
        <w:t xml:space="preserve"> size, quality and flexibility for the needs of the occupants of new homes. </w:t>
      </w:r>
    </w:p>
    <w:p w:rsidR="00C25F24" w:rsidRPr="003B4D40" w:rsidRDefault="00C25F24" w:rsidP="00C25F24">
      <w:pPr>
        <w:spacing w:line="300" w:lineRule="atLeast"/>
        <w:ind w:left="720" w:hanging="709"/>
        <w:rPr>
          <w:rFonts w:ascii="Arial" w:hAnsi="Arial" w:cs="Arial"/>
          <w:sz w:val="22"/>
          <w:szCs w:val="22"/>
        </w:rPr>
      </w:pPr>
    </w:p>
    <w:p w:rsidR="00C835AC" w:rsidRDefault="00C25F24" w:rsidP="00C835AC">
      <w:pPr>
        <w:spacing w:line="276" w:lineRule="auto"/>
        <w:ind w:left="709" w:hanging="709"/>
        <w:rPr>
          <w:rFonts w:ascii="Arial" w:hAnsi="Arial" w:cs="Arial"/>
          <w:sz w:val="22"/>
          <w:szCs w:val="22"/>
        </w:rPr>
      </w:pPr>
      <w:r>
        <w:rPr>
          <w:rFonts w:ascii="Arial" w:hAnsi="Arial" w:cs="Arial"/>
          <w:sz w:val="22"/>
          <w:szCs w:val="22"/>
        </w:rPr>
        <w:t>2.8</w:t>
      </w:r>
      <w:r>
        <w:rPr>
          <w:rFonts w:ascii="Arial" w:hAnsi="Arial" w:cs="Arial"/>
          <w:sz w:val="22"/>
          <w:szCs w:val="22"/>
        </w:rPr>
        <w:tab/>
        <w:t>One of the key objectives of the</w:t>
      </w:r>
      <w:r w:rsidRPr="00CF24BF">
        <w:rPr>
          <w:rFonts w:ascii="Arial" w:hAnsi="Arial" w:cs="Arial"/>
          <w:sz w:val="22"/>
          <w:szCs w:val="22"/>
        </w:rPr>
        <w:t xml:space="preserve"> BDP </w:t>
      </w:r>
      <w:r>
        <w:rPr>
          <w:rFonts w:ascii="Arial" w:hAnsi="Arial" w:cs="Arial"/>
          <w:sz w:val="22"/>
          <w:szCs w:val="22"/>
        </w:rPr>
        <w:t xml:space="preserve">is </w:t>
      </w:r>
      <w:r w:rsidRPr="00CF24BF">
        <w:rPr>
          <w:rFonts w:ascii="Arial" w:hAnsi="Arial" w:cs="Arial"/>
          <w:i/>
          <w:sz w:val="22"/>
          <w:szCs w:val="22"/>
        </w:rPr>
        <w:t xml:space="preserve">“to develop Birmingham as a City of sustainable </w:t>
      </w:r>
      <w:proofErr w:type="spellStart"/>
      <w:r w:rsidRPr="00CF24BF">
        <w:rPr>
          <w:rFonts w:ascii="Arial" w:hAnsi="Arial" w:cs="Arial"/>
          <w:i/>
          <w:sz w:val="22"/>
          <w:szCs w:val="22"/>
        </w:rPr>
        <w:t>neighbourhoods</w:t>
      </w:r>
      <w:proofErr w:type="spellEnd"/>
      <w:r w:rsidRPr="00CF24BF">
        <w:rPr>
          <w:rFonts w:ascii="Arial" w:hAnsi="Arial" w:cs="Arial"/>
          <w:i/>
          <w:sz w:val="22"/>
          <w:szCs w:val="22"/>
        </w:rPr>
        <w:t xml:space="preserve"> that are safe, diverse and inclusive with locally distinctive character.”</w:t>
      </w:r>
      <w:r>
        <w:rPr>
          <w:rFonts w:ascii="Arial" w:hAnsi="Arial" w:cs="Arial"/>
          <w:i/>
          <w:sz w:val="22"/>
          <w:szCs w:val="22"/>
        </w:rPr>
        <w:t xml:space="preserve"> </w:t>
      </w:r>
      <w:r w:rsidRPr="00CF24BF">
        <w:rPr>
          <w:rFonts w:ascii="Arial" w:hAnsi="Arial" w:cs="Arial"/>
          <w:sz w:val="22"/>
          <w:szCs w:val="22"/>
        </w:rPr>
        <w:t>High standards of design in ne</w:t>
      </w:r>
      <w:r>
        <w:rPr>
          <w:rFonts w:ascii="Arial" w:hAnsi="Arial" w:cs="Arial"/>
          <w:sz w:val="22"/>
          <w:szCs w:val="22"/>
        </w:rPr>
        <w:t>w residential areas and the provision of a</w:t>
      </w:r>
      <w:r w:rsidRPr="00CF24BF">
        <w:rPr>
          <w:rFonts w:ascii="Arial" w:hAnsi="Arial" w:cs="Arial"/>
          <w:sz w:val="22"/>
          <w:szCs w:val="22"/>
        </w:rPr>
        <w:t xml:space="preserve"> wide</w:t>
      </w:r>
      <w:r>
        <w:rPr>
          <w:rFonts w:ascii="Arial" w:hAnsi="Arial" w:cs="Arial"/>
          <w:sz w:val="22"/>
          <w:szCs w:val="22"/>
        </w:rPr>
        <w:t xml:space="preserve"> choice of housing sizes, types and tenures to meet community needs, including </w:t>
      </w:r>
      <w:r w:rsidRPr="00CF24BF">
        <w:rPr>
          <w:rFonts w:ascii="Arial" w:hAnsi="Arial" w:cs="Arial"/>
          <w:sz w:val="22"/>
          <w:szCs w:val="22"/>
        </w:rPr>
        <w:t>home</w:t>
      </w:r>
      <w:r>
        <w:rPr>
          <w:rFonts w:ascii="Arial" w:hAnsi="Arial" w:cs="Arial"/>
          <w:sz w:val="22"/>
          <w:szCs w:val="22"/>
        </w:rPr>
        <w:t xml:space="preserve">s for families, the elderly and </w:t>
      </w:r>
      <w:r w:rsidRPr="00CF24BF">
        <w:rPr>
          <w:rFonts w:ascii="Arial" w:hAnsi="Arial" w:cs="Arial"/>
          <w:sz w:val="22"/>
          <w:szCs w:val="22"/>
        </w:rPr>
        <w:t>a</w:t>
      </w:r>
      <w:r>
        <w:rPr>
          <w:rFonts w:ascii="Arial" w:hAnsi="Arial" w:cs="Arial"/>
          <w:sz w:val="22"/>
          <w:szCs w:val="22"/>
        </w:rPr>
        <w:t xml:space="preserve">ppropriate levels of affordable housing is central to the strategy of the BDP. </w:t>
      </w:r>
    </w:p>
    <w:p w:rsidR="00C835AC" w:rsidRDefault="00C835AC" w:rsidP="00C835AC">
      <w:pPr>
        <w:spacing w:line="276" w:lineRule="auto"/>
        <w:ind w:left="709" w:hanging="709"/>
        <w:rPr>
          <w:rFonts w:ascii="Arial" w:hAnsi="Arial" w:cs="Arial"/>
          <w:sz w:val="22"/>
          <w:szCs w:val="22"/>
        </w:rPr>
      </w:pPr>
    </w:p>
    <w:p w:rsidR="00C835AC" w:rsidRPr="00C835AC" w:rsidRDefault="00C835AC" w:rsidP="00C835AC">
      <w:pPr>
        <w:spacing w:line="276" w:lineRule="auto"/>
        <w:ind w:left="709" w:hanging="709"/>
        <w:rPr>
          <w:rFonts w:ascii="Arial" w:hAnsi="Arial" w:cs="Arial"/>
          <w:sz w:val="22"/>
          <w:szCs w:val="22"/>
        </w:rPr>
      </w:pPr>
      <w:r>
        <w:rPr>
          <w:rFonts w:ascii="Arial" w:hAnsi="Arial" w:cs="Arial"/>
          <w:sz w:val="22"/>
          <w:szCs w:val="22"/>
        </w:rPr>
        <w:t>2.9</w:t>
      </w:r>
      <w:r>
        <w:rPr>
          <w:rFonts w:ascii="Arial" w:hAnsi="Arial" w:cs="Arial"/>
          <w:sz w:val="22"/>
          <w:szCs w:val="22"/>
        </w:rPr>
        <w:tab/>
      </w:r>
      <w:r w:rsidR="00C25F24" w:rsidRPr="00C835AC">
        <w:rPr>
          <w:rFonts w:ascii="Arial" w:hAnsi="Arial" w:cs="Arial"/>
          <w:sz w:val="22"/>
          <w:szCs w:val="22"/>
        </w:rPr>
        <w:t xml:space="preserve">Specific </w:t>
      </w:r>
      <w:r>
        <w:rPr>
          <w:rFonts w:ascii="Arial" w:hAnsi="Arial" w:cs="Arial"/>
          <w:sz w:val="22"/>
          <w:szCs w:val="22"/>
        </w:rPr>
        <w:t>policies (summarized below) in</w:t>
      </w:r>
      <w:r w:rsidR="00C25F24" w:rsidRPr="00C835AC">
        <w:rPr>
          <w:rFonts w:ascii="Arial" w:hAnsi="Arial" w:cs="Arial"/>
          <w:sz w:val="22"/>
          <w:szCs w:val="22"/>
        </w:rPr>
        <w:t xml:space="preserve"> the BDP relevant to matters of housing standards include</w:t>
      </w:r>
      <w:r w:rsidRPr="00C835AC">
        <w:rPr>
          <w:rFonts w:ascii="Arial" w:hAnsi="Arial" w:cs="Arial"/>
          <w:sz w:val="22"/>
          <w:szCs w:val="22"/>
        </w:rPr>
        <w:t>:</w:t>
      </w:r>
    </w:p>
    <w:p w:rsidR="00C835AC" w:rsidRPr="00C835AC" w:rsidRDefault="00C25F24" w:rsidP="00071525">
      <w:pPr>
        <w:pStyle w:val="ListParagraph"/>
        <w:numPr>
          <w:ilvl w:val="0"/>
          <w:numId w:val="15"/>
        </w:numPr>
        <w:spacing w:line="276" w:lineRule="auto"/>
        <w:rPr>
          <w:rFonts w:ascii="Arial" w:hAnsi="Arial" w:cs="Arial"/>
          <w:bCs/>
          <w:iCs/>
          <w:sz w:val="22"/>
          <w:szCs w:val="22"/>
        </w:rPr>
      </w:pPr>
      <w:r w:rsidRPr="00C835AC">
        <w:rPr>
          <w:rFonts w:ascii="Arial" w:hAnsi="Arial" w:cs="Arial"/>
          <w:bCs/>
          <w:iCs/>
          <w:sz w:val="22"/>
          <w:szCs w:val="22"/>
        </w:rPr>
        <w:t xml:space="preserve">Policy PG3 </w:t>
      </w:r>
      <w:r w:rsidR="00C835AC" w:rsidRPr="00C835AC">
        <w:rPr>
          <w:rFonts w:ascii="Arial" w:hAnsi="Arial" w:cs="Arial"/>
          <w:bCs/>
          <w:iCs/>
          <w:sz w:val="22"/>
          <w:szCs w:val="22"/>
        </w:rPr>
        <w:t>‘</w:t>
      </w:r>
      <w:r w:rsidRPr="00C835AC">
        <w:rPr>
          <w:rFonts w:ascii="Arial" w:hAnsi="Arial" w:cs="Arial"/>
          <w:bCs/>
          <w:iCs/>
          <w:sz w:val="22"/>
          <w:szCs w:val="22"/>
        </w:rPr>
        <w:t>Place making</w:t>
      </w:r>
      <w:r w:rsidR="00C835AC" w:rsidRPr="00C835AC">
        <w:rPr>
          <w:rFonts w:ascii="Arial" w:hAnsi="Arial" w:cs="Arial"/>
          <w:bCs/>
          <w:iCs/>
          <w:sz w:val="22"/>
          <w:szCs w:val="22"/>
        </w:rPr>
        <w:t>’ – e</w:t>
      </w:r>
      <w:r w:rsidRPr="00C835AC">
        <w:rPr>
          <w:rFonts w:ascii="Arial" w:hAnsi="Arial" w:cs="Arial"/>
          <w:iCs/>
          <w:sz w:val="22"/>
          <w:szCs w:val="22"/>
        </w:rPr>
        <w:t>xpect</w:t>
      </w:r>
      <w:r w:rsidR="00C835AC" w:rsidRPr="00C835AC">
        <w:rPr>
          <w:rFonts w:ascii="Arial" w:hAnsi="Arial" w:cs="Arial"/>
          <w:iCs/>
          <w:sz w:val="22"/>
          <w:szCs w:val="22"/>
        </w:rPr>
        <w:t>s all development</w:t>
      </w:r>
      <w:r w:rsidRPr="00C835AC">
        <w:rPr>
          <w:rFonts w:ascii="Arial" w:hAnsi="Arial" w:cs="Arial"/>
          <w:iCs/>
          <w:sz w:val="22"/>
          <w:szCs w:val="22"/>
        </w:rPr>
        <w:t xml:space="preserve"> to demonstrate high design quality, contributing to a strong sense of place. </w:t>
      </w:r>
    </w:p>
    <w:p w:rsidR="00C835AC" w:rsidRPr="00C835AC" w:rsidRDefault="00C25F24" w:rsidP="00071525">
      <w:pPr>
        <w:pStyle w:val="ListParagraph"/>
        <w:numPr>
          <w:ilvl w:val="0"/>
          <w:numId w:val="15"/>
        </w:numPr>
        <w:spacing w:line="276" w:lineRule="auto"/>
        <w:rPr>
          <w:rFonts w:ascii="Arial" w:hAnsi="Arial" w:cs="Arial"/>
          <w:bCs/>
          <w:iCs/>
          <w:sz w:val="22"/>
          <w:szCs w:val="22"/>
        </w:rPr>
      </w:pPr>
      <w:r w:rsidRPr="00C835AC">
        <w:rPr>
          <w:rFonts w:ascii="Arial" w:hAnsi="Arial" w:cs="Arial"/>
          <w:bCs/>
          <w:iCs/>
          <w:sz w:val="22"/>
          <w:szCs w:val="22"/>
        </w:rPr>
        <w:t xml:space="preserve">Policy TP27 </w:t>
      </w:r>
      <w:r w:rsidR="00C835AC" w:rsidRPr="00C835AC">
        <w:rPr>
          <w:rFonts w:ascii="Arial" w:hAnsi="Arial" w:cs="Arial"/>
          <w:bCs/>
          <w:iCs/>
          <w:sz w:val="22"/>
          <w:szCs w:val="22"/>
        </w:rPr>
        <w:t>‘</w:t>
      </w:r>
      <w:r w:rsidRPr="00C835AC">
        <w:rPr>
          <w:rFonts w:ascii="Arial" w:hAnsi="Arial" w:cs="Arial"/>
          <w:bCs/>
          <w:iCs/>
          <w:sz w:val="22"/>
          <w:szCs w:val="22"/>
        </w:rPr>
        <w:t xml:space="preserve">Sustainable </w:t>
      </w:r>
      <w:proofErr w:type="spellStart"/>
      <w:r w:rsidRPr="00C835AC">
        <w:rPr>
          <w:rFonts w:ascii="Arial" w:hAnsi="Arial" w:cs="Arial"/>
          <w:bCs/>
          <w:iCs/>
          <w:sz w:val="22"/>
          <w:szCs w:val="22"/>
        </w:rPr>
        <w:t>neighbourhoods</w:t>
      </w:r>
      <w:r w:rsidR="00C835AC" w:rsidRPr="00C835AC">
        <w:rPr>
          <w:rFonts w:ascii="Arial" w:hAnsi="Arial" w:cs="Arial"/>
          <w:bCs/>
          <w:iCs/>
          <w:sz w:val="22"/>
          <w:szCs w:val="22"/>
        </w:rPr>
        <w:t>’</w:t>
      </w:r>
      <w:proofErr w:type="spellEnd"/>
      <w:r w:rsidR="00C835AC" w:rsidRPr="00C835AC">
        <w:rPr>
          <w:rFonts w:ascii="Arial" w:hAnsi="Arial" w:cs="Arial"/>
          <w:bCs/>
          <w:iCs/>
          <w:sz w:val="22"/>
          <w:szCs w:val="22"/>
        </w:rPr>
        <w:t xml:space="preserve"> – requires n</w:t>
      </w:r>
      <w:r w:rsidRPr="00C835AC">
        <w:rPr>
          <w:rFonts w:ascii="Arial" w:hAnsi="Arial" w:cs="Arial"/>
          <w:bCs/>
          <w:iCs/>
          <w:sz w:val="22"/>
          <w:szCs w:val="22"/>
        </w:rPr>
        <w:t>ew housing to contribute to making sustainable places</w:t>
      </w:r>
      <w:r w:rsidR="00C835AC" w:rsidRPr="00C835AC">
        <w:rPr>
          <w:rFonts w:ascii="Arial" w:hAnsi="Arial" w:cs="Arial"/>
          <w:bCs/>
          <w:iCs/>
          <w:sz w:val="22"/>
          <w:szCs w:val="22"/>
        </w:rPr>
        <w:t xml:space="preserve"> </w:t>
      </w:r>
      <w:proofErr w:type="spellStart"/>
      <w:r w:rsidRPr="00C835AC">
        <w:rPr>
          <w:rFonts w:ascii="Arial" w:hAnsi="Arial" w:cs="Arial"/>
          <w:bCs/>
          <w:iCs/>
          <w:sz w:val="22"/>
          <w:szCs w:val="22"/>
        </w:rPr>
        <w:t>characterised</w:t>
      </w:r>
      <w:proofErr w:type="spellEnd"/>
      <w:r w:rsidRPr="00C835AC">
        <w:rPr>
          <w:rFonts w:ascii="Arial" w:hAnsi="Arial" w:cs="Arial"/>
          <w:bCs/>
          <w:iCs/>
          <w:sz w:val="22"/>
          <w:szCs w:val="22"/>
        </w:rPr>
        <w:t xml:space="preserve"> by</w:t>
      </w:r>
      <w:r w:rsidR="00C835AC" w:rsidRPr="00C835AC">
        <w:rPr>
          <w:rFonts w:ascii="Arial" w:hAnsi="Arial" w:cs="Arial"/>
          <w:bCs/>
          <w:iCs/>
          <w:sz w:val="22"/>
          <w:szCs w:val="22"/>
        </w:rPr>
        <w:t xml:space="preserve"> a</w:t>
      </w:r>
      <w:r w:rsidRPr="00C835AC">
        <w:rPr>
          <w:rFonts w:ascii="Arial" w:hAnsi="Arial" w:cs="Arial"/>
          <w:bCs/>
          <w:iCs/>
          <w:sz w:val="22"/>
          <w:szCs w:val="22"/>
        </w:rPr>
        <w:t xml:space="preserve"> wide choice of housing sizes, types and tenures to ensure balanced communities catering for all incomes and ages</w:t>
      </w:r>
      <w:r w:rsidR="00C835AC" w:rsidRPr="00C835AC">
        <w:rPr>
          <w:rFonts w:ascii="Arial" w:hAnsi="Arial" w:cs="Arial"/>
          <w:bCs/>
          <w:iCs/>
          <w:sz w:val="22"/>
          <w:szCs w:val="22"/>
        </w:rPr>
        <w:t xml:space="preserve"> and a </w:t>
      </w:r>
      <w:r w:rsidRPr="00C835AC">
        <w:rPr>
          <w:rFonts w:ascii="Arial" w:hAnsi="Arial" w:cs="Arial"/>
          <w:bCs/>
          <w:iCs/>
          <w:sz w:val="22"/>
          <w:szCs w:val="22"/>
        </w:rPr>
        <w:t>strong sense of place with high design quality</w:t>
      </w:r>
      <w:r w:rsidR="00C835AC" w:rsidRPr="00C835AC">
        <w:rPr>
          <w:rFonts w:ascii="Arial" w:hAnsi="Arial" w:cs="Arial"/>
          <w:bCs/>
          <w:iCs/>
          <w:sz w:val="22"/>
          <w:szCs w:val="22"/>
        </w:rPr>
        <w:t xml:space="preserve">. </w:t>
      </w:r>
    </w:p>
    <w:p w:rsidR="00C835AC" w:rsidRPr="005A56C5" w:rsidRDefault="00C25F24" w:rsidP="00071525">
      <w:pPr>
        <w:pStyle w:val="ListParagraph"/>
        <w:numPr>
          <w:ilvl w:val="0"/>
          <w:numId w:val="15"/>
        </w:numPr>
        <w:spacing w:line="300" w:lineRule="atLeast"/>
        <w:rPr>
          <w:rFonts w:ascii="Arial" w:hAnsi="Arial" w:cs="Arial"/>
          <w:i/>
          <w:sz w:val="22"/>
          <w:szCs w:val="22"/>
          <w:lang w:val="en-GB"/>
        </w:rPr>
      </w:pPr>
      <w:r w:rsidRPr="00C835AC">
        <w:rPr>
          <w:rFonts w:ascii="Arial" w:hAnsi="Arial" w:cs="Arial"/>
          <w:iCs/>
          <w:sz w:val="22"/>
          <w:szCs w:val="22"/>
        </w:rPr>
        <w:t xml:space="preserve">Policy TP30 </w:t>
      </w:r>
      <w:r w:rsidR="00C835AC">
        <w:rPr>
          <w:rFonts w:ascii="Arial" w:hAnsi="Arial" w:cs="Arial"/>
          <w:iCs/>
          <w:sz w:val="22"/>
          <w:szCs w:val="22"/>
        </w:rPr>
        <w:t>‘</w:t>
      </w:r>
      <w:r w:rsidRPr="00C835AC">
        <w:rPr>
          <w:rFonts w:ascii="Arial" w:hAnsi="Arial" w:cs="Arial"/>
          <w:iCs/>
          <w:sz w:val="22"/>
          <w:szCs w:val="22"/>
        </w:rPr>
        <w:t>The type, size and density of new housing</w:t>
      </w:r>
      <w:r w:rsidR="00C835AC">
        <w:rPr>
          <w:rFonts w:ascii="Arial" w:hAnsi="Arial" w:cs="Arial"/>
          <w:iCs/>
          <w:sz w:val="22"/>
          <w:szCs w:val="22"/>
        </w:rPr>
        <w:t xml:space="preserve">’ – </w:t>
      </w:r>
      <w:r w:rsidR="00C835AC" w:rsidRPr="00C835AC">
        <w:rPr>
          <w:rFonts w:ascii="Arial" w:hAnsi="Arial" w:cs="Arial"/>
          <w:iCs/>
          <w:sz w:val="22"/>
          <w:szCs w:val="22"/>
        </w:rPr>
        <w:t xml:space="preserve">expects proposals </w:t>
      </w:r>
      <w:r w:rsidRPr="00C835AC">
        <w:rPr>
          <w:rFonts w:ascii="Arial" w:hAnsi="Arial" w:cs="Arial"/>
          <w:iCs/>
          <w:sz w:val="22"/>
          <w:szCs w:val="22"/>
          <w:lang w:val="en-GB"/>
        </w:rPr>
        <w:t>to deliver a range of dwellings to meet local needs and support the creation of mixed, balanced and sustainable neighbourhoods</w:t>
      </w:r>
      <w:r w:rsidR="00C835AC">
        <w:rPr>
          <w:rFonts w:ascii="Arial" w:hAnsi="Arial" w:cs="Arial"/>
          <w:iCs/>
          <w:sz w:val="22"/>
          <w:szCs w:val="22"/>
          <w:lang w:val="en-GB"/>
        </w:rPr>
        <w:t>.</w:t>
      </w:r>
    </w:p>
    <w:p w:rsidR="00C25F24" w:rsidRPr="009920CE" w:rsidRDefault="00C25F24" w:rsidP="00C25F24">
      <w:pPr>
        <w:spacing w:line="300" w:lineRule="atLeast"/>
        <w:rPr>
          <w:rFonts w:ascii="Arial" w:hAnsi="Arial" w:cs="Arial"/>
          <w:i/>
          <w:sz w:val="22"/>
          <w:szCs w:val="22"/>
        </w:rPr>
      </w:pPr>
    </w:p>
    <w:p w:rsidR="00C25F24" w:rsidRPr="006876A7" w:rsidRDefault="00AA7200" w:rsidP="00C25F24">
      <w:pPr>
        <w:spacing w:line="300" w:lineRule="atLeast"/>
        <w:ind w:left="709" w:hanging="709"/>
        <w:rPr>
          <w:rFonts w:ascii="Arial" w:hAnsi="Arial" w:cs="Arial"/>
          <w:i/>
          <w:iCs/>
          <w:sz w:val="22"/>
          <w:szCs w:val="22"/>
          <w:lang w:val="en-GB"/>
        </w:rPr>
      </w:pPr>
      <w:r>
        <w:rPr>
          <w:rFonts w:ascii="Arial" w:hAnsi="Arial" w:cs="Arial"/>
          <w:sz w:val="22"/>
          <w:szCs w:val="22"/>
        </w:rPr>
        <w:t>2.10</w:t>
      </w:r>
      <w:r w:rsidR="00C25F24">
        <w:rPr>
          <w:rFonts w:ascii="Arial" w:hAnsi="Arial" w:cs="Arial"/>
          <w:sz w:val="22"/>
          <w:szCs w:val="22"/>
        </w:rPr>
        <w:tab/>
        <w:t>Supporting text to Policy TP30, paragraph 8.16 in the BDP states that “</w:t>
      </w:r>
      <w:r w:rsidR="00C25F24" w:rsidRPr="006876A7">
        <w:rPr>
          <w:rFonts w:ascii="Arial" w:hAnsi="Arial" w:cs="Arial"/>
          <w:i/>
          <w:iCs/>
          <w:sz w:val="22"/>
          <w:szCs w:val="22"/>
          <w:lang w:val="en-GB"/>
        </w:rPr>
        <w:t>New housing should add to the choice of accommodation available to people, whatever their circumstances. It should therefore be a mix of both market and affordable housing and should consist of a mixture of tenures and prices, sizes and types. It should cater for specific needs, such as a wider choice of housing options for people whose current home is no longer suitable for their needs.</w:t>
      </w:r>
      <w:r w:rsidR="00C25F24">
        <w:rPr>
          <w:rFonts w:ascii="Arial" w:hAnsi="Arial" w:cs="Arial"/>
          <w:i/>
          <w:iCs/>
          <w:sz w:val="22"/>
          <w:szCs w:val="22"/>
          <w:lang w:val="en-GB"/>
        </w:rPr>
        <w:t>”</w:t>
      </w:r>
      <w:r w:rsidR="00C25F24" w:rsidRPr="006876A7">
        <w:rPr>
          <w:rFonts w:ascii="Arial" w:hAnsi="Arial" w:cs="Arial"/>
          <w:i/>
          <w:iCs/>
          <w:sz w:val="22"/>
          <w:szCs w:val="22"/>
          <w:lang w:val="en-GB"/>
        </w:rPr>
        <w:t xml:space="preserve"> </w:t>
      </w:r>
      <w:r w:rsidR="00C25F24" w:rsidRPr="00890ED8">
        <w:rPr>
          <w:rFonts w:ascii="Arial" w:hAnsi="Arial" w:cs="Arial"/>
          <w:sz w:val="22"/>
          <w:szCs w:val="22"/>
        </w:rPr>
        <w:t xml:space="preserve">It is in the context of these clear policy ambitions that the Council is seeking to introduce housing standards into the Local Plan through the DMB. The aim of creating sustainable </w:t>
      </w:r>
      <w:proofErr w:type="spellStart"/>
      <w:r w:rsidR="00C25F24" w:rsidRPr="00890ED8">
        <w:rPr>
          <w:rFonts w:ascii="Arial" w:hAnsi="Arial" w:cs="Arial"/>
          <w:sz w:val="22"/>
          <w:szCs w:val="22"/>
        </w:rPr>
        <w:t>neighbourhoods</w:t>
      </w:r>
      <w:proofErr w:type="spellEnd"/>
      <w:r w:rsidR="00C25F24" w:rsidRPr="00890ED8">
        <w:rPr>
          <w:rFonts w:ascii="Arial" w:hAnsi="Arial" w:cs="Arial"/>
          <w:sz w:val="22"/>
          <w:szCs w:val="22"/>
        </w:rPr>
        <w:t xml:space="preserve"> and ensuring high quality design is of </w:t>
      </w:r>
      <w:proofErr w:type="gramStart"/>
      <w:r w:rsidR="00C25F24" w:rsidRPr="00890ED8">
        <w:rPr>
          <w:rFonts w:ascii="Arial" w:hAnsi="Arial" w:cs="Arial"/>
          <w:sz w:val="22"/>
          <w:szCs w:val="22"/>
        </w:rPr>
        <w:t>particular relevance</w:t>
      </w:r>
      <w:proofErr w:type="gramEnd"/>
      <w:r w:rsidR="00C25F24" w:rsidRPr="00890ED8">
        <w:rPr>
          <w:rFonts w:ascii="Arial" w:hAnsi="Arial" w:cs="Arial"/>
          <w:sz w:val="22"/>
          <w:szCs w:val="22"/>
        </w:rPr>
        <w:t xml:space="preserve"> to space standards and the creation of accessible and adaptable homes in Birmingham.</w:t>
      </w:r>
    </w:p>
    <w:p w:rsidR="00AA7200" w:rsidRDefault="00AA7200" w:rsidP="006A6B9F">
      <w:pPr>
        <w:spacing w:line="300" w:lineRule="atLeast"/>
        <w:rPr>
          <w:rFonts w:ascii="Arial" w:hAnsi="Arial" w:cs="Arial"/>
          <w:b/>
        </w:rPr>
      </w:pPr>
    </w:p>
    <w:p w:rsidR="009315D0" w:rsidRPr="007F4F77" w:rsidRDefault="009315D0" w:rsidP="009315D0">
      <w:pPr>
        <w:spacing w:line="300" w:lineRule="atLeast"/>
        <w:ind w:firstLine="709"/>
        <w:rPr>
          <w:rFonts w:ascii="Arial" w:hAnsi="Arial" w:cs="Arial"/>
          <w:sz w:val="22"/>
          <w:szCs w:val="22"/>
          <w:u w:val="single"/>
        </w:rPr>
      </w:pPr>
      <w:r w:rsidRPr="007F4F77">
        <w:rPr>
          <w:rFonts w:ascii="Arial" w:hAnsi="Arial" w:cs="Arial"/>
          <w:sz w:val="22"/>
          <w:szCs w:val="22"/>
          <w:u w:val="single"/>
        </w:rPr>
        <w:t>Birmingham Strategic Housing Market Assessment (2013)</w:t>
      </w:r>
    </w:p>
    <w:p w:rsidR="009315D0" w:rsidRDefault="009315D0" w:rsidP="009315D0">
      <w:pPr>
        <w:spacing w:line="300" w:lineRule="atLeast"/>
        <w:rPr>
          <w:rFonts w:ascii="Arial" w:hAnsi="Arial" w:cs="Arial"/>
          <w:b/>
          <w:bCs/>
          <w:i/>
          <w:iCs/>
          <w:sz w:val="22"/>
          <w:szCs w:val="22"/>
        </w:rPr>
      </w:pPr>
    </w:p>
    <w:p w:rsidR="009315D0" w:rsidRPr="00372263" w:rsidRDefault="009315D0" w:rsidP="009315D0">
      <w:pPr>
        <w:spacing w:line="276" w:lineRule="auto"/>
        <w:ind w:left="720" w:hanging="720"/>
        <w:rPr>
          <w:rFonts w:ascii="Arial" w:hAnsi="Arial" w:cs="Arial"/>
          <w:sz w:val="22"/>
          <w:szCs w:val="22"/>
          <w:lang w:val="en-GB"/>
        </w:rPr>
      </w:pPr>
      <w:r>
        <w:rPr>
          <w:rFonts w:ascii="Arial" w:hAnsi="Arial" w:cs="Arial"/>
          <w:sz w:val="22"/>
          <w:szCs w:val="22"/>
        </w:rPr>
        <w:t>2.1</w:t>
      </w:r>
      <w:r w:rsidR="008C4A82">
        <w:rPr>
          <w:rFonts w:ascii="Arial" w:hAnsi="Arial" w:cs="Arial"/>
          <w:sz w:val="22"/>
          <w:szCs w:val="22"/>
        </w:rPr>
        <w:t>1</w:t>
      </w:r>
      <w:r>
        <w:rPr>
          <w:rFonts w:ascii="Arial" w:hAnsi="Arial" w:cs="Arial"/>
          <w:b/>
          <w:bCs/>
          <w:sz w:val="22"/>
          <w:szCs w:val="22"/>
        </w:rPr>
        <w:tab/>
      </w:r>
      <w:r>
        <w:rPr>
          <w:rFonts w:ascii="Arial" w:hAnsi="Arial" w:cs="Arial"/>
          <w:sz w:val="22"/>
          <w:szCs w:val="22"/>
        </w:rPr>
        <w:t>The SHMA underpins the housing policies set out in the BDP. As part of assessing housing need, the SHMA assessed the suitability of household’s current housing. I</w:t>
      </w:r>
      <w:r w:rsidRPr="007B57A8">
        <w:rPr>
          <w:rFonts w:ascii="Arial" w:hAnsi="Arial" w:cs="Arial"/>
          <w:sz w:val="22"/>
          <w:szCs w:val="22"/>
          <w:lang w:val="en-GB"/>
        </w:rPr>
        <w:t xml:space="preserve">t </w:t>
      </w:r>
      <w:r>
        <w:rPr>
          <w:rFonts w:ascii="Arial" w:hAnsi="Arial" w:cs="Arial"/>
          <w:sz w:val="22"/>
          <w:szCs w:val="22"/>
          <w:lang w:val="en-GB"/>
        </w:rPr>
        <w:t>was</w:t>
      </w:r>
      <w:r w:rsidRPr="007B57A8">
        <w:rPr>
          <w:rFonts w:ascii="Arial" w:hAnsi="Arial" w:cs="Arial"/>
          <w:sz w:val="22"/>
          <w:szCs w:val="22"/>
          <w:lang w:val="en-GB"/>
        </w:rPr>
        <w:t xml:space="preserve"> estimated that a total of 85,813 households</w:t>
      </w:r>
      <w:r>
        <w:rPr>
          <w:rFonts w:ascii="Arial" w:hAnsi="Arial" w:cs="Arial"/>
          <w:sz w:val="22"/>
          <w:szCs w:val="22"/>
          <w:lang w:val="en-GB"/>
        </w:rPr>
        <w:t xml:space="preserve"> were</w:t>
      </w:r>
      <w:r w:rsidRPr="007B57A8">
        <w:rPr>
          <w:rFonts w:ascii="Arial" w:hAnsi="Arial" w:cs="Arial"/>
          <w:sz w:val="22"/>
          <w:szCs w:val="22"/>
          <w:lang w:val="en-GB"/>
        </w:rPr>
        <w:t xml:space="preserve"> living in unsuitable housing. This represents 20.8% of </w:t>
      </w:r>
      <w:r w:rsidRPr="007B57A8">
        <w:rPr>
          <w:rFonts w:ascii="Arial" w:hAnsi="Arial" w:cs="Arial"/>
          <w:sz w:val="22"/>
          <w:szCs w:val="22"/>
          <w:lang w:val="en-GB"/>
        </w:rPr>
        <w:lastRenderedPageBreak/>
        <w:t xml:space="preserve">all (non-student) households in Birmingham. </w:t>
      </w:r>
      <w:r w:rsidRPr="007B57A8">
        <w:rPr>
          <w:rFonts w:ascii="Arial" w:eastAsia="Times New Roman" w:hAnsi="Arial" w:cs="Arial"/>
          <w:sz w:val="22"/>
          <w:szCs w:val="22"/>
          <w:lang w:val="en-GB" w:eastAsia="en-GB"/>
        </w:rPr>
        <w:t xml:space="preserve">Figure 7.1 </w:t>
      </w:r>
      <w:r>
        <w:rPr>
          <w:rFonts w:ascii="Arial" w:eastAsia="Times New Roman" w:hAnsi="Arial" w:cs="Arial"/>
          <w:sz w:val="22"/>
          <w:szCs w:val="22"/>
          <w:lang w:val="en-GB" w:eastAsia="en-GB"/>
        </w:rPr>
        <w:t xml:space="preserve">from the report </w:t>
      </w:r>
      <w:r w:rsidRPr="007B57A8">
        <w:rPr>
          <w:rFonts w:ascii="Arial" w:eastAsia="Times New Roman" w:hAnsi="Arial" w:cs="Arial"/>
          <w:sz w:val="22"/>
          <w:szCs w:val="22"/>
          <w:lang w:val="en-GB" w:eastAsia="en-GB"/>
        </w:rPr>
        <w:t>summarises the numbers of households living in unsuitable housing. The main cause of unsuitable housing is overcrowding</w:t>
      </w:r>
      <w:r>
        <w:rPr>
          <w:rFonts w:ascii="Arial" w:eastAsia="Times New Roman" w:hAnsi="Arial" w:cs="Arial"/>
          <w:sz w:val="22"/>
          <w:szCs w:val="22"/>
          <w:lang w:val="en-GB" w:eastAsia="en-GB"/>
        </w:rPr>
        <w:t>, at 30,911 (36%) households. Households with support needs/ mobility issues comprised 14,922 (17.4%) households.</w:t>
      </w:r>
    </w:p>
    <w:p w:rsidR="009315D0" w:rsidRDefault="009315D0" w:rsidP="009315D0">
      <w:pPr>
        <w:spacing w:line="300" w:lineRule="atLeast"/>
        <w:ind w:left="720" w:hanging="720"/>
        <w:rPr>
          <w:rFonts w:ascii="Arial" w:hAnsi="Arial" w:cs="Arial"/>
          <w:sz w:val="22"/>
          <w:szCs w:val="22"/>
        </w:rPr>
      </w:pPr>
    </w:p>
    <w:p w:rsidR="009315D0" w:rsidRDefault="009315D0" w:rsidP="00725AFD">
      <w:pPr>
        <w:spacing w:line="300" w:lineRule="atLeast"/>
        <w:ind w:left="720" w:hanging="720"/>
        <w:jc w:val="center"/>
        <w:rPr>
          <w:rFonts w:ascii="Arial" w:hAnsi="Arial" w:cs="Arial"/>
          <w:sz w:val="22"/>
          <w:szCs w:val="22"/>
        </w:rPr>
      </w:pPr>
      <w:r w:rsidRPr="00590771">
        <w:rPr>
          <w:rFonts w:ascii="Arial" w:hAnsi="Arial" w:cs="Arial"/>
          <w:noProof/>
          <w:sz w:val="22"/>
          <w:szCs w:val="22"/>
        </w:rPr>
        <w:drawing>
          <wp:inline distT="0" distB="0" distL="0" distR="0" wp14:anchorId="32E34B51" wp14:editId="54CD3ED0">
            <wp:extent cx="4923162" cy="3393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67662" cy="3424113"/>
                    </a:xfrm>
                    <a:prstGeom prst="rect">
                      <a:avLst/>
                    </a:prstGeom>
                  </pic:spPr>
                </pic:pic>
              </a:graphicData>
            </a:graphic>
          </wp:inline>
        </w:drawing>
      </w:r>
    </w:p>
    <w:p w:rsidR="00AA7200" w:rsidRPr="005C5D5B" w:rsidRDefault="00AA7200" w:rsidP="006A6B9F">
      <w:pPr>
        <w:spacing w:line="300" w:lineRule="atLeast"/>
        <w:rPr>
          <w:rFonts w:ascii="Arial" w:hAnsi="Arial" w:cs="Arial"/>
          <w:b/>
        </w:rPr>
      </w:pPr>
    </w:p>
    <w:p w:rsidR="007B40F4" w:rsidRPr="005C5D5B" w:rsidRDefault="007B40F4" w:rsidP="00200D11">
      <w:pPr>
        <w:spacing w:line="300" w:lineRule="atLeast"/>
        <w:ind w:firstLine="709"/>
        <w:rPr>
          <w:rFonts w:ascii="Arial" w:hAnsi="Arial" w:cs="Arial"/>
          <w:bCs/>
          <w:iCs/>
          <w:sz w:val="22"/>
          <w:szCs w:val="22"/>
          <w:u w:val="single"/>
        </w:rPr>
      </w:pPr>
      <w:r w:rsidRPr="005C5D5B">
        <w:rPr>
          <w:rFonts w:ascii="Arial" w:hAnsi="Arial" w:cs="Arial"/>
          <w:bCs/>
          <w:iCs/>
          <w:sz w:val="22"/>
          <w:szCs w:val="22"/>
          <w:u w:val="single"/>
        </w:rPr>
        <w:t>Council Plan 2018-2022</w:t>
      </w:r>
      <w:r w:rsidR="00F41E55" w:rsidRPr="005C5D5B">
        <w:rPr>
          <w:rStyle w:val="FootnoteReference"/>
          <w:rFonts w:ascii="Arial" w:hAnsi="Arial" w:cs="Arial"/>
          <w:bCs/>
          <w:iCs/>
          <w:sz w:val="22"/>
          <w:szCs w:val="22"/>
          <w:u w:val="single"/>
        </w:rPr>
        <w:footnoteReference w:id="4"/>
      </w:r>
    </w:p>
    <w:p w:rsidR="007B40F4" w:rsidRDefault="007B40F4" w:rsidP="006A6B9F">
      <w:pPr>
        <w:spacing w:line="300" w:lineRule="atLeast"/>
        <w:rPr>
          <w:rFonts w:ascii="Arial" w:hAnsi="Arial" w:cs="Arial"/>
          <w:i/>
          <w:sz w:val="22"/>
          <w:szCs w:val="22"/>
        </w:rPr>
      </w:pPr>
    </w:p>
    <w:p w:rsidR="00203348" w:rsidRDefault="005C5D5B" w:rsidP="00203348">
      <w:pPr>
        <w:spacing w:line="300" w:lineRule="atLeast"/>
        <w:ind w:left="720" w:hanging="720"/>
        <w:rPr>
          <w:rFonts w:ascii="Arial" w:hAnsi="Arial" w:cs="Arial"/>
          <w:sz w:val="22"/>
          <w:szCs w:val="22"/>
        </w:rPr>
      </w:pPr>
      <w:r>
        <w:rPr>
          <w:rFonts w:ascii="Arial" w:hAnsi="Arial" w:cs="Arial"/>
          <w:sz w:val="22"/>
          <w:szCs w:val="22"/>
        </w:rPr>
        <w:t>2.</w:t>
      </w:r>
      <w:r w:rsidR="00AA7200">
        <w:rPr>
          <w:rFonts w:ascii="Arial" w:hAnsi="Arial" w:cs="Arial"/>
          <w:sz w:val="22"/>
          <w:szCs w:val="22"/>
        </w:rPr>
        <w:t>1</w:t>
      </w:r>
      <w:r w:rsidR="008C4A82">
        <w:rPr>
          <w:rFonts w:ascii="Arial" w:hAnsi="Arial" w:cs="Arial"/>
          <w:sz w:val="22"/>
          <w:szCs w:val="22"/>
        </w:rPr>
        <w:t>2</w:t>
      </w:r>
      <w:r w:rsidR="007B40F4">
        <w:rPr>
          <w:rFonts w:ascii="Arial" w:hAnsi="Arial" w:cs="Arial"/>
          <w:sz w:val="22"/>
          <w:szCs w:val="22"/>
        </w:rPr>
        <w:tab/>
      </w:r>
      <w:r>
        <w:rPr>
          <w:rFonts w:ascii="Arial" w:hAnsi="Arial" w:cs="Arial"/>
          <w:sz w:val="22"/>
          <w:szCs w:val="22"/>
        </w:rPr>
        <w:t>W</w:t>
      </w:r>
      <w:r w:rsidR="00203348" w:rsidRPr="00203348">
        <w:rPr>
          <w:rFonts w:ascii="Arial" w:hAnsi="Arial" w:cs="Arial"/>
          <w:sz w:val="22"/>
          <w:szCs w:val="22"/>
        </w:rPr>
        <w:t>ith a rising demand for services (especially adult social care), financial pressures and the need to invest in children’s services</w:t>
      </w:r>
      <w:r w:rsidR="00F41E55">
        <w:rPr>
          <w:rFonts w:ascii="Arial" w:hAnsi="Arial" w:cs="Arial"/>
          <w:sz w:val="22"/>
          <w:szCs w:val="22"/>
        </w:rPr>
        <w:t>, Birmingham City Council plans</w:t>
      </w:r>
      <w:r w:rsidR="00203348" w:rsidRPr="00203348">
        <w:rPr>
          <w:rFonts w:ascii="Arial" w:hAnsi="Arial" w:cs="Arial"/>
          <w:sz w:val="22"/>
          <w:szCs w:val="22"/>
        </w:rPr>
        <w:t xml:space="preserve"> to focus resources on five key priorities:</w:t>
      </w:r>
    </w:p>
    <w:p w:rsidR="00203348" w:rsidRDefault="00203348" w:rsidP="00203348">
      <w:pPr>
        <w:spacing w:line="300" w:lineRule="atLeast"/>
        <w:ind w:left="720" w:hanging="720"/>
        <w:rPr>
          <w:rFonts w:ascii="Arial" w:hAnsi="Arial" w:cs="Arial"/>
          <w:sz w:val="22"/>
          <w:szCs w:val="22"/>
        </w:rPr>
      </w:pPr>
    </w:p>
    <w:p w:rsidR="00203348" w:rsidRDefault="00203348" w:rsidP="00071525">
      <w:pPr>
        <w:pStyle w:val="ListParagraph"/>
        <w:numPr>
          <w:ilvl w:val="0"/>
          <w:numId w:val="9"/>
        </w:numPr>
        <w:spacing w:line="300" w:lineRule="atLeast"/>
        <w:rPr>
          <w:rFonts w:ascii="Arial" w:hAnsi="Arial" w:cs="Arial"/>
          <w:sz w:val="22"/>
          <w:szCs w:val="22"/>
        </w:rPr>
      </w:pPr>
      <w:r w:rsidRPr="00203348">
        <w:rPr>
          <w:rFonts w:ascii="Arial" w:hAnsi="Arial" w:cs="Arial"/>
          <w:sz w:val="22"/>
          <w:szCs w:val="22"/>
        </w:rPr>
        <w:t>Birmingham is an entrepreneurial city to learn, work and invest in</w:t>
      </w:r>
    </w:p>
    <w:p w:rsidR="00203348" w:rsidRDefault="00203348" w:rsidP="00071525">
      <w:pPr>
        <w:pStyle w:val="ListParagraph"/>
        <w:numPr>
          <w:ilvl w:val="0"/>
          <w:numId w:val="9"/>
        </w:numPr>
        <w:spacing w:line="300" w:lineRule="atLeast"/>
        <w:rPr>
          <w:rFonts w:ascii="Arial" w:hAnsi="Arial" w:cs="Arial"/>
          <w:sz w:val="22"/>
          <w:szCs w:val="22"/>
        </w:rPr>
      </w:pPr>
      <w:r w:rsidRPr="00203348">
        <w:rPr>
          <w:rFonts w:ascii="Arial" w:hAnsi="Arial" w:cs="Arial"/>
          <w:sz w:val="22"/>
          <w:szCs w:val="22"/>
        </w:rPr>
        <w:t>Birmingham is an aspirational city to grow up in</w:t>
      </w:r>
    </w:p>
    <w:p w:rsidR="00203348" w:rsidRDefault="00203348" w:rsidP="00071525">
      <w:pPr>
        <w:pStyle w:val="ListParagraph"/>
        <w:numPr>
          <w:ilvl w:val="0"/>
          <w:numId w:val="9"/>
        </w:numPr>
        <w:spacing w:line="300" w:lineRule="atLeast"/>
        <w:rPr>
          <w:rFonts w:ascii="Arial" w:hAnsi="Arial" w:cs="Arial"/>
          <w:sz w:val="22"/>
          <w:szCs w:val="22"/>
        </w:rPr>
      </w:pPr>
      <w:r w:rsidRPr="00203348">
        <w:rPr>
          <w:rFonts w:ascii="Arial" w:hAnsi="Arial" w:cs="Arial"/>
          <w:sz w:val="22"/>
          <w:szCs w:val="22"/>
        </w:rPr>
        <w:t>Birmingham is a fulfilling city to age well in</w:t>
      </w:r>
    </w:p>
    <w:p w:rsidR="00203348" w:rsidRDefault="00203348" w:rsidP="00071525">
      <w:pPr>
        <w:pStyle w:val="ListParagraph"/>
        <w:numPr>
          <w:ilvl w:val="0"/>
          <w:numId w:val="9"/>
        </w:numPr>
        <w:spacing w:line="300" w:lineRule="atLeast"/>
        <w:rPr>
          <w:rFonts w:ascii="Arial" w:hAnsi="Arial" w:cs="Arial"/>
          <w:sz w:val="22"/>
          <w:szCs w:val="22"/>
        </w:rPr>
      </w:pPr>
      <w:r w:rsidRPr="00203348">
        <w:rPr>
          <w:rFonts w:ascii="Arial" w:hAnsi="Arial" w:cs="Arial"/>
          <w:sz w:val="22"/>
          <w:szCs w:val="22"/>
        </w:rPr>
        <w:t>Birmingham is a great city to live in</w:t>
      </w:r>
    </w:p>
    <w:p w:rsidR="00203348" w:rsidRDefault="00203348" w:rsidP="00071525">
      <w:pPr>
        <w:pStyle w:val="ListParagraph"/>
        <w:numPr>
          <w:ilvl w:val="0"/>
          <w:numId w:val="9"/>
        </w:numPr>
        <w:spacing w:line="300" w:lineRule="atLeast"/>
        <w:rPr>
          <w:rFonts w:ascii="Arial" w:hAnsi="Arial" w:cs="Arial"/>
          <w:sz w:val="22"/>
          <w:szCs w:val="22"/>
        </w:rPr>
      </w:pPr>
      <w:r w:rsidRPr="00203348">
        <w:rPr>
          <w:rFonts w:ascii="Arial" w:hAnsi="Arial" w:cs="Arial"/>
          <w:sz w:val="22"/>
          <w:szCs w:val="22"/>
        </w:rPr>
        <w:t>Birmingham residents gain the maximum benefit from hosting the Commonwealth Games</w:t>
      </w:r>
    </w:p>
    <w:p w:rsidR="00203348" w:rsidRDefault="00203348" w:rsidP="00203348">
      <w:pPr>
        <w:pStyle w:val="ListParagraph"/>
        <w:spacing w:line="300" w:lineRule="atLeast"/>
        <w:ind w:left="1440"/>
        <w:rPr>
          <w:rFonts w:ascii="Arial" w:hAnsi="Arial" w:cs="Arial"/>
          <w:sz w:val="22"/>
          <w:szCs w:val="22"/>
        </w:rPr>
      </w:pPr>
    </w:p>
    <w:p w:rsidR="007B40F4" w:rsidRPr="00203348" w:rsidRDefault="005C5D5B" w:rsidP="00203348">
      <w:pPr>
        <w:spacing w:line="300" w:lineRule="atLeast"/>
        <w:rPr>
          <w:rFonts w:ascii="Arial" w:hAnsi="Arial" w:cs="Arial"/>
          <w:sz w:val="22"/>
          <w:szCs w:val="22"/>
        </w:rPr>
      </w:pPr>
      <w:r>
        <w:rPr>
          <w:rFonts w:ascii="Arial" w:hAnsi="Arial" w:cs="Arial"/>
          <w:sz w:val="22"/>
          <w:szCs w:val="22"/>
        </w:rPr>
        <w:t>2.</w:t>
      </w:r>
      <w:r w:rsidR="00AA7200">
        <w:rPr>
          <w:rFonts w:ascii="Arial" w:hAnsi="Arial" w:cs="Arial"/>
          <w:sz w:val="22"/>
          <w:szCs w:val="22"/>
        </w:rPr>
        <w:t>1</w:t>
      </w:r>
      <w:r w:rsidR="008C4A82">
        <w:rPr>
          <w:rFonts w:ascii="Arial" w:hAnsi="Arial" w:cs="Arial"/>
          <w:sz w:val="22"/>
          <w:szCs w:val="22"/>
        </w:rPr>
        <w:t>3</w:t>
      </w:r>
      <w:r w:rsidR="00203348">
        <w:rPr>
          <w:rFonts w:ascii="Arial" w:hAnsi="Arial" w:cs="Arial"/>
          <w:sz w:val="22"/>
          <w:szCs w:val="22"/>
        </w:rPr>
        <w:tab/>
      </w:r>
      <w:r w:rsidR="007B40F4" w:rsidRPr="00203348">
        <w:rPr>
          <w:rFonts w:ascii="Arial" w:hAnsi="Arial" w:cs="Arial"/>
          <w:sz w:val="22"/>
          <w:szCs w:val="22"/>
        </w:rPr>
        <w:t>Two of the six key outcomes in the Council’s Plan are particularly relevant to DM10:</w:t>
      </w:r>
    </w:p>
    <w:p w:rsidR="00351E1F" w:rsidRDefault="007B40F4" w:rsidP="00351E1F">
      <w:pPr>
        <w:spacing w:line="300" w:lineRule="atLeast"/>
        <w:ind w:left="720"/>
        <w:rPr>
          <w:rFonts w:ascii="Arial" w:hAnsi="Arial" w:cs="Arial"/>
          <w:i/>
          <w:sz w:val="22"/>
          <w:szCs w:val="22"/>
        </w:rPr>
      </w:pPr>
      <w:r w:rsidRPr="00351E1F">
        <w:rPr>
          <w:rFonts w:ascii="Arial" w:hAnsi="Arial" w:cs="Arial"/>
          <w:i/>
          <w:sz w:val="22"/>
          <w:szCs w:val="22"/>
        </w:rPr>
        <w:t>“Birmingham is a fulfilling city to age well in – …citizens to live more active, longer, healthier and independent lives….”</w:t>
      </w:r>
    </w:p>
    <w:p w:rsidR="007B40F4" w:rsidRPr="00351E1F" w:rsidRDefault="007B40F4" w:rsidP="00351E1F">
      <w:pPr>
        <w:spacing w:line="300" w:lineRule="atLeast"/>
        <w:ind w:left="720"/>
        <w:rPr>
          <w:rFonts w:ascii="Arial" w:hAnsi="Arial" w:cs="Arial"/>
          <w:i/>
          <w:sz w:val="22"/>
          <w:szCs w:val="22"/>
        </w:rPr>
      </w:pPr>
      <w:r w:rsidRPr="00351E1F">
        <w:rPr>
          <w:rFonts w:ascii="Arial" w:hAnsi="Arial" w:cs="Arial"/>
          <w:i/>
          <w:sz w:val="22"/>
          <w:szCs w:val="22"/>
        </w:rPr>
        <w:t xml:space="preserve">Birmingham is a great city to live in - </w:t>
      </w:r>
      <w:r w:rsidRPr="00351E1F">
        <w:rPr>
          <w:rFonts w:ascii="Arial" w:hAnsi="Arial" w:cs="Arial"/>
          <w:sz w:val="22"/>
          <w:szCs w:val="22"/>
        </w:rPr>
        <w:tab/>
        <w:t xml:space="preserve">“… </w:t>
      </w:r>
      <w:r w:rsidRPr="00351E1F">
        <w:rPr>
          <w:rFonts w:ascii="Arial" w:hAnsi="Arial" w:cs="Arial"/>
          <w:i/>
          <w:sz w:val="22"/>
          <w:szCs w:val="22"/>
        </w:rPr>
        <w:t>Birmingham to be a sustainable city of vibrant culture, flourishing neighborhoods with good quality housing….”</w:t>
      </w:r>
    </w:p>
    <w:p w:rsidR="00890ED8" w:rsidRPr="007B40F4" w:rsidRDefault="00890ED8" w:rsidP="006A6B9F">
      <w:pPr>
        <w:spacing w:line="300" w:lineRule="atLeast"/>
        <w:rPr>
          <w:rFonts w:ascii="Arial" w:hAnsi="Arial" w:cs="Arial"/>
          <w:sz w:val="22"/>
          <w:szCs w:val="22"/>
        </w:rPr>
      </w:pPr>
    </w:p>
    <w:p w:rsidR="00C50F94" w:rsidRPr="00AA7200" w:rsidRDefault="00084BF1" w:rsidP="006A6B9F">
      <w:pPr>
        <w:pStyle w:val="ListParagraph"/>
        <w:spacing w:line="300" w:lineRule="atLeast"/>
        <w:ind w:left="709"/>
        <w:rPr>
          <w:rFonts w:ascii="Arial" w:hAnsi="Arial" w:cs="Arial"/>
          <w:bCs/>
          <w:iCs/>
          <w:sz w:val="22"/>
          <w:szCs w:val="22"/>
          <w:u w:val="single"/>
        </w:rPr>
      </w:pPr>
      <w:r w:rsidRPr="00084BF1">
        <w:rPr>
          <w:rFonts w:ascii="Arial" w:hAnsi="Arial" w:cs="Arial"/>
          <w:bCs/>
          <w:iCs/>
          <w:sz w:val="22"/>
          <w:szCs w:val="22"/>
          <w:u w:val="single"/>
        </w:rPr>
        <w:lastRenderedPageBreak/>
        <w:t xml:space="preserve">Birmingham: A Great Place to Live </w:t>
      </w:r>
      <w:r w:rsidR="00351E1F" w:rsidRPr="00AA7200">
        <w:rPr>
          <w:rFonts w:ascii="Arial" w:hAnsi="Arial" w:cs="Arial"/>
          <w:bCs/>
          <w:iCs/>
          <w:sz w:val="22"/>
          <w:szCs w:val="22"/>
          <w:u w:val="single"/>
        </w:rPr>
        <w:t>(201</w:t>
      </w:r>
      <w:r w:rsidR="00A07691">
        <w:rPr>
          <w:rFonts w:ascii="Arial" w:hAnsi="Arial" w:cs="Arial"/>
          <w:bCs/>
          <w:iCs/>
          <w:sz w:val="22"/>
          <w:szCs w:val="22"/>
          <w:u w:val="single"/>
        </w:rPr>
        <w:t>7</w:t>
      </w:r>
      <w:r w:rsidR="00351E1F" w:rsidRPr="00AA7200">
        <w:rPr>
          <w:rFonts w:ascii="Arial" w:hAnsi="Arial" w:cs="Arial"/>
          <w:bCs/>
          <w:iCs/>
          <w:sz w:val="22"/>
          <w:szCs w:val="22"/>
          <w:u w:val="single"/>
        </w:rPr>
        <w:t>)</w:t>
      </w:r>
    </w:p>
    <w:p w:rsidR="00C50F94" w:rsidRPr="006A6B9F" w:rsidRDefault="00C50F94" w:rsidP="006A6B9F">
      <w:pPr>
        <w:pStyle w:val="ListParagraph"/>
        <w:spacing w:line="300" w:lineRule="atLeast"/>
        <w:ind w:left="709"/>
        <w:rPr>
          <w:rFonts w:ascii="Arial" w:hAnsi="Arial" w:cs="Arial"/>
          <w:sz w:val="22"/>
          <w:szCs w:val="22"/>
        </w:rPr>
      </w:pPr>
    </w:p>
    <w:p w:rsidR="00424EB8" w:rsidRDefault="005C5D5B" w:rsidP="00326697">
      <w:pPr>
        <w:spacing w:line="300" w:lineRule="atLeast"/>
        <w:ind w:left="709" w:hanging="709"/>
        <w:rPr>
          <w:rFonts w:ascii="Arial" w:hAnsi="Arial" w:cs="Arial"/>
          <w:sz w:val="22"/>
          <w:szCs w:val="22"/>
        </w:rPr>
      </w:pPr>
      <w:r>
        <w:rPr>
          <w:rFonts w:ascii="Arial" w:hAnsi="Arial" w:cs="Arial"/>
          <w:sz w:val="22"/>
          <w:szCs w:val="22"/>
        </w:rPr>
        <w:t>2.</w:t>
      </w:r>
      <w:r w:rsidR="00AA7200">
        <w:rPr>
          <w:rFonts w:ascii="Arial" w:hAnsi="Arial" w:cs="Arial"/>
          <w:sz w:val="22"/>
          <w:szCs w:val="22"/>
        </w:rPr>
        <w:t>1</w:t>
      </w:r>
      <w:r w:rsidR="008C4A82">
        <w:rPr>
          <w:rFonts w:ascii="Arial" w:hAnsi="Arial" w:cs="Arial"/>
          <w:sz w:val="22"/>
          <w:szCs w:val="22"/>
        </w:rPr>
        <w:t>4</w:t>
      </w:r>
      <w:r w:rsidR="00AB53EB">
        <w:rPr>
          <w:rFonts w:ascii="Arial" w:hAnsi="Arial" w:cs="Arial"/>
          <w:sz w:val="22"/>
          <w:szCs w:val="22"/>
        </w:rPr>
        <w:tab/>
      </w:r>
      <w:r w:rsidR="00084BF1" w:rsidRPr="00084BF1">
        <w:rPr>
          <w:rFonts w:ascii="Arial" w:hAnsi="Arial" w:cs="Arial"/>
          <w:sz w:val="22"/>
          <w:szCs w:val="22"/>
        </w:rPr>
        <w:t xml:space="preserve">The </w:t>
      </w:r>
      <w:r w:rsidR="00084BF1">
        <w:rPr>
          <w:rFonts w:ascii="Arial" w:hAnsi="Arial" w:cs="Arial"/>
          <w:sz w:val="22"/>
          <w:szCs w:val="22"/>
        </w:rPr>
        <w:t>documents has been</w:t>
      </w:r>
      <w:r w:rsidR="00084BF1" w:rsidRPr="00084BF1">
        <w:rPr>
          <w:rFonts w:ascii="Arial" w:hAnsi="Arial" w:cs="Arial"/>
          <w:sz w:val="22"/>
          <w:szCs w:val="22"/>
        </w:rPr>
        <w:t xml:space="preserve"> prepared in partnership with key housing stakeholders including registered providers, private landlords, third sector bodies, and the Homes and Communities Agency</w:t>
      </w:r>
      <w:r w:rsidR="00084BF1">
        <w:rPr>
          <w:rFonts w:ascii="Arial" w:hAnsi="Arial" w:cs="Arial"/>
          <w:sz w:val="22"/>
          <w:szCs w:val="22"/>
        </w:rPr>
        <w:t xml:space="preserve"> and set out the housing priorities </w:t>
      </w:r>
      <w:r w:rsidR="00923DDB">
        <w:rPr>
          <w:rFonts w:ascii="Arial" w:hAnsi="Arial" w:cs="Arial"/>
          <w:sz w:val="22"/>
          <w:szCs w:val="22"/>
        </w:rPr>
        <w:t xml:space="preserve">for the </w:t>
      </w:r>
      <w:proofErr w:type="gramStart"/>
      <w:r w:rsidR="00923DDB">
        <w:rPr>
          <w:rFonts w:ascii="Arial" w:hAnsi="Arial" w:cs="Arial"/>
          <w:sz w:val="22"/>
          <w:szCs w:val="22"/>
        </w:rPr>
        <w:t>city.</w:t>
      </w:r>
      <w:r w:rsidR="00262FB7" w:rsidRPr="00AB53EB">
        <w:rPr>
          <w:rFonts w:ascii="Arial" w:hAnsi="Arial" w:cs="Arial"/>
          <w:sz w:val="22"/>
          <w:szCs w:val="22"/>
        </w:rPr>
        <w:t>.</w:t>
      </w:r>
      <w:proofErr w:type="gramEnd"/>
      <w:r w:rsidR="00262FB7" w:rsidRPr="00AB53EB">
        <w:rPr>
          <w:rFonts w:ascii="Arial" w:hAnsi="Arial" w:cs="Arial"/>
          <w:sz w:val="22"/>
          <w:szCs w:val="22"/>
        </w:rPr>
        <w:t xml:space="preserve"> </w:t>
      </w:r>
      <w:r w:rsidR="00AB53EB" w:rsidRPr="00AB53EB">
        <w:rPr>
          <w:rFonts w:ascii="Arial" w:hAnsi="Arial" w:cs="Arial"/>
          <w:sz w:val="22"/>
          <w:szCs w:val="22"/>
        </w:rPr>
        <w:t xml:space="preserve">Its overall vision is </w:t>
      </w:r>
      <w:r w:rsidR="007D1482" w:rsidRPr="008D4D42">
        <w:rPr>
          <w:rFonts w:ascii="Arial" w:hAnsi="Arial" w:cs="Arial"/>
          <w:sz w:val="22"/>
          <w:szCs w:val="22"/>
        </w:rPr>
        <w:t xml:space="preserve">that </w:t>
      </w:r>
      <w:r w:rsidR="00AB53EB" w:rsidRPr="00AB53EB">
        <w:rPr>
          <w:rFonts w:ascii="Arial" w:hAnsi="Arial" w:cs="Arial"/>
          <w:i/>
          <w:sz w:val="22"/>
          <w:szCs w:val="22"/>
        </w:rPr>
        <w:t>“Every citizen can find a great place to live”</w:t>
      </w:r>
      <w:r w:rsidR="00AB53EB">
        <w:rPr>
          <w:rFonts w:ascii="Arial" w:hAnsi="Arial" w:cs="Arial"/>
          <w:sz w:val="22"/>
          <w:szCs w:val="22"/>
        </w:rPr>
        <w:t xml:space="preserve"> which means:</w:t>
      </w:r>
    </w:p>
    <w:p w:rsidR="00AB53EB" w:rsidRPr="00AB53EB" w:rsidRDefault="00AB53EB" w:rsidP="007A590A">
      <w:pPr>
        <w:pStyle w:val="ListParagraph"/>
        <w:numPr>
          <w:ilvl w:val="0"/>
          <w:numId w:val="3"/>
        </w:numPr>
        <w:spacing w:line="300" w:lineRule="atLeast"/>
        <w:rPr>
          <w:rFonts w:ascii="Arial" w:hAnsi="Arial" w:cs="Arial"/>
          <w:i/>
          <w:sz w:val="22"/>
          <w:szCs w:val="22"/>
        </w:rPr>
      </w:pPr>
      <w:r w:rsidRPr="00AB53EB">
        <w:rPr>
          <w:rFonts w:ascii="Arial" w:hAnsi="Arial" w:cs="Arial"/>
          <w:i/>
          <w:sz w:val="22"/>
          <w:szCs w:val="22"/>
        </w:rPr>
        <w:t xml:space="preserve">A strong supply of new </w:t>
      </w:r>
      <w:proofErr w:type="gramStart"/>
      <w:r w:rsidRPr="00AB53EB">
        <w:rPr>
          <w:rFonts w:ascii="Arial" w:hAnsi="Arial" w:cs="Arial"/>
          <w:i/>
          <w:sz w:val="22"/>
          <w:szCs w:val="22"/>
        </w:rPr>
        <w:t>high quality</w:t>
      </w:r>
      <w:proofErr w:type="gramEnd"/>
      <w:r w:rsidRPr="00AB53EB">
        <w:rPr>
          <w:rFonts w:ascii="Arial" w:hAnsi="Arial" w:cs="Arial"/>
          <w:i/>
          <w:sz w:val="22"/>
          <w:szCs w:val="22"/>
        </w:rPr>
        <w:t xml:space="preserve"> homes;</w:t>
      </w:r>
    </w:p>
    <w:p w:rsidR="00AB53EB" w:rsidRPr="00AB53EB" w:rsidRDefault="00AB53EB" w:rsidP="007A590A">
      <w:pPr>
        <w:pStyle w:val="ListParagraph"/>
        <w:numPr>
          <w:ilvl w:val="0"/>
          <w:numId w:val="2"/>
        </w:numPr>
        <w:spacing w:line="300" w:lineRule="atLeast"/>
        <w:rPr>
          <w:rFonts w:ascii="Arial" w:hAnsi="Arial" w:cs="Arial"/>
          <w:i/>
          <w:sz w:val="22"/>
          <w:szCs w:val="22"/>
        </w:rPr>
      </w:pPr>
      <w:r w:rsidRPr="00AB53EB">
        <w:rPr>
          <w:rFonts w:ascii="Arial" w:hAnsi="Arial" w:cs="Arial"/>
          <w:i/>
          <w:sz w:val="22"/>
          <w:szCs w:val="22"/>
        </w:rPr>
        <w:t xml:space="preserve">Citizens </w:t>
      </w:r>
      <w:proofErr w:type="gramStart"/>
      <w:r w:rsidRPr="00AB53EB">
        <w:rPr>
          <w:rFonts w:ascii="Arial" w:hAnsi="Arial" w:cs="Arial"/>
          <w:i/>
          <w:sz w:val="22"/>
          <w:szCs w:val="22"/>
        </w:rPr>
        <w:t>are able to</w:t>
      </w:r>
      <w:proofErr w:type="gramEnd"/>
      <w:r w:rsidRPr="00AB53EB">
        <w:rPr>
          <w:rFonts w:ascii="Arial" w:hAnsi="Arial" w:cs="Arial"/>
          <w:i/>
          <w:sz w:val="22"/>
          <w:szCs w:val="22"/>
        </w:rPr>
        <w:t xml:space="preserve"> find, access and sustain housing that meets their needs;</w:t>
      </w:r>
    </w:p>
    <w:p w:rsidR="00AB53EB" w:rsidRPr="00AB53EB" w:rsidRDefault="00AB53EB" w:rsidP="007A590A">
      <w:pPr>
        <w:pStyle w:val="ListParagraph"/>
        <w:numPr>
          <w:ilvl w:val="0"/>
          <w:numId w:val="2"/>
        </w:numPr>
        <w:spacing w:line="300" w:lineRule="atLeast"/>
        <w:rPr>
          <w:rFonts w:ascii="Arial" w:hAnsi="Arial" w:cs="Arial"/>
          <w:i/>
          <w:sz w:val="22"/>
          <w:szCs w:val="22"/>
        </w:rPr>
      </w:pPr>
      <w:proofErr w:type="spellStart"/>
      <w:r w:rsidRPr="00AB53EB">
        <w:rPr>
          <w:rFonts w:ascii="Arial" w:hAnsi="Arial" w:cs="Arial"/>
          <w:i/>
          <w:sz w:val="22"/>
          <w:szCs w:val="22"/>
        </w:rPr>
        <w:t>Neighbourhoods</w:t>
      </w:r>
      <w:proofErr w:type="spellEnd"/>
      <w:r w:rsidRPr="00AB53EB">
        <w:rPr>
          <w:rFonts w:ascii="Arial" w:hAnsi="Arial" w:cs="Arial"/>
          <w:i/>
          <w:sz w:val="22"/>
          <w:szCs w:val="22"/>
        </w:rPr>
        <w:t xml:space="preserve"> are enhanced and the quality of existing housing is improved.</w:t>
      </w:r>
    </w:p>
    <w:p w:rsidR="00AB53EB" w:rsidRDefault="00AB53EB" w:rsidP="00AB53EB">
      <w:pPr>
        <w:spacing w:line="300" w:lineRule="atLeast"/>
        <w:ind w:left="709" w:hanging="709"/>
        <w:rPr>
          <w:rFonts w:ascii="Arial" w:hAnsi="Arial" w:cs="Arial"/>
          <w:sz w:val="22"/>
          <w:szCs w:val="22"/>
        </w:rPr>
      </w:pPr>
    </w:p>
    <w:p w:rsidR="003619A1" w:rsidRDefault="005C5D5B" w:rsidP="00AB53EB">
      <w:pPr>
        <w:spacing w:line="300" w:lineRule="atLeast"/>
        <w:ind w:left="709" w:hanging="709"/>
        <w:rPr>
          <w:rFonts w:ascii="Arial" w:hAnsi="Arial" w:cs="Arial"/>
          <w:sz w:val="22"/>
          <w:szCs w:val="22"/>
        </w:rPr>
      </w:pPr>
      <w:r>
        <w:rPr>
          <w:rFonts w:ascii="Arial" w:hAnsi="Arial" w:cs="Arial"/>
          <w:sz w:val="22"/>
          <w:szCs w:val="22"/>
        </w:rPr>
        <w:t>2.1</w:t>
      </w:r>
      <w:r w:rsidR="008C4A82">
        <w:rPr>
          <w:rFonts w:ascii="Arial" w:hAnsi="Arial" w:cs="Arial"/>
          <w:sz w:val="22"/>
          <w:szCs w:val="22"/>
        </w:rPr>
        <w:t>5</w:t>
      </w:r>
      <w:r w:rsidR="00AB53EB">
        <w:rPr>
          <w:rFonts w:ascii="Arial" w:hAnsi="Arial" w:cs="Arial"/>
          <w:sz w:val="22"/>
          <w:szCs w:val="22"/>
        </w:rPr>
        <w:tab/>
        <w:t>The strategy notes that h</w:t>
      </w:r>
      <w:r w:rsidR="00AB53EB" w:rsidRPr="00AB53EB">
        <w:rPr>
          <w:rFonts w:ascii="Arial" w:hAnsi="Arial" w:cs="Arial"/>
          <w:sz w:val="22"/>
          <w:szCs w:val="22"/>
        </w:rPr>
        <w:t>ousehold sizes in Birmingham are larger than the national average</w:t>
      </w:r>
      <w:r>
        <w:rPr>
          <w:rFonts w:ascii="Arial" w:hAnsi="Arial" w:cs="Arial"/>
          <w:sz w:val="22"/>
          <w:szCs w:val="22"/>
        </w:rPr>
        <w:t xml:space="preserve"> and t</w:t>
      </w:r>
      <w:r w:rsidR="003619A1" w:rsidRPr="003619A1">
        <w:rPr>
          <w:rFonts w:ascii="Arial" w:hAnsi="Arial" w:cs="Arial"/>
          <w:sz w:val="22"/>
          <w:szCs w:val="22"/>
        </w:rPr>
        <w:t xml:space="preserve">here are pockets of high overcrowding in the city. </w:t>
      </w:r>
      <w:r w:rsidR="003619A1">
        <w:rPr>
          <w:rFonts w:ascii="Arial" w:hAnsi="Arial" w:cs="Arial"/>
          <w:sz w:val="22"/>
          <w:szCs w:val="22"/>
        </w:rPr>
        <w:t>There are five</w:t>
      </w:r>
      <w:r w:rsidR="003619A1" w:rsidRPr="003619A1">
        <w:rPr>
          <w:rFonts w:ascii="Arial" w:hAnsi="Arial" w:cs="Arial"/>
          <w:sz w:val="22"/>
          <w:szCs w:val="22"/>
        </w:rPr>
        <w:t xml:space="preserve"> wards in the city where more than one in five households are </w:t>
      </w:r>
      <w:r w:rsidR="003619A1">
        <w:rPr>
          <w:rFonts w:ascii="Arial" w:hAnsi="Arial" w:cs="Arial"/>
          <w:sz w:val="22"/>
          <w:szCs w:val="22"/>
        </w:rPr>
        <w:t>short of at least one bedroom and i</w:t>
      </w:r>
      <w:r w:rsidR="003619A1" w:rsidRPr="003619A1">
        <w:rPr>
          <w:rFonts w:ascii="Arial" w:hAnsi="Arial" w:cs="Arial"/>
          <w:sz w:val="22"/>
          <w:szCs w:val="22"/>
        </w:rPr>
        <w:t>n a further 6 wards, one in ten households suffer the same problem.</w:t>
      </w:r>
      <w:r w:rsidR="003619A1">
        <w:rPr>
          <w:rFonts w:ascii="Arial" w:hAnsi="Arial" w:cs="Arial"/>
          <w:sz w:val="22"/>
          <w:szCs w:val="22"/>
        </w:rPr>
        <w:t xml:space="preserve"> </w:t>
      </w:r>
      <w:r w:rsidR="00AB53EB" w:rsidRPr="00AB53EB">
        <w:rPr>
          <w:rFonts w:ascii="Arial" w:hAnsi="Arial" w:cs="Arial"/>
          <w:sz w:val="22"/>
          <w:szCs w:val="22"/>
        </w:rPr>
        <w:t xml:space="preserve">This is reflected in the </w:t>
      </w:r>
      <w:r w:rsidR="00AB53EB">
        <w:rPr>
          <w:rFonts w:ascii="Arial" w:hAnsi="Arial" w:cs="Arial"/>
          <w:sz w:val="22"/>
          <w:szCs w:val="22"/>
        </w:rPr>
        <w:t>SHMA</w:t>
      </w:r>
      <w:r w:rsidR="00EB5E16">
        <w:rPr>
          <w:rFonts w:ascii="Arial" w:hAnsi="Arial" w:cs="Arial"/>
          <w:sz w:val="22"/>
          <w:szCs w:val="22"/>
        </w:rPr>
        <w:t xml:space="preserve"> (2013)</w:t>
      </w:r>
      <w:r w:rsidR="00AB53EB">
        <w:rPr>
          <w:rFonts w:ascii="Arial" w:hAnsi="Arial" w:cs="Arial"/>
          <w:sz w:val="22"/>
          <w:szCs w:val="22"/>
        </w:rPr>
        <w:t xml:space="preserve"> and the </w:t>
      </w:r>
      <w:r w:rsidR="00AB53EB" w:rsidRPr="00AB53EB">
        <w:rPr>
          <w:rFonts w:ascii="Arial" w:hAnsi="Arial" w:cs="Arial"/>
          <w:sz w:val="22"/>
          <w:szCs w:val="22"/>
        </w:rPr>
        <w:t>Birmingham Development Plan’s housi</w:t>
      </w:r>
      <w:r w:rsidR="00AB53EB">
        <w:rPr>
          <w:rFonts w:ascii="Arial" w:hAnsi="Arial" w:cs="Arial"/>
          <w:sz w:val="22"/>
          <w:szCs w:val="22"/>
        </w:rPr>
        <w:t>ng mix requi</w:t>
      </w:r>
      <w:r w:rsidR="00704284">
        <w:rPr>
          <w:rFonts w:ascii="Arial" w:hAnsi="Arial" w:cs="Arial"/>
          <w:sz w:val="22"/>
          <w:szCs w:val="22"/>
        </w:rPr>
        <w:t>rement</w:t>
      </w:r>
      <w:r w:rsidR="00EB5E16">
        <w:rPr>
          <w:rFonts w:ascii="Arial" w:hAnsi="Arial" w:cs="Arial"/>
          <w:sz w:val="22"/>
          <w:szCs w:val="22"/>
        </w:rPr>
        <w:t xml:space="preserve"> (Policy TP30)</w:t>
      </w:r>
      <w:r w:rsidR="00704284">
        <w:rPr>
          <w:rFonts w:ascii="Arial" w:hAnsi="Arial" w:cs="Arial"/>
          <w:sz w:val="22"/>
          <w:szCs w:val="22"/>
        </w:rPr>
        <w:t>.</w:t>
      </w:r>
      <w:r w:rsidR="00D418FD">
        <w:rPr>
          <w:rFonts w:ascii="Arial" w:hAnsi="Arial" w:cs="Arial"/>
          <w:sz w:val="22"/>
          <w:szCs w:val="22"/>
        </w:rPr>
        <w:t xml:space="preserve"> The strategy highlights that many homes, across all tenures, are under-occupied. In 32 of the 40 wards, half of all households have at least one spare bedroom. </w:t>
      </w:r>
      <w:r w:rsidR="005374A9">
        <w:rPr>
          <w:rFonts w:ascii="Arial" w:hAnsi="Arial" w:cs="Arial"/>
          <w:sz w:val="22"/>
          <w:szCs w:val="22"/>
        </w:rPr>
        <w:t xml:space="preserve">This implies that </w:t>
      </w:r>
      <w:r>
        <w:rPr>
          <w:rFonts w:ascii="Arial" w:hAnsi="Arial" w:cs="Arial"/>
          <w:sz w:val="22"/>
          <w:szCs w:val="22"/>
        </w:rPr>
        <w:t xml:space="preserve">a </w:t>
      </w:r>
      <w:r w:rsidR="005374A9">
        <w:rPr>
          <w:rFonts w:ascii="Arial" w:hAnsi="Arial" w:cs="Arial"/>
          <w:sz w:val="22"/>
          <w:szCs w:val="22"/>
        </w:rPr>
        <w:t>significant number of people would prefer to remain in their own homes for as long as possible and</w:t>
      </w:r>
      <w:r>
        <w:rPr>
          <w:rFonts w:ascii="Arial" w:hAnsi="Arial" w:cs="Arial"/>
          <w:sz w:val="22"/>
          <w:szCs w:val="22"/>
        </w:rPr>
        <w:t xml:space="preserve">/ or there is </w:t>
      </w:r>
      <w:r w:rsidR="005374A9">
        <w:rPr>
          <w:rFonts w:ascii="Arial" w:hAnsi="Arial" w:cs="Arial"/>
          <w:sz w:val="22"/>
          <w:szCs w:val="22"/>
        </w:rPr>
        <w:t>lack of suitable accommodation for older people to downsize to within the city.</w:t>
      </w:r>
    </w:p>
    <w:p w:rsidR="003619A1" w:rsidRDefault="003619A1" w:rsidP="00AB53EB">
      <w:pPr>
        <w:spacing w:line="300" w:lineRule="atLeast"/>
        <w:ind w:left="709" w:hanging="709"/>
        <w:rPr>
          <w:rFonts w:ascii="Arial" w:hAnsi="Arial" w:cs="Arial"/>
          <w:sz w:val="22"/>
          <w:szCs w:val="22"/>
        </w:rPr>
      </w:pPr>
    </w:p>
    <w:p w:rsidR="0016732D" w:rsidRPr="00C25F24" w:rsidRDefault="005C5D5B" w:rsidP="00C25F24">
      <w:pPr>
        <w:spacing w:line="300" w:lineRule="atLeast"/>
        <w:ind w:left="709" w:hanging="709"/>
        <w:rPr>
          <w:rFonts w:ascii="Arial" w:hAnsi="Arial" w:cs="Arial"/>
          <w:i/>
          <w:sz w:val="22"/>
          <w:szCs w:val="22"/>
        </w:rPr>
      </w:pPr>
      <w:r>
        <w:rPr>
          <w:rFonts w:ascii="Arial" w:hAnsi="Arial" w:cs="Arial"/>
          <w:sz w:val="22"/>
          <w:szCs w:val="22"/>
        </w:rPr>
        <w:t>2.1</w:t>
      </w:r>
      <w:r w:rsidR="008C4A82">
        <w:rPr>
          <w:rFonts w:ascii="Arial" w:hAnsi="Arial" w:cs="Arial"/>
          <w:sz w:val="22"/>
          <w:szCs w:val="22"/>
        </w:rPr>
        <w:t>6</w:t>
      </w:r>
      <w:r w:rsidR="003619A1">
        <w:rPr>
          <w:rFonts w:ascii="Arial" w:hAnsi="Arial" w:cs="Arial"/>
          <w:sz w:val="22"/>
          <w:szCs w:val="22"/>
        </w:rPr>
        <w:tab/>
      </w:r>
      <w:r w:rsidR="00AB53EB" w:rsidRPr="00AB53EB">
        <w:rPr>
          <w:rFonts w:ascii="Arial" w:hAnsi="Arial" w:cs="Arial"/>
          <w:sz w:val="22"/>
          <w:szCs w:val="22"/>
        </w:rPr>
        <w:t xml:space="preserve">Development </w:t>
      </w:r>
      <w:r w:rsidR="00AB53EB">
        <w:rPr>
          <w:rFonts w:ascii="Arial" w:hAnsi="Arial" w:cs="Arial"/>
          <w:sz w:val="22"/>
          <w:szCs w:val="22"/>
        </w:rPr>
        <w:t>is recognized as providing</w:t>
      </w:r>
      <w:r w:rsidR="00AB53EB" w:rsidRPr="00AB53EB">
        <w:rPr>
          <w:rFonts w:ascii="Arial" w:hAnsi="Arial" w:cs="Arial"/>
          <w:sz w:val="22"/>
          <w:szCs w:val="22"/>
        </w:rPr>
        <w:t xml:space="preserve"> an opportunity to increase the choice of housing types and options.</w:t>
      </w:r>
      <w:r w:rsidR="00AB53EB">
        <w:rPr>
          <w:rFonts w:ascii="Arial" w:hAnsi="Arial" w:cs="Arial"/>
          <w:sz w:val="22"/>
          <w:szCs w:val="22"/>
        </w:rPr>
        <w:t xml:space="preserve"> In relation to </w:t>
      </w:r>
      <w:r w:rsidR="00663FB4">
        <w:rPr>
          <w:rFonts w:ascii="Arial" w:hAnsi="Arial" w:cs="Arial"/>
          <w:sz w:val="22"/>
          <w:szCs w:val="22"/>
        </w:rPr>
        <w:t xml:space="preserve">the </w:t>
      </w:r>
      <w:r w:rsidR="00AB53EB">
        <w:rPr>
          <w:rFonts w:ascii="Arial" w:hAnsi="Arial" w:cs="Arial"/>
          <w:sz w:val="22"/>
          <w:szCs w:val="22"/>
        </w:rPr>
        <w:t xml:space="preserve">population profile of the city it states that: </w:t>
      </w:r>
      <w:r w:rsidR="00AB53EB" w:rsidRPr="00AB53EB">
        <w:rPr>
          <w:rFonts w:ascii="Arial" w:hAnsi="Arial" w:cs="Arial"/>
          <w:i/>
          <w:sz w:val="22"/>
          <w:szCs w:val="22"/>
        </w:rPr>
        <w:t>“Whilst Birmingham is a young city, we also have an ag</w:t>
      </w:r>
      <w:r w:rsidR="00AB53EB">
        <w:rPr>
          <w:rFonts w:ascii="Arial" w:hAnsi="Arial" w:cs="Arial"/>
          <w:i/>
          <w:sz w:val="22"/>
          <w:szCs w:val="22"/>
        </w:rPr>
        <w:t>e</w:t>
      </w:r>
      <w:r w:rsidR="00AB53EB" w:rsidRPr="00AB53EB">
        <w:rPr>
          <w:rFonts w:ascii="Arial" w:hAnsi="Arial" w:cs="Arial"/>
          <w:i/>
          <w:sz w:val="22"/>
          <w:szCs w:val="22"/>
        </w:rPr>
        <w:t>ing population. The links between suitable housing and health and wellbeing are well established. We have identified that there is an opportunity to develop housing options for older people who wish to move to a more suitable property within the city. Older owner-occupiers have considerable resources in terms of the equity they hold in their homes. Increased housing options for older people would have considerable benefits both in terms of releasing family housing and for the wellbeing and independence of older residents.</w:t>
      </w:r>
      <w:r w:rsidR="00AB53EB">
        <w:rPr>
          <w:rFonts w:ascii="Arial" w:hAnsi="Arial" w:cs="Arial"/>
          <w:i/>
          <w:sz w:val="22"/>
          <w:szCs w:val="22"/>
        </w:rPr>
        <w:t>”</w:t>
      </w:r>
    </w:p>
    <w:p w:rsidR="00890ED8" w:rsidRDefault="00890ED8" w:rsidP="00AB7FA3">
      <w:pPr>
        <w:spacing w:line="300" w:lineRule="atLeast"/>
        <w:ind w:left="709" w:hanging="709"/>
        <w:rPr>
          <w:rFonts w:ascii="Arial" w:hAnsi="Arial" w:cs="Arial"/>
          <w:b/>
          <w:i/>
          <w:sz w:val="22"/>
          <w:szCs w:val="22"/>
        </w:rPr>
      </w:pPr>
    </w:p>
    <w:p w:rsidR="003E4126" w:rsidRPr="00AA7200" w:rsidRDefault="003E4126" w:rsidP="003E4126">
      <w:pPr>
        <w:spacing w:line="300" w:lineRule="atLeast"/>
        <w:ind w:left="709"/>
        <w:rPr>
          <w:rFonts w:ascii="Arial" w:hAnsi="Arial" w:cs="Arial"/>
          <w:bCs/>
          <w:iCs/>
          <w:sz w:val="22"/>
          <w:szCs w:val="22"/>
          <w:u w:val="single"/>
        </w:rPr>
      </w:pPr>
      <w:r w:rsidRPr="00AA7200">
        <w:rPr>
          <w:rFonts w:ascii="Arial" w:hAnsi="Arial" w:cs="Arial"/>
          <w:bCs/>
          <w:iCs/>
          <w:sz w:val="22"/>
          <w:szCs w:val="22"/>
          <w:u w:val="single"/>
        </w:rPr>
        <w:t>Housing in Later Life Market Position Statement</w:t>
      </w:r>
      <w:r>
        <w:rPr>
          <w:rFonts w:ascii="Arial" w:hAnsi="Arial" w:cs="Arial"/>
          <w:bCs/>
          <w:iCs/>
          <w:sz w:val="22"/>
          <w:szCs w:val="22"/>
          <w:u w:val="single"/>
        </w:rPr>
        <w:t xml:space="preserve"> </w:t>
      </w:r>
      <w:r w:rsidRPr="00AA7200">
        <w:rPr>
          <w:rFonts w:ascii="Arial" w:hAnsi="Arial" w:cs="Arial"/>
          <w:bCs/>
          <w:iCs/>
          <w:sz w:val="22"/>
          <w:szCs w:val="22"/>
          <w:u w:val="single"/>
        </w:rPr>
        <w:t>(2015)</w:t>
      </w:r>
    </w:p>
    <w:p w:rsidR="003E4126" w:rsidRDefault="003E4126" w:rsidP="003E4126">
      <w:pPr>
        <w:spacing w:line="300" w:lineRule="atLeast"/>
        <w:ind w:left="709" w:hanging="709"/>
        <w:rPr>
          <w:rFonts w:ascii="Arial" w:hAnsi="Arial" w:cs="Arial"/>
          <w:i/>
          <w:sz w:val="22"/>
          <w:szCs w:val="22"/>
        </w:rPr>
      </w:pPr>
    </w:p>
    <w:p w:rsidR="003E4126" w:rsidRDefault="003E4126" w:rsidP="003E4126">
      <w:pPr>
        <w:spacing w:line="300" w:lineRule="atLeast"/>
        <w:ind w:left="709" w:hanging="709"/>
        <w:rPr>
          <w:rFonts w:ascii="Arial" w:hAnsi="Arial" w:cs="Arial"/>
          <w:sz w:val="22"/>
          <w:szCs w:val="22"/>
        </w:rPr>
      </w:pPr>
      <w:r>
        <w:rPr>
          <w:rFonts w:ascii="Arial" w:hAnsi="Arial" w:cs="Arial"/>
          <w:sz w:val="22"/>
          <w:szCs w:val="22"/>
        </w:rPr>
        <w:t>2.1</w:t>
      </w:r>
      <w:r w:rsidR="008C4A82">
        <w:rPr>
          <w:rFonts w:ascii="Arial" w:hAnsi="Arial" w:cs="Arial"/>
          <w:sz w:val="22"/>
          <w:szCs w:val="22"/>
        </w:rPr>
        <w:t>7</w:t>
      </w:r>
      <w:r>
        <w:rPr>
          <w:rFonts w:ascii="Arial" w:hAnsi="Arial" w:cs="Arial"/>
          <w:sz w:val="22"/>
          <w:szCs w:val="22"/>
        </w:rPr>
        <w:tab/>
      </w:r>
      <w:r w:rsidRPr="00AA7200">
        <w:rPr>
          <w:rFonts w:ascii="Arial" w:hAnsi="Arial" w:cs="Arial"/>
          <w:sz w:val="22"/>
          <w:szCs w:val="22"/>
        </w:rPr>
        <w:t>Housing in Later Life Market Position Statement (MPS) (2015)</w:t>
      </w:r>
      <w:r>
        <w:rPr>
          <w:rFonts w:ascii="Arial" w:hAnsi="Arial" w:cs="Arial"/>
          <w:sz w:val="22"/>
          <w:szCs w:val="22"/>
        </w:rPr>
        <w:t xml:space="preserve"> document outlines the demand and opportunities to expand housing choices for older people. It highlights that h</w:t>
      </w:r>
      <w:r w:rsidRPr="00AB7FA3">
        <w:rPr>
          <w:rFonts w:ascii="Arial" w:hAnsi="Arial" w:cs="Arial"/>
          <w:sz w:val="22"/>
          <w:szCs w:val="22"/>
        </w:rPr>
        <w:t xml:space="preserve">ousing and health often become intrinsically linked with ageing, and as </w:t>
      </w:r>
      <w:proofErr w:type="gramStart"/>
      <w:r w:rsidRPr="00AB7FA3">
        <w:rPr>
          <w:rFonts w:ascii="Arial" w:hAnsi="Arial" w:cs="Arial"/>
          <w:sz w:val="22"/>
          <w:szCs w:val="22"/>
        </w:rPr>
        <w:t>the majority of</w:t>
      </w:r>
      <w:proofErr w:type="gramEnd"/>
      <w:r w:rsidRPr="00AB7FA3">
        <w:rPr>
          <w:rFonts w:ascii="Arial" w:hAnsi="Arial" w:cs="Arial"/>
          <w:sz w:val="22"/>
          <w:szCs w:val="22"/>
        </w:rPr>
        <w:t xml:space="preserve"> t</w:t>
      </w:r>
      <w:r>
        <w:rPr>
          <w:rFonts w:ascii="Arial" w:hAnsi="Arial" w:cs="Arial"/>
          <w:sz w:val="22"/>
          <w:szCs w:val="22"/>
        </w:rPr>
        <w:t xml:space="preserve">he population continues to live </w:t>
      </w:r>
      <w:r w:rsidRPr="00AB7FA3">
        <w:rPr>
          <w:rFonts w:ascii="Arial" w:hAnsi="Arial" w:cs="Arial"/>
          <w:sz w:val="22"/>
          <w:szCs w:val="22"/>
        </w:rPr>
        <w:t>longer lives this will also present a continuing increase in demand for quality housing and</w:t>
      </w:r>
      <w:r>
        <w:rPr>
          <w:rFonts w:ascii="Arial" w:hAnsi="Arial" w:cs="Arial"/>
          <w:sz w:val="22"/>
          <w:szCs w:val="22"/>
        </w:rPr>
        <w:t xml:space="preserve"> care solutions city wide. </w:t>
      </w:r>
    </w:p>
    <w:p w:rsidR="003E4126" w:rsidRDefault="003E4126" w:rsidP="003E4126">
      <w:pPr>
        <w:spacing w:line="300" w:lineRule="atLeast"/>
        <w:ind w:left="709" w:hanging="709"/>
        <w:rPr>
          <w:rFonts w:ascii="Arial" w:hAnsi="Arial" w:cs="Arial"/>
          <w:sz w:val="22"/>
          <w:szCs w:val="22"/>
        </w:rPr>
      </w:pPr>
    </w:p>
    <w:p w:rsidR="003E4126" w:rsidRDefault="003E4126" w:rsidP="003E4126">
      <w:pPr>
        <w:spacing w:line="300" w:lineRule="atLeast"/>
        <w:ind w:left="709" w:hanging="709"/>
        <w:rPr>
          <w:rFonts w:ascii="Arial" w:hAnsi="Arial" w:cs="Arial"/>
          <w:sz w:val="22"/>
          <w:szCs w:val="22"/>
        </w:rPr>
      </w:pPr>
      <w:r>
        <w:rPr>
          <w:rFonts w:ascii="Arial" w:hAnsi="Arial" w:cs="Arial"/>
          <w:sz w:val="22"/>
          <w:szCs w:val="22"/>
        </w:rPr>
        <w:t>2.1</w:t>
      </w:r>
      <w:r w:rsidR="008C4A82">
        <w:rPr>
          <w:rFonts w:ascii="Arial" w:hAnsi="Arial" w:cs="Arial"/>
          <w:sz w:val="22"/>
          <w:szCs w:val="22"/>
        </w:rPr>
        <w:t>8</w:t>
      </w:r>
      <w:r>
        <w:rPr>
          <w:rFonts w:ascii="Arial" w:hAnsi="Arial" w:cs="Arial"/>
          <w:sz w:val="22"/>
          <w:szCs w:val="22"/>
        </w:rPr>
        <w:tab/>
      </w:r>
      <w:r w:rsidRPr="000E1A5B">
        <w:rPr>
          <w:rFonts w:ascii="Arial" w:hAnsi="Arial" w:cs="Arial"/>
          <w:sz w:val="22"/>
          <w:szCs w:val="22"/>
        </w:rPr>
        <w:t>Birmingham, like other citie</w:t>
      </w:r>
      <w:r>
        <w:rPr>
          <w:rFonts w:ascii="Arial" w:hAnsi="Arial" w:cs="Arial"/>
          <w:sz w:val="22"/>
          <w:szCs w:val="22"/>
        </w:rPr>
        <w:t xml:space="preserve">s, has a priority to reduce the </w:t>
      </w:r>
      <w:r w:rsidRPr="000E1A5B">
        <w:rPr>
          <w:rFonts w:ascii="Arial" w:hAnsi="Arial" w:cs="Arial"/>
          <w:sz w:val="22"/>
          <w:szCs w:val="22"/>
        </w:rPr>
        <w:t>proportion of its reside</w:t>
      </w:r>
      <w:r>
        <w:rPr>
          <w:rFonts w:ascii="Arial" w:hAnsi="Arial" w:cs="Arial"/>
          <w:sz w:val="22"/>
          <w:szCs w:val="22"/>
        </w:rPr>
        <w:t xml:space="preserve">nts admitted to and living long </w:t>
      </w:r>
      <w:r w:rsidRPr="000E1A5B">
        <w:rPr>
          <w:rFonts w:ascii="Arial" w:hAnsi="Arial" w:cs="Arial"/>
          <w:sz w:val="22"/>
          <w:szCs w:val="22"/>
        </w:rPr>
        <w:t>term in residential care se</w:t>
      </w:r>
      <w:r>
        <w:rPr>
          <w:rFonts w:ascii="Arial" w:hAnsi="Arial" w:cs="Arial"/>
          <w:sz w:val="22"/>
          <w:szCs w:val="22"/>
        </w:rPr>
        <w:t xml:space="preserve">ttings. As the older population </w:t>
      </w:r>
      <w:r w:rsidRPr="000E1A5B">
        <w:rPr>
          <w:rFonts w:ascii="Arial" w:hAnsi="Arial" w:cs="Arial"/>
          <w:sz w:val="22"/>
          <w:szCs w:val="22"/>
        </w:rPr>
        <w:t>grows it will not be sustainab</w:t>
      </w:r>
      <w:r>
        <w:rPr>
          <w:rFonts w:ascii="Arial" w:hAnsi="Arial" w:cs="Arial"/>
          <w:sz w:val="22"/>
          <w:szCs w:val="22"/>
        </w:rPr>
        <w:t xml:space="preserve">le for the current levels to be </w:t>
      </w:r>
      <w:r w:rsidRPr="000E1A5B">
        <w:rPr>
          <w:rFonts w:ascii="Arial" w:hAnsi="Arial" w:cs="Arial"/>
          <w:sz w:val="22"/>
          <w:szCs w:val="22"/>
        </w:rPr>
        <w:t>maintained. Service</w:t>
      </w:r>
      <w:r>
        <w:rPr>
          <w:rFonts w:ascii="Arial" w:hAnsi="Arial" w:cs="Arial"/>
          <w:sz w:val="22"/>
          <w:szCs w:val="22"/>
        </w:rPr>
        <w:t xml:space="preserve"> providers agree that, wherever </w:t>
      </w:r>
      <w:r w:rsidRPr="000E1A5B">
        <w:rPr>
          <w:rFonts w:ascii="Arial" w:hAnsi="Arial" w:cs="Arial"/>
          <w:sz w:val="22"/>
          <w:szCs w:val="22"/>
        </w:rPr>
        <w:t>possible, to enhance the</w:t>
      </w:r>
      <w:r>
        <w:rPr>
          <w:rFonts w:ascii="Arial" w:hAnsi="Arial" w:cs="Arial"/>
          <w:sz w:val="22"/>
          <w:szCs w:val="22"/>
        </w:rPr>
        <w:t xml:space="preserve"> quality of life for those both </w:t>
      </w:r>
      <w:r w:rsidRPr="000E1A5B">
        <w:rPr>
          <w:rFonts w:ascii="Arial" w:hAnsi="Arial" w:cs="Arial"/>
          <w:sz w:val="22"/>
          <w:szCs w:val="22"/>
        </w:rPr>
        <w:t>living with dementia</w:t>
      </w:r>
      <w:r>
        <w:rPr>
          <w:rFonts w:ascii="Arial" w:hAnsi="Arial" w:cs="Arial"/>
          <w:sz w:val="22"/>
          <w:szCs w:val="22"/>
        </w:rPr>
        <w:t xml:space="preserve"> and their families, that it is </w:t>
      </w:r>
      <w:r w:rsidRPr="000E1A5B">
        <w:rPr>
          <w:rFonts w:ascii="Arial" w:hAnsi="Arial" w:cs="Arial"/>
          <w:sz w:val="22"/>
          <w:szCs w:val="22"/>
        </w:rPr>
        <w:t xml:space="preserve">important for older people </w:t>
      </w:r>
      <w:r>
        <w:rPr>
          <w:rFonts w:ascii="Arial" w:hAnsi="Arial" w:cs="Arial"/>
          <w:sz w:val="22"/>
          <w:szCs w:val="22"/>
        </w:rPr>
        <w:t xml:space="preserve">with mild to moderate </w:t>
      </w:r>
      <w:r w:rsidRPr="000E1A5B">
        <w:rPr>
          <w:rFonts w:ascii="Arial" w:hAnsi="Arial" w:cs="Arial"/>
          <w:sz w:val="22"/>
          <w:szCs w:val="22"/>
        </w:rPr>
        <w:t>symptoms of dementia</w:t>
      </w:r>
      <w:r>
        <w:rPr>
          <w:rFonts w:ascii="Arial" w:hAnsi="Arial" w:cs="Arial"/>
          <w:sz w:val="22"/>
          <w:szCs w:val="22"/>
        </w:rPr>
        <w:t xml:space="preserve"> to remain living independently </w:t>
      </w:r>
      <w:r w:rsidRPr="000E1A5B">
        <w:rPr>
          <w:rFonts w:ascii="Arial" w:hAnsi="Arial" w:cs="Arial"/>
          <w:sz w:val="22"/>
          <w:szCs w:val="22"/>
        </w:rPr>
        <w:t>at home / in the community.</w:t>
      </w:r>
      <w:r>
        <w:rPr>
          <w:rFonts w:ascii="Arial" w:hAnsi="Arial" w:cs="Arial"/>
          <w:sz w:val="22"/>
          <w:szCs w:val="22"/>
        </w:rPr>
        <w:t xml:space="preserve"> The position statement identifies three topics fundamental for the market to consider: Ageing well; Successfully enabling good </w:t>
      </w:r>
      <w:r>
        <w:rPr>
          <w:rFonts w:ascii="Arial" w:hAnsi="Arial" w:cs="Arial"/>
          <w:sz w:val="22"/>
          <w:szCs w:val="22"/>
        </w:rPr>
        <w:lastRenderedPageBreak/>
        <w:t xml:space="preserve">health and wellbeing; and delivering real choice, quality and affordability across housing and care services. </w:t>
      </w:r>
    </w:p>
    <w:p w:rsidR="003E4126" w:rsidRDefault="003E4126" w:rsidP="003E4126">
      <w:pPr>
        <w:spacing w:line="300" w:lineRule="atLeast"/>
        <w:ind w:left="709" w:hanging="709"/>
        <w:rPr>
          <w:rFonts w:ascii="Arial" w:hAnsi="Arial" w:cs="Arial"/>
          <w:sz w:val="22"/>
          <w:szCs w:val="22"/>
        </w:rPr>
      </w:pPr>
    </w:p>
    <w:p w:rsidR="003E4126" w:rsidRDefault="003E4126" w:rsidP="003E4126">
      <w:pPr>
        <w:spacing w:line="300" w:lineRule="atLeast"/>
        <w:ind w:left="709" w:hanging="709"/>
        <w:rPr>
          <w:rFonts w:ascii="Arial" w:hAnsi="Arial" w:cs="Arial"/>
          <w:sz w:val="22"/>
          <w:szCs w:val="22"/>
        </w:rPr>
      </w:pPr>
      <w:r>
        <w:rPr>
          <w:rFonts w:ascii="Arial" w:hAnsi="Arial" w:cs="Arial"/>
          <w:sz w:val="22"/>
          <w:szCs w:val="22"/>
        </w:rPr>
        <w:t>2.1</w:t>
      </w:r>
      <w:r w:rsidR="008C4A82">
        <w:rPr>
          <w:rFonts w:ascii="Arial" w:hAnsi="Arial" w:cs="Arial"/>
          <w:sz w:val="22"/>
          <w:szCs w:val="22"/>
        </w:rPr>
        <w:t>9</w:t>
      </w:r>
      <w:r>
        <w:rPr>
          <w:rFonts w:ascii="Arial" w:hAnsi="Arial" w:cs="Arial"/>
          <w:sz w:val="22"/>
          <w:szCs w:val="22"/>
        </w:rPr>
        <w:tab/>
        <w:t xml:space="preserve">In particular the MPS seeks that the following is integral to planning </w:t>
      </w:r>
      <w:r w:rsidRPr="00424EB8">
        <w:rPr>
          <w:rFonts w:ascii="Arial" w:hAnsi="Arial" w:cs="Arial"/>
          <w:sz w:val="22"/>
          <w:szCs w:val="22"/>
        </w:rPr>
        <w:t>and developing housing choices for older people:</w:t>
      </w:r>
      <w:r w:rsidRPr="00AA7200">
        <w:rPr>
          <w:rFonts w:ascii="Arial" w:hAnsi="Arial" w:cs="Arial"/>
          <w:i/>
          <w:sz w:val="22"/>
          <w:szCs w:val="22"/>
        </w:rPr>
        <w:t xml:space="preserve"> “Health and wellbeing – the need to ensure that older people have the opportunity to live in homes and environments that make a positive contribution to their health and wellbeing by enabling an active, healthy lifestyle; combating social isolation and helping to mitigate the effects of dementia.”</w:t>
      </w:r>
      <w:r w:rsidRPr="00AA7200">
        <w:rPr>
          <w:rFonts w:ascii="Arial" w:hAnsi="Arial" w:cs="Arial"/>
          <w:sz w:val="22"/>
          <w:szCs w:val="22"/>
        </w:rPr>
        <w:t xml:space="preserve"> </w:t>
      </w:r>
    </w:p>
    <w:p w:rsidR="003E4126" w:rsidRDefault="003E4126" w:rsidP="00AB7FA3">
      <w:pPr>
        <w:spacing w:line="300" w:lineRule="atLeast"/>
        <w:ind w:left="709" w:hanging="709"/>
        <w:rPr>
          <w:rFonts w:ascii="Arial" w:hAnsi="Arial" w:cs="Arial"/>
          <w:b/>
          <w:i/>
          <w:sz w:val="22"/>
          <w:szCs w:val="22"/>
        </w:rPr>
      </w:pPr>
    </w:p>
    <w:p w:rsidR="000E1A5B" w:rsidRPr="00AA7200" w:rsidRDefault="00663FB4" w:rsidP="00AB7FA3">
      <w:pPr>
        <w:spacing w:line="300" w:lineRule="atLeast"/>
        <w:ind w:left="709" w:hanging="709"/>
        <w:rPr>
          <w:rFonts w:ascii="Arial" w:hAnsi="Arial" w:cs="Arial"/>
          <w:bCs/>
          <w:iCs/>
          <w:sz w:val="22"/>
          <w:szCs w:val="22"/>
          <w:u w:val="single"/>
        </w:rPr>
      </w:pPr>
      <w:r w:rsidRPr="00E77E10">
        <w:rPr>
          <w:rFonts w:ascii="Arial" w:hAnsi="Arial" w:cs="Arial"/>
          <w:b/>
          <w:i/>
          <w:sz w:val="22"/>
          <w:szCs w:val="22"/>
        </w:rPr>
        <w:tab/>
      </w:r>
      <w:r w:rsidR="00351E1F" w:rsidRPr="00AA7200">
        <w:rPr>
          <w:rFonts w:ascii="Arial" w:hAnsi="Arial" w:cs="Arial"/>
          <w:bCs/>
          <w:iCs/>
          <w:sz w:val="22"/>
          <w:szCs w:val="22"/>
          <w:u w:val="single"/>
        </w:rPr>
        <w:t>Market Position Statement</w:t>
      </w:r>
      <w:r w:rsidR="00AA7200">
        <w:rPr>
          <w:rFonts w:ascii="Arial" w:hAnsi="Arial" w:cs="Arial"/>
          <w:bCs/>
          <w:iCs/>
          <w:sz w:val="22"/>
          <w:szCs w:val="22"/>
          <w:u w:val="single"/>
        </w:rPr>
        <w:t xml:space="preserve"> </w:t>
      </w:r>
      <w:r w:rsidR="003E4126">
        <w:rPr>
          <w:rFonts w:ascii="Arial" w:hAnsi="Arial" w:cs="Arial"/>
          <w:bCs/>
          <w:iCs/>
          <w:sz w:val="22"/>
          <w:szCs w:val="22"/>
          <w:u w:val="single"/>
        </w:rPr>
        <w:t xml:space="preserve">for </w:t>
      </w:r>
      <w:r w:rsidR="00AA0FBC">
        <w:rPr>
          <w:rFonts w:ascii="Arial" w:hAnsi="Arial" w:cs="Arial"/>
          <w:bCs/>
          <w:iCs/>
          <w:sz w:val="22"/>
          <w:szCs w:val="22"/>
          <w:u w:val="single"/>
        </w:rPr>
        <w:t>Older Adult</w:t>
      </w:r>
      <w:r w:rsidR="003E4126">
        <w:rPr>
          <w:rFonts w:ascii="Arial" w:hAnsi="Arial" w:cs="Arial"/>
          <w:bCs/>
          <w:iCs/>
          <w:sz w:val="22"/>
          <w:szCs w:val="22"/>
          <w:u w:val="single"/>
        </w:rPr>
        <w:t>s</w:t>
      </w:r>
      <w:r w:rsidR="00AA0FBC">
        <w:rPr>
          <w:rFonts w:ascii="Arial" w:hAnsi="Arial" w:cs="Arial"/>
          <w:bCs/>
          <w:iCs/>
          <w:sz w:val="22"/>
          <w:szCs w:val="22"/>
          <w:u w:val="single"/>
        </w:rPr>
        <w:t xml:space="preserve"> Social Care </w:t>
      </w:r>
      <w:r w:rsidR="000E1A5B" w:rsidRPr="00AA7200">
        <w:rPr>
          <w:rFonts w:ascii="Arial" w:hAnsi="Arial" w:cs="Arial"/>
          <w:bCs/>
          <w:iCs/>
          <w:sz w:val="22"/>
          <w:szCs w:val="22"/>
          <w:u w:val="single"/>
        </w:rPr>
        <w:t>(201</w:t>
      </w:r>
      <w:r w:rsidR="00AA0FBC">
        <w:rPr>
          <w:rFonts w:ascii="Arial" w:hAnsi="Arial" w:cs="Arial"/>
          <w:bCs/>
          <w:iCs/>
          <w:sz w:val="22"/>
          <w:szCs w:val="22"/>
          <w:u w:val="single"/>
        </w:rPr>
        <w:t>8</w:t>
      </w:r>
      <w:r w:rsidR="000E1A5B" w:rsidRPr="00AA7200">
        <w:rPr>
          <w:rFonts w:ascii="Arial" w:hAnsi="Arial" w:cs="Arial"/>
          <w:bCs/>
          <w:iCs/>
          <w:sz w:val="22"/>
          <w:szCs w:val="22"/>
          <w:u w:val="single"/>
        </w:rPr>
        <w:t>)</w:t>
      </w:r>
    </w:p>
    <w:p w:rsidR="000E1A5B" w:rsidRDefault="000E1A5B" w:rsidP="00AB7FA3">
      <w:pPr>
        <w:spacing w:line="300" w:lineRule="atLeast"/>
        <w:ind w:left="709" w:hanging="709"/>
        <w:rPr>
          <w:rFonts w:ascii="Arial" w:hAnsi="Arial" w:cs="Arial"/>
          <w:i/>
          <w:sz w:val="22"/>
          <w:szCs w:val="22"/>
        </w:rPr>
      </w:pPr>
    </w:p>
    <w:p w:rsidR="00424EB8" w:rsidRDefault="00AA7200" w:rsidP="004D68AE">
      <w:pPr>
        <w:spacing w:line="300" w:lineRule="atLeast"/>
        <w:ind w:left="709" w:hanging="709"/>
        <w:rPr>
          <w:rFonts w:ascii="Arial" w:hAnsi="Arial" w:cs="Arial"/>
          <w:sz w:val="22"/>
          <w:szCs w:val="22"/>
        </w:rPr>
      </w:pPr>
      <w:r>
        <w:rPr>
          <w:rFonts w:ascii="Arial" w:hAnsi="Arial" w:cs="Arial"/>
          <w:sz w:val="22"/>
          <w:szCs w:val="22"/>
        </w:rPr>
        <w:t>2.</w:t>
      </w:r>
      <w:r w:rsidR="008C4A82">
        <w:rPr>
          <w:rFonts w:ascii="Arial" w:hAnsi="Arial" w:cs="Arial"/>
          <w:sz w:val="22"/>
          <w:szCs w:val="22"/>
        </w:rPr>
        <w:t>20</w:t>
      </w:r>
      <w:r w:rsidR="000E1A5B">
        <w:rPr>
          <w:rFonts w:ascii="Arial" w:hAnsi="Arial" w:cs="Arial"/>
          <w:sz w:val="22"/>
          <w:szCs w:val="22"/>
        </w:rPr>
        <w:tab/>
      </w:r>
      <w:r w:rsidR="003E4126">
        <w:rPr>
          <w:rFonts w:ascii="Arial" w:hAnsi="Arial" w:cs="Arial"/>
          <w:sz w:val="22"/>
          <w:szCs w:val="22"/>
        </w:rPr>
        <w:t>In addition to the above</w:t>
      </w:r>
      <w:r w:rsidR="009315D0">
        <w:rPr>
          <w:rFonts w:ascii="Arial" w:hAnsi="Arial" w:cs="Arial"/>
          <w:sz w:val="22"/>
          <w:szCs w:val="22"/>
        </w:rPr>
        <w:t xml:space="preserve"> document</w:t>
      </w:r>
      <w:r w:rsidR="003E4126">
        <w:rPr>
          <w:rFonts w:ascii="Arial" w:hAnsi="Arial" w:cs="Arial"/>
          <w:sz w:val="22"/>
          <w:szCs w:val="22"/>
        </w:rPr>
        <w:t xml:space="preserve">, the Council published a </w:t>
      </w:r>
      <w:r w:rsidRPr="00AA7200">
        <w:rPr>
          <w:rFonts w:ascii="Arial" w:hAnsi="Arial" w:cs="Arial"/>
          <w:sz w:val="22"/>
          <w:szCs w:val="22"/>
        </w:rPr>
        <w:t>Market Position Statement</w:t>
      </w:r>
      <w:r w:rsidR="003E4126">
        <w:rPr>
          <w:rFonts w:ascii="Arial" w:hAnsi="Arial" w:cs="Arial"/>
          <w:sz w:val="22"/>
          <w:szCs w:val="22"/>
        </w:rPr>
        <w:t xml:space="preserve"> for Older Adults Social Care</w:t>
      </w:r>
      <w:r w:rsidR="004D68AE">
        <w:rPr>
          <w:rFonts w:ascii="Arial" w:hAnsi="Arial" w:cs="Arial"/>
          <w:sz w:val="22"/>
          <w:szCs w:val="22"/>
        </w:rPr>
        <w:t xml:space="preserve"> in 2018</w:t>
      </w:r>
      <w:r w:rsidR="003E4126" w:rsidRPr="003E4126">
        <w:rPr>
          <w:rFonts w:ascii="Arial" w:hAnsi="Arial" w:cs="Arial"/>
          <w:sz w:val="22"/>
          <w:szCs w:val="22"/>
        </w:rPr>
        <w:t xml:space="preserve"> for provider </w:t>
      </w:r>
      <w:proofErr w:type="spellStart"/>
      <w:r w:rsidR="003E4126" w:rsidRPr="003E4126">
        <w:rPr>
          <w:rFonts w:ascii="Arial" w:hAnsi="Arial" w:cs="Arial"/>
          <w:sz w:val="22"/>
          <w:szCs w:val="22"/>
        </w:rPr>
        <w:t>organi</w:t>
      </w:r>
      <w:r w:rsidR="003E4126">
        <w:rPr>
          <w:rFonts w:ascii="Arial" w:hAnsi="Arial" w:cs="Arial"/>
          <w:sz w:val="22"/>
          <w:szCs w:val="22"/>
        </w:rPr>
        <w:t>s</w:t>
      </w:r>
      <w:r w:rsidR="003E4126" w:rsidRPr="003E4126">
        <w:rPr>
          <w:rFonts w:ascii="Arial" w:hAnsi="Arial" w:cs="Arial"/>
          <w:sz w:val="22"/>
          <w:szCs w:val="22"/>
        </w:rPr>
        <w:t>ations</w:t>
      </w:r>
      <w:proofErr w:type="spellEnd"/>
      <w:r w:rsidR="003E4126" w:rsidRPr="003E4126">
        <w:rPr>
          <w:rFonts w:ascii="Arial" w:hAnsi="Arial" w:cs="Arial"/>
          <w:sz w:val="22"/>
          <w:szCs w:val="22"/>
        </w:rPr>
        <w:t xml:space="preserve"> to understand the opportunities to address local need and demand.</w:t>
      </w:r>
      <w:r w:rsidR="003E4126">
        <w:rPr>
          <w:rFonts w:ascii="Arial" w:hAnsi="Arial" w:cs="Arial"/>
          <w:sz w:val="22"/>
          <w:szCs w:val="22"/>
        </w:rPr>
        <w:t xml:space="preserve"> </w:t>
      </w:r>
      <w:r w:rsidR="00AA0FBC">
        <w:rPr>
          <w:rFonts w:ascii="Arial" w:hAnsi="Arial" w:cs="Arial"/>
          <w:sz w:val="22"/>
          <w:szCs w:val="22"/>
        </w:rPr>
        <w:t xml:space="preserve">The Council’s approach is based on a Prevention Pyramid Model which seeks to prevent people from becoming dependent on care, helping people access services and opportunities in their community, and re-enabling </w:t>
      </w:r>
      <w:r w:rsidR="004D68AE">
        <w:rPr>
          <w:rFonts w:ascii="Arial" w:hAnsi="Arial" w:cs="Arial"/>
          <w:sz w:val="22"/>
          <w:szCs w:val="22"/>
        </w:rPr>
        <w:t xml:space="preserve">them to live independently </w:t>
      </w:r>
      <w:r w:rsidR="00AA0FBC">
        <w:rPr>
          <w:rFonts w:ascii="Arial" w:hAnsi="Arial" w:cs="Arial"/>
          <w:sz w:val="22"/>
          <w:szCs w:val="22"/>
        </w:rPr>
        <w:t xml:space="preserve">where possible. </w:t>
      </w:r>
    </w:p>
    <w:p w:rsidR="00AA0FBC" w:rsidRDefault="00AA0FBC" w:rsidP="00424EB8">
      <w:pPr>
        <w:spacing w:line="300" w:lineRule="atLeast"/>
        <w:ind w:left="709" w:hanging="709"/>
        <w:rPr>
          <w:rFonts w:ascii="Arial" w:hAnsi="Arial" w:cs="Arial"/>
          <w:sz w:val="22"/>
          <w:szCs w:val="22"/>
        </w:rPr>
      </w:pPr>
    </w:p>
    <w:p w:rsidR="008C3539" w:rsidRDefault="00AA7200" w:rsidP="000F779C">
      <w:pPr>
        <w:spacing w:line="300" w:lineRule="atLeast"/>
        <w:ind w:left="709" w:hanging="709"/>
        <w:rPr>
          <w:rFonts w:ascii="Arial" w:hAnsi="Arial" w:cs="Arial"/>
          <w:sz w:val="22"/>
          <w:szCs w:val="22"/>
        </w:rPr>
      </w:pPr>
      <w:r>
        <w:rPr>
          <w:rFonts w:ascii="Arial" w:hAnsi="Arial" w:cs="Arial"/>
          <w:sz w:val="22"/>
          <w:szCs w:val="22"/>
        </w:rPr>
        <w:t>2.</w:t>
      </w:r>
      <w:r w:rsidR="004D68AE">
        <w:rPr>
          <w:rFonts w:ascii="Arial" w:hAnsi="Arial" w:cs="Arial"/>
          <w:sz w:val="22"/>
          <w:szCs w:val="22"/>
        </w:rPr>
        <w:t>2</w:t>
      </w:r>
      <w:r w:rsidR="008C4A82">
        <w:rPr>
          <w:rFonts w:ascii="Arial" w:hAnsi="Arial" w:cs="Arial"/>
          <w:sz w:val="22"/>
          <w:szCs w:val="22"/>
        </w:rPr>
        <w:t>1</w:t>
      </w:r>
      <w:r w:rsidR="00424EB8">
        <w:rPr>
          <w:rFonts w:ascii="Arial" w:hAnsi="Arial" w:cs="Arial"/>
          <w:sz w:val="22"/>
          <w:szCs w:val="22"/>
        </w:rPr>
        <w:tab/>
      </w:r>
      <w:r w:rsidR="00AA0FBC" w:rsidRPr="00AA0FBC">
        <w:rPr>
          <w:rFonts w:ascii="Arial" w:hAnsi="Arial" w:cs="Arial"/>
          <w:sz w:val="22"/>
          <w:szCs w:val="22"/>
        </w:rPr>
        <w:t>Over half of the long-term packages of care commissioned by Birmingham City Council for people aged 65 and over are domiciliary care packages. The majority of these are in people’s own homes, but some are for people living in the City’s growing number of housing with care developments.</w:t>
      </w:r>
      <w:r w:rsidR="0045529C">
        <w:rPr>
          <w:rFonts w:ascii="Arial" w:hAnsi="Arial" w:cs="Arial"/>
          <w:sz w:val="22"/>
          <w:szCs w:val="22"/>
        </w:rPr>
        <w:t xml:space="preserve"> </w:t>
      </w:r>
      <w:r w:rsidR="0045529C" w:rsidRPr="0045529C">
        <w:rPr>
          <w:rFonts w:ascii="Arial" w:hAnsi="Arial" w:cs="Arial"/>
          <w:sz w:val="22"/>
          <w:szCs w:val="22"/>
        </w:rPr>
        <w:t xml:space="preserve">The </w:t>
      </w:r>
      <w:r w:rsidR="0045529C">
        <w:rPr>
          <w:rFonts w:ascii="Arial" w:hAnsi="Arial" w:cs="Arial"/>
          <w:sz w:val="22"/>
          <w:szCs w:val="22"/>
        </w:rPr>
        <w:t xml:space="preserve">Council’s aim </w:t>
      </w:r>
      <w:r w:rsidR="0045529C" w:rsidRPr="0045529C">
        <w:rPr>
          <w:rFonts w:ascii="Arial" w:hAnsi="Arial" w:cs="Arial"/>
          <w:sz w:val="22"/>
          <w:szCs w:val="22"/>
        </w:rPr>
        <w:t xml:space="preserve">is </w:t>
      </w:r>
      <w:r w:rsidR="004D68AE">
        <w:rPr>
          <w:rFonts w:ascii="Arial" w:hAnsi="Arial" w:cs="Arial"/>
          <w:sz w:val="22"/>
          <w:szCs w:val="22"/>
        </w:rPr>
        <w:t xml:space="preserve">to increase </w:t>
      </w:r>
      <w:r w:rsidR="0045529C" w:rsidRPr="0045529C">
        <w:rPr>
          <w:rFonts w:ascii="Arial" w:hAnsi="Arial" w:cs="Arial"/>
          <w:sz w:val="22"/>
          <w:szCs w:val="22"/>
        </w:rPr>
        <w:t xml:space="preserve">uptake of </w:t>
      </w:r>
      <w:r w:rsidR="000F779C">
        <w:rPr>
          <w:rFonts w:ascii="Arial" w:hAnsi="Arial" w:cs="Arial"/>
          <w:sz w:val="22"/>
          <w:szCs w:val="22"/>
        </w:rPr>
        <w:t>‘</w:t>
      </w:r>
      <w:r w:rsidR="0045529C" w:rsidRPr="0045529C">
        <w:rPr>
          <w:rFonts w:ascii="Arial" w:hAnsi="Arial" w:cs="Arial"/>
          <w:sz w:val="22"/>
          <w:szCs w:val="22"/>
        </w:rPr>
        <w:t>Direct Payments</w:t>
      </w:r>
      <w:r w:rsidR="000F779C">
        <w:rPr>
          <w:rFonts w:ascii="Arial" w:hAnsi="Arial" w:cs="Arial"/>
          <w:sz w:val="22"/>
          <w:szCs w:val="22"/>
        </w:rPr>
        <w:t>’</w:t>
      </w:r>
      <w:r w:rsidR="0045529C" w:rsidRPr="0045529C">
        <w:rPr>
          <w:rFonts w:ascii="Arial" w:hAnsi="Arial" w:cs="Arial"/>
          <w:sz w:val="22"/>
          <w:szCs w:val="22"/>
        </w:rPr>
        <w:t>, so that people can live more independently and choose for themselves the types of support they want to purchase.</w:t>
      </w:r>
      <w:r w:rsidR="00AA0FBC">
        <w:rPr>
          <w:rFonts w:ascii="Arial" w:hAnsi="Arial" w:cs="Arial"/>
          <w:sz w:val="22"/>
          <w:szCs w:val="22"/>
        </w:rPr>
        <w:t xml:space="preserve"> </w:t>
      </w:r>
      <w:r w:rsidR="00D67F60" w:rsidRPr="00D67F60">
        <w:rPr>
          <w:rFonts w:ascii="Arial" w:hAnsi="Arial" w:cs="Arial"/>
          <w:sz w:val="22"/>
          <w:szCs w:val="22"/>
        </w:rPr>
        <w:t>It is envisaged that there will be an increase in older people choosing to commission their own care, with support from the Council.</w:t>
      </w:r>
      <w:r w:rsidR="00D67F60">
        <w:rPr>
          <w:rFonts w:ascii="Arial" w:hAnsi="Arial" w:cs="Arial"/>
          <w:sz w:val="22"/>
          <w:szCs w:val="22"/>
        </w:rPr>
        <w:t xml:space="preserve"> </w:t>
      </w:r>
      <w:r w:rsidR="004D68AE">
        <w:rPr>
          <w:rFonts w:ascii="Arial" w:hAnsi="Arial" w:cs="Arial"/>
          <w:sz w:val="22"/>
          <w:szCs w:val="22"/>
        </w:rPr>
        <w:t>In 2017, the documents states that the Cou</w:t>
      </w:r>
      <w:r w:rsidR="008C3539" w:rsidRPr="008C3539">
        <w:rPr>
          <w:rFonts w:ascii="Arial" w:hAnsi="Arial" w:cs="Arial"/>
          <w:sz w:val="22"/>
          <w:szCs w:val="22"/>
        </w:rPr>
        <w:t>ncil provided almost 5,000 older people with assistive technology. This includes large adaptations to the home, such as stairlifts and adapted bathrooms, to smaller pieces of equipment to help around the home.</w:t>
      </w:r>
    </w:p>
    <w:p w:rsidR="009315D0" w:rsidRDefault="009315D0" w:rsidP="007F4F77">
      <w:pPr>
        <w:spacing w:line="300" w:lineRule="atLeast"/>
        <w:ind w:left="709" w:hanging="709"/>
        <w:rPr>
          <w:rFonts w:ascii="Arial" w:hAnsi="Arial" w:cs="Arial"/>
          <w:sz w:val="22"/>
          <w:szCs w:val="22"/>
        </w:rPr>
      </w:pPr>
    </w:p>
    <w:p w:rsidR="009315D0" w:rsidRPr="009315D0" w:rsidRDefault="009315D0" w:rsidP="009315D0">
      <w:pPr>
        <w:spacing w:line="300" w:lineRule="atLeast"/>
        <w:ind w:left="709" w:hanging="709"/>
        <w:rPr>
          <w:rFonts w:ascii="Arial" w:hAnsi="Arial" w:cs="Arial"/>
          <w:sz w:val="22"/>
          <w:szCs w:val="22"/>
          <w:u w:val="single"/>
        </w:rPr>
      </w:pPr>
      <w:r w:rsidRPr="009315D0">
        <w:rPr>
          <w:rFonts w:ascii="Arial" w:hAnsi="Arial" w:cs="Arial"/>
          <w:sz w:val="22"/>
          <w:szCs w:val="22"/>
        </w:rPr>
        <w:tab/>
      </w:r>
      <w:r w:rsidRPr="009315D0">
        <w:rPr>
          <w:rFonts w:ascii="Arial" w:hAnsi="Arial" w:cs="Arial"/>
          <w:sz w:val="22"/>
          <w:szCs w:val="22"/>
          <w:u w:val="single"/>
        </w:rPr>
        <w:t>Birmingham’s Market Position Statement for Learning Disabilities Social Care (2015)</w:t>
      </w:r>
    </w:p>
    <w:p w:rsidR="004509DE" w:rsidRDefault="004509DE" w:rsidP="004509DE">
      <w:pPr>
        <w:spacing w:line="300" w:lineRule="atLeast"/>
        <w:rPr>
          <w:rFonts w:ascii="Arial" w:hAnsi="Arial" w:cs="Arial"/>
          <w:sz w:val="22"/>
          <w:szCs w:val="22"/>
        </w:rPr>
      </w:pPr>
    </w:p>
    <w:p w:rsidR="009315D0" w:rsidRDefault="009315D0" w:rsidP="00F31180">
      <w:pPr>
        <w:spacing w:line="300" w:lineRule="atLeast"/>
        <w:ind w:left="709" w:hanging="709"/>
        <w:rPr>
          <w:rFonts w:ascii="Arial" w:hAnsi="Arial" w:cs="Arial"/>
          <w:sz w:val="22"/>
          <w:szCs w:val="22"/>
        </w:rPr>
      </w:pPr>
      <w:r>
        <w:rPr>
          <w:rFonts w:ascii="Arial" w:hAnsi="Arial" w:cs="Arial"/>
          <w:sz w:val="22"/>
          <w:szCs w:val="22"/>
        </w:rPr>
        <w:t>2.2</w:t>
      </w:r>
      <w:r w:rsidR="008C4A82">
        <w:rPr>
          <w:rFonts w:ascii="Arial" w:hAnsi="Arial" w:cs="Arial"/>
          <w:sz w:val="22"/>
          <w:szCs w:val="22"/>
        </w:rPr>
        <w:t>2</w:t>
      </w:r>
      <w:r>
        <w:rPr>
          <w:rFonts w:ascii="Arial" w:hAnsi="Arial" w:cs="Arial"/>
          <w:sz w:val="22"/>
          <w:szCs w:val="22"/>
        </w:rPr>
        <w:tab/>
      </w:r>
      <w:r w:rsidR="00F31180">
        <w:rPr>
          <w:rFonts w:ascii="Arial" w:hAnsi="Arial" w:cs="Arial"/>
          <w:sz w:val="22"/>
          <w:szCs w:val="22"/>
        </w:rPr>
        <w:t>Th</w:t>
      </w:r>
      <w:r w:rsidR="00110067">
        <w:rPr>
          <w:rFonts w:ascii="Arial" w:hAnsi="Arial" w:cs="Arial"/>
          <w:sz w:val="22"/>
          <w:szCs w:val="22"/>
        </w:rPr>
        <w:t xml:space="preserve">is </w:t>
      </w:r>
      <w:proofErr w:type="gramStart"/>
      <w:r w:rsidR="00110067">
        <w:rPr>
          <w:rFonts w:ascii="Arial" w:hAnsi="Arial" w:cs="Arial"/>
          <w:sz w:val="22"/>
          <w:szCs w:val="22"/>
        </w:rPr>
        <w:t>particular</w:t>
      </w:r>
      <w:r w:rsidR="00F31180">
        <w:rPr>
          <w:rFonts w:ascii="Arial" w:hAnsi="Arial" w:cs="Arial"/>
          <w:sz w:val="22"/>
          <w:szCs w:val="22"/>
        </w:rPr>
        <w:t xml:space="preserve"> statement</w:t>
      </w:r>
      <w:proofErr w:type="gramEnd"/>
      <w:r w:rsidR="00F31180">
        <w:rPr>
          <w:rFonts w:ascii="Arial" w:hAnsi="Arial" w:cs="Arial"/>
          <w:sz w:val="22"/>
          <w:szCs w:val="22"/>
        </w:rPr>
        <w:t xml:space="preserve"> identifies that p</w:t>
      </w:r>
      <w:r w:rsidR="00F31180" w:rsidRPr="00F31180">
        <w:rPr>
          <w:rFonts w:ascii="Arial" w:hAnsi="Arial" w:cs="Arial"/>
          <w:sz w:val="22"/>
          <w:szCs w:val="22"/>
        </w:rPr>
        <w:t>revalence figures taken from the Projecting Adult Needs and Service Information</w:t>
      </w:r>
      <w:r w:rsidR="00110067">
        <w:rPr>
          <w:rFonts w:ascii="Arial" w:hAnsi="Arial" w:cs="Arial"/>
          <w:sz w:val="22"/>
          <w:szCs w:val="22"/>
        </w:rPr>
        <w:t xml:space="preserve"> System</w:t>
      </w:r>
      <w:r w:rsidR="00F31180" w:rsidRPr="00F31180">
        <w:rPr>
          <w:rFonts w:ascii="Arial" w:hAnsi="Arial" w:cs="Arial"/>
          <w:sz w:val="22"/>
          <w:szCs w:val="22"/>
        </w:rPr>
        <w:t xml:space="preserve"> (www.PANSI.org.uk) indicate that</w:t>
      </w:r>
      <w:r w:rsidR="00F31180">
        <w:rPr>
          <w:rFonts w:ascii="Arial" w:hAnsi="Arial" w:cs="Arial"/>
          <w:sz w:val="22"/>
          <w:szCs w:val="22"/>
        </w:rPr>
        <w:t xml:space="preserve"> </w:t>
      </w:r>
      <w:r w:rsidR="00F31180" w:rsidRPr="00F31180">
        <w:rPr>
          <w:rFonts w:ascii="Arial" w:hAnsi="Arial" w:cs="Arial"/>
          <w:sz w:val="22"/>
          <w:szCs w:val="22"/>
        </w:rPr>
        <w:t>there were some 16,050 working-age adults with a learning disability in Birmingham in 2011, along with 2,817 adults over the</w:t>
      </w:r>
      <w:r w:rsidR="00F31180">
        <w:rPr>
          <w:rFonts w:ascii="Arial" w:hAnsi="Arial" w:cs="Arial"/>
          <w:sz w:val="22"/>
          <w:szCs w:val="22"/>
        </w:rPr>
        <w:t xml:space="preserve"> </w:t>
      </w:r>
      <w:r w:rsidR="00F31180" w:rsidRPr="00F31180">
        <w:rPr>
          <w:rFonts w:ascii="Arial" w:hAnsi="Arial" w:cs="Arial"/>
          <w:sz w:val="22"/>
          <w:szCs w:val="22"/>
        </w:rPr>
        <w:t>age of 65.</w:t>
      </w:r>
      <w:r w:rsidR="00F31180">
        <w:rPr>
          <w:rFonts w:ascii="Arial" w:hAnsi="Arial" w:cs="Arial"/>
          <w:sz w:val="22"/>
          <w:szCs w:val="22"/>
        </w:rPr>
        <w:t xml:space="preserve"> It also states that “p</w:t>
      </w:r>
      <w:r w:rsidR="00F31180" w:rsidRPr="00F31180">
        <w:rPr>
          <w:rFonts w:ascii="Arial" w:hAnsi="Arial" w:cs="Arial"/>
          <w:sz w:val="22"/>
          <w:szCs w:val="22"/>
        </w:rPr>
        <w:t>opulation growth in Birmingham will mean the number of people with LD will also increase, by around 7.5% in the next ten</w:t>
      </w:r>
      <w:r w:rsidR="00F31180">
        <w:rPr>
          <w:rFonts w:ascii="Arial" w:hAnsi="Arial" w:cs="Arial"/>
          <w:sz w:val="22"/>
          <w:szCs w:val="22"/>
        </w:rPr>
        <w:t xml:space="preserve"> </w:t>
      </w:r>
      <w:r w:rsidR="00F31180" w:rsidRPr="00F31180">
        <w:rPr>
          <w:rFonts w:ascii="Arial" w:hAnsi="Arial" w:cs="Arial"/>
          <w:sz w:val="22"/>
          <w:szCs w:val="22"/>
        </w:rPr>
        <w:t>years. This has the potential to put increasing pressure on services</w:t>
      </w:r>
      <w:r w:rsidR="00110067">
        <w:rPr>
          <w:rFonts w:ascii="Arial" w:hAnsi="Arial" w:cs="Arial"/>
          <w:sz w:val="22"/>
          <w:szCs w:val="22"/>
        </w:rPr>
        <w:t>.</w:t>
      </w:r>
      <w:r w:rsidR="00F31180">
        <w:rPr>
          <w:rFonts w:ascii="Arial" w:hAnsi="Arial" w:cs="Arial"/>
          <w:sz w:val="22"/>
          <w:szCs w:val="22"/>
        </w:rPr>
        <w:t>”</w:t>
      </w:r>
    </w:p>
    <w:p w:rsidR="00F31180" w:rsidRDefault="00F31180" w:rsidP="00F31180">
      <w:pPr>
        <w:spacing w:line="300" w:lineRule="atLeast"/>
        <w:ind w:left="709" w:hanging="709"/>
        <w:rPr>
          <w:rFonts w:ascii="Arial" w:hAnsi="Arial" w:cs="Arial"/>
          <w:sz w:val="22"/>
          <w:szCs w:val="22"/>
        </w:rPr>
      </w:pPr>
    </w:p>
    <w:p w:rsidR="00EC41FA" w:rsidRPr="00EC41FA" w:rsidRDefault="00F31180" w:rsidP="00EC41FA">
      <w:pPr>
        <w:spacing w:line="300" w:lineRule="atLeast"/>
        <w:ind w:left="709" w:hanging="709"/>
        <w:rPr>
          <w:rFonts w:ascii="Arial" w:hAnsi="Arial" w:cs="Arial"/>
          <w:sz w:val="22"/>
          <w:szCs w:val="22"/>
        </w:rPr>
      </w:pPr>
      <w:r>
        <w:rPr>
          <w:rFonts w:ascii="Arial" w:hAnsi="Arial" w:cs="Arial"/>
          <w:sz w:val="22"/>
          <w:szCs w:val="22"/>
        </w:rPr>
        <w:t>2.2</w:t>
      </w:r>
      <w:r w:rsidR="008C4A82">
        <w:rPr>
          <w:rFonts w:ascii="Arial" w:hAnsi="Arial" w:cs="Arial"/>
          <w:sz w:val="22"/>
          <w:szCs w:val="22"/>
        </w:rPr>
        <w:t>3</w:t>
      </w:r>
      <w:r>
        <w:rPr>
          <w:rFonts w:ascii="Arial" w:hAnsi="Arial" w:cs="Arial"/>
          <w:sz w:val="22"/>
          <w:szCs w:val="22"/>
        </w:rPr>
        <w:tab/>
        <w:t>Th</w:t>
      </w:r>
      <w:r w:rsidRPr="00F31180">
        <w:rPr>
          <w:rFonts w:ascii="Arial" w:hAnsi="Arial" w:cs="Arial"/>
          <w:sz w:val="22"/>
          <w:szCs w:val="22"/>
        </w:rPr>
        <w:t>e Council intends to remodel the traditional focus of the care market</w:t>
      </w:r>
      <w:r>
        <w:rPr>
          <w:rFonts w:ascii="Arial" w:hAnsi="Arial" w:cs="Arial"/>
          <w:sz w:val="22"/>
          <w:szCs w:val="22"/>
        </w:rPr>
        <w:t xml:space="preserve"> </w:t>
      </w:r>
      <w:r w:rsidRPr="00F31180">
        <w:rPr>
          <w:rFonts w:ascii="Arial" w:hAnsi="Arial" w:cs="Arial"/>
          <w:sz w:val="22"/>
          <w:szCs w:val="22"/>
        </w:rPr>
        <w:t>for Learning Disabilities in Birmingham; by moving away from the</w:t>
      </w:r>
      <w:r>
        <w:rPr>
          <w:rFonts w:ascii="Arial" w:hAnsi="Arial" w:cs="Arial"/>
          <w:sz w:val="22"/>
          <w:szCs w:val="22"/>
        </w:rPr>
        <w:t xml:space="preserve"> </w:t>
      </w:r>
      <w:r w:rsidRPr="00F31180">
        <w:rPr>
          <w:rFonts w:ascii="Arial" w:hAnsi="Arial" w:cs="Arial"/>
          <w:sz w:val="22"/>
          <w:szCs w:val="22"/>
        </w:rPr>
        <w:t xml:space="preserve">current reliance on bed-based care, towards </w:t>
      </w:r>
      <w:proofErr w:type="spellStart"/>
      <w:r w:rsidRPr="00F31180">
        <w:rPr>
          <w:rFonts w:ascii="Arial" w:hAnsi="Arial" w:cs="Arial"/>
          <w:sz w:val="22"/>
          <w:szCs w:val="22"/>
        </w:rPr>
        <w:t>personalisation</w:t>
      </w:r>
      <w:proofErr w:type="spellEnd"/>
      <w:r w:rsidRPr="00F31180">
        <w:rPr>
          <w:rFonts w:ascii="Arial" w:hAnsi="Arial" w:cs="Arial"/>
          <w:sz w:val="22"/>
          <w:szCs w:val="22"/>
        </w:rPr>
        <w:t xml:space="preserve"> through</w:t>
      </w:r>
      <w:r>
        <w:rPr>
          <w:rFonts w:ascii="Arial" w:hAnsi="Arial" w:cs="Arial"/>
          <w:sz w:val="22"/>
          <w:szCs w:val="22"/>
        </w:rPr>
        <w:t xml:space="preserve"> </w:t>
      </w:r>
      <w:r w:rsidRPr="00F31180">
        <w:rPr>
          <w:rFonts w:ascii="Arial" w:hAnsi="Arial" w:cs="Arial"/>
          <w:sz w:val="22"/>
          <w:szCs w:val="22"/>
        </w:rPr>
        <w:t xml:space="preserve">increasing </w:t>
      </w:r>
      <w:r w:rsidR="00EC41FA">
        <w:rPr>
          <w:rFonts w:ascii="Arial" w:hAnsi="Arial" w:cs="Arial"/>
          <w:sz w:val="22"/>
          <w:szCs w:val="22"/>
        </w:rPr>
        <w:t>‘</w:t>
      </w:r>
      <w:r w:rsidRPr="00F31180">
        <w:rPr>
          <w:rFonts w:ascii="Arial" w:hAnsi="Arial" w:cs="Arial"/>
          <w:sz w:val="22"/>
          <w:szCs w:val="22"/>
        </w:rPr>
        <w:t>Direct Payments</w:t>
      </w:r>
      <w:r w:rsidR="00EC41FA">
        <w:rPr>
          <w:rFonts w:ascii="Arial" w:hAnsi="Arial" w:cs="Arial"/>
          <w:sz w:val="22"/>
          <w:szCs w:val="22"/>
        </w:rPr>
        <w:t>’</w:t>
      </w:r>
      <w:r w:rsidRPr="00F31180">
        <w:rPr>
          <w:rFonts w:ascii="Arial" w:hAnsi="Arial" w:cs="Arial"/>
          <w:sz w:val="22"/>
          <w:szCs w:val="22"/>
        </w:rPr>
        <w:t xml:space="preserve"> and </w:t>
      </w:r>
      <w:r w:rsidR="00EC41FA">
        <w:rPr>
          <w:rFonts w:ascii="Arial" w:hAnsi="Arial" w:cs="Arial"/>
          <w:sz w:val="22"/>
          <w:szCs w:val="22"/>
        </w:rPr>
        <w:t>‘</w:t>
      </w:r>
      <w:r w:rsidRPr="00F31180">
        <w:rPr>
          <w:rFonts w:ascii="Arial" w:hAnsi="Arial" w:cs="Arial"/>
          <w:sz w:val="22"/>
          <w:szCs w:val="22"/>
        </w:rPr>
        <w:t>Shared Lives</w:t>
      </w:r>
      <w:r w:rsidR="00EC41FA">
        <w:rPr>
          <w:rFonts w:ascii="Arial" w:hAnsi="Arial" w:cs="Arial"/>
          <w:sz w:val="22"/>
          <w:szCs w:val="22"/>
        </w:rPr>
        <w:t>’</w:t>
      </w:r>
      <w:r w:rsidRPr="00F31180">
        <w:rPr>
          <w:rFonts w:ascii="Arial" w:hAnsi="Arial" w:cs="Arial"/>
          <w:sz w:val="22"/>
          <w:szCs w:val="22"/>
        </w:rPr>
        <w:t>.</w:t>
      </w:r>
      <w:r w:rsidR="00EC41FA">
        <w:rPr>
          <w:rFonts w:ascii="Arial" w:hAnsi="Arial" w:cs="Arial"/>
          <w:sz w:val="22"/>
          <w:szCs w:val="22"/>
        </w:rPr>
        <w:t xml:space="preserve"> ‘S</w:t>
      </w:r>
      <w:r w:rsidR="00EC41FA" w:rsidRPr="00EC41FA">
        <w:rPr>
          <w:rFonts w:ascii="Arial" w:hAnsi="Arial" w:cs="Arial"/>
          <w:sz w:val="22"/>
          <w:szCs w:val="22"/>
        </w:rPr>
        <w:t>hared Lives</w:t>
      </w:r>
      <w:r w:rsidR="00EC41FA">
        <w:rPr>
          <w:rFonts w:ascii="Arial" w:hAnsi="Arial" w:cs="Arial"/>
          <w:sz w:val="22"/>
          <w:szCs w:val="22"/>
        </w:rPr>
        <w:t>’</w:t>
      </w:r>
      <w:r w:rsidR="00EC41FA" w:rsidRPr="00EC41FA">
        <w:rPr>
          <w:rFonts w:ascii="Arial" w:hAnsi="Arial" w:cs="Arial"/>
          <w:sz w:val="22"/>
          <w:szCs w:val="22"/>
        </w:rPr>
        <w:t xml:space="preserve"> (formerly known as Adult Placements), offers a</w:t>
      </w:r>
      <w:r w:rsidR="00EC41FA">
        <w:rPr>
          <w:rFonts w:ascii="Arial" w:hAnsi="Arial" w:cs="Arial"/>
          <w:sz w:val="22"/>
          <w:szCs w:val="22"/>
        </w:rPr>
        <w:t xml:space="preserve"> </w:t>
      </w:r>
      <w:r w:rsidR="00EC41FA" w:rsidRPr="00EC41FA">
        <w:rPr>
          <w:rFonts w:ascii="Arial" w:hAnsi="Arial" w:cs="Arial"/>
          <w:sz w:val="22"/>
          <w:szCs w:val="22"/>
        </w:rPr>
        <w:t>person-</w:t>
      </w:r>
      <w:proofErr w:type="spellStart"/>
      <w:r w:rsidR="00EC41FA" w:rsidRPr="00EC41FA">
        <w:rPr>
          <w:rFonts w:ascii="Arial" w:hAnsi="Arial" w:cs="Arial"/>
          <w:sz w:val="22"/>
          <w:szCs w:val="22"/>
        </w:rPr>
        <w:t>centred</w:t>
      </w:r>
      <w:proofErr w:type="spellEnd"/>
      <w:r w:rsidR="00EC41FA" w:rsidRPr="00EC41FA">
        <w:rPr>
          <w:rFonts w:ascii="Arial" w:hAnsi="Arial" w:cs="Arial"/>
          <w:sz w:val="22"/>
          <w:szCs w:val="22"/>
        </w:rPr>
        <w:t xml:space="preserve"> alternative to care homes. It is a regulated</w:t>
      </w:r>
      <w:r w:rsidR="00EC41FA">
        <w:rPr>
          <w:rFonts w:ascii="Arial" w:hAnsi="Arial" w:cs="Arial"/>
          <w:sz w:val="22"/>
          <w:szCs w:val="22"/>
        </w:rPr>
        <w:t xml:space="preserve"> </w:t>
      </w:r>
      <w:r w:rsidR="00EC41FA" w:rsidRPr="00EC41FA">
        <w:rPr>
          <w:rFonts w:ascii="Arial" w:hAnsi="Arial" w:cs="Arial"/>
          <w:sz w:val="22"/>
          <w:szCs w:val="22"/>
        </w:rPr>
        <w:t xml:space="preserve">model of care which involves people living with </w:t>
      </w:r>
      <w:proofErr w:type="gramStart"/>
      <w:r w:rsidR="00EC41FA" w:rsidRPr="00EC41FA">
        <w:rPr>
          <w:rFonts w:ascii="Arial" w:hAnsi="Arial" w:cs="Arial"/>
          <w:sz w:val="22"/>
          <w:szCs w:val="22"/>
        </w:rPr>
        <w:t>carefully-recruited</w:t>
      </w:r>
      <w:proofErr w:type="gramEnd"/>
    </w:p>
    <w:p w:rsidR="008E7CAA" w:rsidRDefault="00EC41FA" w:rsidP="00923DDB">
      <w:pPr>
        <w:spacing w:line="300" w:lineRule="atLeast"/>
        <w:ind w:left="709"/>
        <w:rPr>
          <w:rFonts w:ascii="Arial" w:hAnsi="Arial" w:cs="Arial"/>
          <w:sz w:val="22"/>
          <w:szCs w:val="22"/>
        </w:rPr>
      </w:pPr>
      <w:proofErr w:type="spellStart"/>
      <w:r w:rsidRPr="00EC41FA">
        <w:rPr>
          <w:rFonts w:ascii="Arial" w:hAnsi="Arial" w:cs="Arial"/>
          <w:sz w:val="22"/>
          <w:szCs w:val="22"/>
        </w:rPr>
        <w:t>carers</w:t>
      </w:r>
      <w:proofErr w:type="spellEnd"/>
      <w:r w:rsidRPr="00EC41FA">
        <w:rPr>
          <w:rFonts w:ascii="Arial" w:hAnsi="Arial" w:cs="Arial"/>
          <w:sz w:val="22"/>
          <w:szCs w:val="22"/>
        </w:rPr>
        <w:t xml:space="preserve"> in their homes; so that they become a part of the family and</w:t>
      </w:r>
      <w:r>
        <w:rPr>
          <w:rFonts w:ascii="Arial" w:hAnsi="Arial" w:cs="Arial"/>
          <w:sz w:val="22"/>
          <w:szCs w:val="22"/>
        </w:rPr>
        <w:t xml:space="preserve"> </w:t>
      </w:r>
      <w:r w:rsidRPr="00EC41FA">
        <w:rPr>
          <w:rFonts w:ascii="Arial" w:hAnsi="Arial" w:cs="Arial"/>
          <w:sz w:val="22"/>
          <w:szCs w:val="22"/>
        </w:rPr>
        <w:t>are involved in community life</w:t>
      </w:r>
      <w:r>
        <w:rPr>
          <w:rFonts w:ascii="Arial" w:hAnsi="Arial" w:cs="Arial"/>
          <w:sz w:val="22"/>
          <w:szCs w:val="22"/>
        </w:rPr>
        <w:t xml:space="preserve">. </w:t>
      </w:r>
      <w:r w:rsidR="000F779C">
        <w:rPr>
          <w:rFonts w:ascii="Arial" w:hAnsi="Arial" w:cs="Arial"/>
          <w:sz w:val="22"/>
          <w:szCs w:val="22"/>
        </w:rPr>
        <w:t>‘Direct Payments’ allows someone to choose and buy the services they need, instead of getting them from the local Council.</w:t>
      </w:r>
    </w:p>
    <w:p w:rsidR="008E7CAA" w:rsidRPr="008E7CAA" w:rsidRDefault="008E7CAA" w:rsidP="007F4F77">
      <w:pPr>
        <w:spacing w:line="300" w:lineRule="atLeast"/>
        <w:ind w:left="709" w:hanging="709"/>
        <w:rPr>
          <w:rFonts w:ascii="Arial" w:hAnsi="Arial" w:cs="Arial"/>
          <w:b/>
          <w:bCs/>
          <w:sz w:val="28"/>
          <w:szCs w:val="28"/>
        </w:rPr>
      </w:pPr>
      <w:bookmarkStart w:id="1" w:name="_Hlk45142659"/>
      <w:r>
        <w:rPr>
          <w:rFonts w:ascii="Arial" w:hAnsi="Arial" w:cs="Arial"/>
          <w:b/>
          <w:bCs/>
          <w:sz w:val="28"/>
          <w:szCs w:val="28"/>
        </w:rPr>
        <w:lastRenderedPageBreak/>
        <w:t>3.</w:t>
      </w:r>
      <w:r>
        <w:rPr>
          <w:rFonts w:ascii="Arial" w:hAnsi="Arial" w:cs="Arial"/>
          <w:b/>
          <w:bCs/>
          <w:sz w:val="28"/>
          <w:szCs w:val="28"/>
        </w:rPr>
        <w:tab/>
      </w:r>
      <w:r w:rsidR="00200D11">
        <w:rPr>
          <w:rFonts w:ascii="Arial" w:hAnsi="Arial" w:cs="Arial"/>
          <w:b/>
          <w:bCs/>
          <w:sz w:val="28"/>
          <w:szCs w:val="28"/>
        </w:rPr>
        <w:t xml:space="preserve">Internal </w:t>
      </w:r>
      <w:r>
        <w:rPr>
          <w:rFonts w:ascii="Arial" w:hAnsi="Arial" w:cs="Arial"/>
          <w:b/>
          <w:bCs/>
          <w:sz w:val="28"/>
          <w:szCs w:val="28"/>
        </w:rPr>
        <w:t>Space</w:t>
      </w:r>
      <w:r w:rsidR="00200D11">
        <w:rPr>
          <w:rFonts w:ascii="Arial" w:hAnsi="Arial" w:cs="Arial"/>
          <w:b/>
          <w:bCs/>
          <w:sz w:val="28"/>
          <w:szCs w:val="28"/>
        </w:rPr>
        <w:t xml:space="preserve"> Standards Evidence</w:t>
      </w:r>
      <w:r>
        <w:rPr>
          <w:rFonts w:ascii="Arial" w:hAnsi="Arial" w:cs="Arial"/>
          <w:b/>
          <w:bCs/>
          <w:sz w:val="28"/>
          <w:szCs w:val="28"/>
        </w:rPr>
        <w:t xml:space="preserve"> </w:t>
      </w:r>
    </w:p>
    <w:bookmarkEnd w:id="1"/>
    <w:p w:rsidR="008E7CAA" w:rsidRDefault="008E7CAA" w:rsidP="007F4F77">
      <w:pPr>
        <w:spacing w:line="300" w:lineRule="atLeast"/>
        <w:ind w:left="709" w:hanging="709"/>
        <w:rPr>
          <w:rFonts w:ascii="Arial" w:hAnsi="Arial" w:cs="Arial"/>
          <w:sz w:val="22"/>
          <w:szCs w:val="22"/>
        </w:rPr>
      </w:pPr>
    </w:p>
    <w:p w:rsidR="008E7CAA" w:rsidRDefault="00200D11" w:rsidP="007F4F77">
      <w:pPr>
        <w:spacing w:line="300" w:lineRule="atLeast"/>
        <w:ind w:left="709" w:hanging="709"/>
        <w:rPr>
          <w:rFonts w:ascii="Arial" w:hAnsi="Arial" w:cs="Arial"/>
          <w:sz w:val="22"/>
          <w:szCs w:val="22"/>
        </w:rPr>
      </w:pPr>
      <w:r>
        <w:rPr>
          <w:rFonts w:ascii="Arial" w:hAnsi="Arial" w:cs="Arial"/>
          <w:sz w:val="22"/>
          <w:szCs w:val="22"/>
        </w:rPr>
        <w:t>3.1</w:t>
      </w:r>
      <w:r>
        <w:rPr>
          <w:rFonts w:ascii="Arial" w:hAnsi="Arial" w:cs="Arial"/>
          <w:sz w:val="22"/>
          <w:szCs w:val="22"/>
        </w:rPr>
        <w:tab/>
      </w:r>
      <w:r w:rsidRPr="00200D11">
        <w:rPr>
          <w:rFonts w:ascii="Arial" w:hAnsi="Arial" w:cs="Arial"/>
          <w:sz w:val="22"/>
          <w:szCs w:val="22"/>
        </w:rPr>
        <w:t xml:space="preserve">In order to establish whether the adoption of the space standards would be justified, this paper assesses whether there is a need, as well as whether adoption would have any viability or timing implications for housing delivery in the </w:t>
      </w:r>
      <w:r w:rsidR="00D26441">
        <w:rPr>
          <w:rFonts w:ascii="Arial" w:hAnsi="Arial" w:cs="Arial"/>
          <w:sz w:val="22"/>
          <w:szCs w:val="22"/>
        </w:rPr>
        <w:t>city</w:t>
      </w:r>
      <w:r w:rsidRPr="00200D11">
        <w:rPr>
          <w:rFonts w:ascii="Arial" w:hAnsi="Arial" w:cs="Arial"/>
          <w:sz w:val="22"/>
          <w:szCs w:val="22"/>
        </w:rPr>
        <w:t>.</w:t>
      </w:r>
    </w:p>
    <w:p w:rsidR="00441555" w:rsidRDefault="007B57A8" w:rsidP="00200D11">
      <w:pPr>
        <w:spacing w:line="300" w:lineRule="atLeast"/>
        <w:rPr>
          <w:rFonts w:ascii="Arial" w:hAnsi="Arial" w:cs="Arial"/>
          <w:sz w:val="22"/>
          <w:szCs w:val="22"/>
        </w:rPr>
      </w:pPr>
      <w:r w:rsidRPr="007F4F77">
        <w:rPr>
          <w:rFonts w:ascii="Arial" w:hAnsi="Arial" w:cs="Arial"/>
          <w:sz w:val="22"/>
          <w:szCs w:val="22"/>
        </w:rPr>
        <w:tab/>
      </w:r>
    </w:p>
    <w:p w:rsidR="005C5D5B" w:rsidRDefault="008B662C" w:rsidP="008B662C">
      <w:pPr>
        <w:spacing w:line="300" w:lineRule="atLeast"/>
        <w:rPr>
          <w:rFonts w:ascii="Arial" w:hAnsi="Arial" w:cs="Arial"/>
          <w:b/>
          <w:bCs/>
          <w:sz w:val="22"/>
          <w:szCs w:val="22"/>
        </w:rPr>
      </w:pPr>
      <w:r>
        <w:rPr>
          <w:rFonts w:ascii="Arial" w:hAnsi="Arial" w:cs="Arial"/>
          <w:sz w:val="22"/>
          <w:szCs w:val="22"/>
        </w:rPr>
        <w:tab/>
      </w:r>
      <w:r w:rsidRPr="008B662C">
        <w:rPr>
          <w:rFonts w:ascii="Arial" w:hAnsi="Arial" w:cs="Arial"/>
          <w:b/>
          <w:bCs/>
          <w:sz w:val="22"/>
          <w:szCs w:val="22"/>
        </w:rPr>
        <w:t>Need</w:t>
      </w:r>
    </w:p>
    <w:p w:rsidR="008B662C" w:rsidRDefault="008B662C" w:rsidP="008B662C">
      <w:pPr>
        <w:spacing w:line="300" w:lineRule="atLeast"/>
        <w:rPr>
          <w:rFonts w:ascii="Arial" w:hAnsi="Arial" w:cs="Arial"/>
          <w:b/>
          <w:bCs/>
          <w:sz w:val="22"/>
          <w:szCs w:val="22"/>
        </w:rPr>
      </w:pPr>
    </w:p>
    <w:p w:rsidR="008B662C" w:rsidRDefault="008B662C" w:rsidP="008B662C">
      <w:pPr>
        <w:spacing w:line="300" w:lineRule="atLeast"/>
        <w:ind w:left="709" w:hanging="709"/>
        <w:rPr>
          <w:rFonts w:ascii="Arial" w:hAnsi="Arial" w:cs="Arial"/>
          <w:sz w:val="22"/>
          <w:szCs w:val="22"/>
        </w:rPr>
      </w:pPr>
      <w:r>
        <w:rPr>
          <w:rFonts w:ascii="Arial" w:hAnsi="Arial" w:cs="Arial"/>
          <w:sz w:val="22"/>
          <w:szCs w:val="22"/>
        </w:rPr>
        <w:t>3.2</w:t>
      </w:r>
      <w:r>
        <w:rPr>
          <w:rFonts w:ascii="Arial" w:hAnsi="Arial" w:cs="Arial"/>
          <w:sz w:val="22"/>
          <w:szCs w:val="22"/>
        </w:rPr>
        <w:tab/>
        <w:t xml:space="preserve">In recent years there has been growing public concern nationally about the quality of new homes. As house prices have increased, alongside a relative lack of choice for homebuyers leading to intense competition for news homes, there have been concerns regarding the quality of homes being delivered. </w:t>
      </w:r>
      <w:r w:rsidRPr="008B662C">
        <w:rPr>
          <w:rFonts w:ascii="Arial" w:hAnsi="Arial" w:cs="Arial"/>
          <w:sz w:val="22"/>
          <w:szCs w:val="22"/>
        </w:rPr>
        <w:t>In response to these concerns, NDSS was introduced in 2015.</w:t>
      </w:r>
      <w:r>
        <w:rPr>
          <w:rFonts w:ascii="Arial" w:hAnsi="Arial" w:cs="Arial"/>
          <w:sz w:val="22"/>
          <w:szCs w:val="22"/>
        </w:rPr>
        <w:t xml:space="preserve"> </w:t>
      </w:r>
    </w:p>
    <w:p w:rsidR="008B662C" w:rsidRDefault="008B662C" w:rsidP="008B662C">
      <w:pPr>
        <w:spacing w:line="300" w:lineRule="atLeast"/>
        <w:ind w:left="709" w:hanging="709"/>
        <w:rPr>
          <w:rFonts w:ascii="Arial" w:hAnsi="Arial" w:cs="Arial"/>
          <w:sz w:val="22"/>
          <w:szCs w:val="22"/>
        </w:rPr>
      </w:pPr>
    </w:p>
    <w:p w:rsidR="008B662C" w:rsidRDefault="008B662C" w:rsidP="008B662C">
      <w:pPr>
        <w:spacing w:line="300" w:lineRule="atLeast"/>
        <w:ind w:left="709" w:hanging="709"/>
        <w:rPr>
          <w:rFonts w:ascii="Arial" w:hAnsi="Arial" w:cs="Arial"/>
          <w:sz w:val="22"/>
          <w:szCs w:val="22"/>
        </w:rPr>
      </w:pPr>
      <w:r>
        <w:rPr>
          <w:rFonts w:ascii="Arial" w:hAnsi="Arial" w:cs="Arial"/>
          <w:sz w:val="22"/>
          <w:szCs w:val="22"/>
        </w:rPr>
        <w:t>3.3</w:t>
      </w:r>
      <w:r>
        <w:rPr>
          <w:rFonts w:ascii="Arial" w:hAnsi="Arial" w:cs="Arial"/>
          <w:sz w:val="22"/>
          <w:szCs w:val="22"/>
        </w:rPr>
        <w:tab/>
        <w:t xml:space="preserve">While the needs of occupants will vary, NDSS represents a benchmark for all new dwellings across the country and across tenures, which balances being achievable and ensuring adequate space. </w:t>
      </w:r>
      <w:r w:rsidRPr="00890ED8">
        <w:rPr>
          <w:rFonts w:ascii="Arial" w:hAnsi="Arial" w:cs="Arial"/>
          <w:sz w:val="22"/>
          <w:szCs w:val="22"/>
        </w:rPr>
        <w:t>The Royal Institute of British Architects (RIBA) made a strong case to Government for embedding the national minimum space standards into the Building Regulations</w:t>
      </w:r>
      <w:r w:rsidRPr="006A6B9F">
        <w:rPr>
          <w:rStyle w:val="FootnoteReference"/>
          <w:rFonts w:ascii="Arial" w:hAnsi="Arial" w:cs="Arial"/>
          <w:sz w:val="22"/>
          <w:szCs w:val="22"/>
        </w:rPr>
        <w:footnoteReference w:id="5"/>
      </w:r>
      <w:r w:rsidRPr="00890ED8">
        <w:rPr>
          <w:rFonts w:ascii="Arial" w:hAnsi="Arial" w:cs="Arial"/>
          <w:sz w:val="22"/>
          <w:szCs w:val="22"/>
        </w:rPr>
        <w:t xml:space="preserve">. This approach would set the standards for housing design across the country to create a level playing field and a fair housing offer wherever people live. In the absence of this approach, </w:t>
      </w:r>
      <w:r>
        <w:rPr>
          <w:rFonts w:ascii="Arial" w:hAnsi="Arial" w:cs="Arial"/>
          <w:sz w:val="22"/>
          <w:szCs w:val="22"/>
        </w:rPr>
        <w:t>Birmingham City</w:t>
      </w:r>
      <w:r w:rsidRPr="00890ED8">
        <w:rPr>
          <w:rFonts w:ascii="Arial" w:hAnsi="Arial" w:cs="Arial"/>
          <w:sz w:val="22"/>
          <w:szCs w:val="22"/>
        </w:rPr>
        <w:t xml:space="preserve"> Council seeks to adopt the st</w:t>
      </w:r>
      <w:r>
        <w:rPr>
          <w:rFonts w:ascii="Arial" w:hAnsi="Arial" w:cs="Arial"/>
          <w:sz w:val="22"/>
          <w:szCs w:val="22"/>
        </w:rPr>
        <w:t xml:space="preserve">andards as set out in Policy DM10 </w:t>
      </w:r>
      <w:r w:rsidRPr="00890ED8">
        <w:rPr>
          <w:rFonts w:ascii="Arial" w:hAnsi="Arial" w:cs="Arial"/>
          <w:sz w:val="22"/>
          <w:szCs w:val="22"/>
        </w:rPr>
        <w:t xml:space="preserve">to help </w:t>
      </w:r>
      <w:r>
        <w:rPr>
          <w:rFonts w:ascii="Arial" w:hAnsi="Arial" w:cs="Arial"/>
          <w:sz w:val="22"/>
          <w:szCs w:val="22"/>
        </w:rPr>
        <w:t>achieve its stated policy aims</w:t>
      </w:r>
      <w:r w:rsidRPr="00890ED8">
        <w:rPr>
          <w:rFonts w:ascii="Arial" w:hAnsi="Arial" w:cs="Arial"/>
          <w:sz w:val="22"/>
          <w:szCs w:val="22"/>
        </w:rPr>
        <w:t>.</w:t>
      </w:r>
    </w:p>
    <w:p w:rsidR="008B662C" w:rsidRDefault="008B662C" w:rsidP="008B662C">
      <w:pPr>
        <w:spacing w:line="300" w:lineRule="atLeast"/>
        <w:ind w:left="709" w:hanging="709"/>
        <w:rPr>
          <w:rFonts w:ascii="Arial" w:hAnsi="Arial" w:cs="Arial"/>
          <w:sz w:val="22"/>
          <w:szCs w:val="22"/>
        </w:rPr>
      </w:pPr>
    </w:p>
    <w:p w:rsidR="008B662C" w:rsidRDefault="008B662C" w:rsidP="008B662C">
      <w:pPr>
        <w:spacing w:line="300" w:lineRule="atLeast"/>
        <w:ind w:left="709" w:hanging="709"/>
        <w:rPr>
          <w:rFonts w:ascii="Arial" w:hAnsi="Arial" w:cs="Arial"/>
          <w:sz w:val="22"/>
          <w:szCs w:val="22"/>
        </w:rPr>
      </w:pPr>
      <w:r>
        <w:rPr>
          <w:rFonts w:ascii="Arial" w:hAnsi="Arial" w:cs="Arial"/>
          <w:sz w:val="22"/>
          <w:szCs w:val="22"/>
        </w:rPr>
        <w:t>3.4</w:t>
      </w:r>
      <w:r>
        <w:rPr>
          <w:rFonts w:ascii="Arial" w:hAnsi="Arial" w:cs="Arial"/>
          <w:sz w:val="22"/>
          <w:szCs w:val="22"/>
        </w:rPr>
        <w:tab/>
      </w:r>
      <w:r w:rsidRPr="008B662C">
        <w:rPr>
          <w:rFonts w:ascii="Arial" w:hAnsi="Arial" w:cs="Arial"/>
          <w:sz w:val="22"/>
          <w:szCs w:val="22"/>
        </w:rPr>
        <w:t xml:space="preserve">Concerns about poor residential space standards are particularly relevant in </w:t>
      </w:r>
      <w:r>
        <w:rPr>
          <w:rFonts w:ascii="Arial" w:hAnsi="Arial" w:cs="Arial"/>
          <w:sz w:val="22"/>
          <w:szCs w:val="22"/>
        </w:rPr>
        <w:t xml:space="preserve">Birmingham due to natural constraints on developable </w:t>
      </w:r>
      <w:proofErr w:type="gramStart"/>
      <w:r>
        <w:rPr>
          <w:rFonts w:ascii="Arial" w:hAnsi="Arial" w:cs="Arial"/>
          <w:sz w:val="22"/>
          <w:szCs w:val="22"/>
        </w:rPr>
        <w:t>lan</w:t>
      </w:r>
      <w:r w:rsidRPr="008B662C">
        <w:rPr>
          <w:rFonts w:ascii="Arial" w:hAnsi="Arial" w:cs="Arial"/>
          <w:sz w:val="22"/>
          <w:szCs w:val="22"/>
        </w:rPr>
        <w:t>d</w:t>
      </w:r>
      <w:proofErr w:type="gramEnd"/>
      <w:r w:rsidRPr="008B662C">
        <w:rPr>
          <w:rFonts w:ascii="Arial" w:hAnsi="Arial" w:cs="Arial"/>
          <w:sz w:val="22"/>
          <w:szCs w:val="22"/>
        </w:rPr>
        <w:t xml:space="preserve"> which is reflected in high development densities, particularly in the central areas of </w:t>
      </w:r>
      <w:r>
        <w:rPr>
          <w:rFonts w:ascii="Arial" w:hAnsi="Arial" w:cs="Arial"/>
          <w:sz w:val="22"/>
          <w:szCs w:val="22"/>
        </w:rPr>
        <w:t>Birmingham</w:t>
      </w:r>
      <w:r w:rsidRPr="008B662C">
        <w:rPr>
          <w:rFonts w:ascii="Arial" w:hAnsi="Arial" w:cs="Arial"/>
          <w:sz w:val="22"/>
          <w:szCs w:val="22"/>
        </w:rPr>
        <w:t xml:space="preserve"> where densities of over 200 dwellings per hectare are common. Policies in the </w:t>
      </w:r>
      <w:r w:rsidR="00815F6E">
        <w:rPr>
          <w:rFonts w:ascii="Arial" w:hAnsi="Arial" w:cs="Arial"/>
          <w:sz w:val="22"/>
          <w:szCs w:val="22"/>
        </w:rPr>
        <w:t>BDP</w:t>
      </w:r>
      <w:r w:rsidRPr="008B662C">
        <w:rPr>
          <w:rFonts w:ascii="Arial" w:hAnsi="Arial" w:cs="Arial"/>
          <w:sz w:val="22"/>
          <w:szCs w:val="22"/>
        </w:rPr>
        <w:t xml:space="preserve"> also seek to </w:t>
      </w:r>
      <w:proofErr w:type="spellStart"/>
      <w:r w:rsidRPr="008B662C">
        <w:rPr>
          <w:rFonts w:ascii="Arial" w:hAnsi="Arial" w:cs="Arial"/>
          <w:sz w:val="22"/>
          <w:szCs w:val="22"/>
        </w:rPr>
        <w:t>maximise</w:t>
      </w:r>
      <w:proofErr w:type="spellEnd"/>
      <w:r w:rsidRPr="008B662C">
        <w:rPr>
          <w:rFonts w:ascii="Arial" w:hAnsi="Arial" w:cs="Arial"/>
          <w:sz w:val="22"/>
          <w:szCs w:val="22"/>
        </w:rPr>
        <w:t xml:space="preserve"> development potential and make efficient use of available sites, whilst achieving sustainable development and respecting local character and heritage (</w:t>
      </w:r>
      <w:r w:rsidR="00815F6E">
        <w:rPr>
          <w:rFonts w:ascii="Arial" w:hAnsi="Arial" w:cs="Arial"/>
          <w:sz w:val="22"/>
          <w:szCs w:val="22"/>
        </w:rPr>
        <w:t>BDP Policy TP30</w:t>
      </w:r>
      <w:r w:rsidRPr="008B662C">
        <w:rPr>
          <w:rFonts w:ascii="Arial" w:hAnsi="Arial" w:cs="Arial"/>
          <w:sz w:val="22"/>
          <w:szCs w:val="22"/>
        </w:rPr>
        <w:t>). However, it is important to ensure that achieving higher density development does not compromise space standards and living conditions for residents.</w:t>
      </w:r>
    </w:p>
    <w:p w:rsidR="006C3BDC" w:rsidRDefault="006C3BDC" w:rsidP="008B662C">
      <w:pPr>
        <w:spacing w:line="300" w:lineRule="atLeast"/>
        <w:ind w:left="709" w:hanging="709"/>
        <w:rPr>
          <w:rFonts w:ascii="Arial" w:hAnsi="Arial" w:cs="Arial"/>
          <w:sz w:val="22"/>
          <w:szCs w:val="22"/>
        </w:rPr>
      </w:pPr>
    </w:p>
    <w:p w:rsidR="006C3BDC" w:rsidRPr="006C3BDC" w:rsidRDefault="006C3BDC" w:rsidP="006C3BDC">
      <w:pPr>
        <w:spacing w:line="300" w:lineRule="atLeast"/>
        <w:rPr>
          <w:rFonts w:ascii="Arial" w:hAnsi="Arial" w:cs="Arial"/>
          <w:sz w:val="22"/>
          <w:szCs w:val="22"/>
        </w:rPr>
      </w:pPr>
      <w:r>
        <w:rPr>
          <w:rFonts w:ascii="Arial" w:hAnsi="Arial" w:cs="Arial"/>
          <w:sz w:val="22"/>
          <w:szCs w:val="22"/>
        </w:rPr>
        <w:t>3.5</w:t>
      </w:r>
      <w:r>
        <w:rPr>
          <w:rFonts w:ascii="Arial" w:hAnsi="Arial" w:cs="Arial"/>
          <w:sz w:val="22"/>
          <w:szCs w:val="22"/>
        </w:rPr>
        <w:tab/>
      </w:r>
      <w:r w:rsidRPr="006C3BDC">
        <w:rPr>
          <w:rFonts w:ascii="Arial" w:hAnsi="Arial" w:cs="Arial"/>
          <w:sz w:val="22"/>
          <w:szCs w:val="22"/>
        </w:rPr>
        <w:t>The PPG states that ‘</w:t>
      </w:r>
      <w:r w:rsidRPr="006C3BDC">
        <w:rPr>
          <w:rFonts w:ascii="Arial" w:hAnsi="Arial" w:cs="Arial"/>
          <w:i/>
          <w:sz w:val="22"/>
          <w:szCs w:val="22"/>
        </w:rPr>
        <w:t xml:space="preserve">evidence should be provided on the size and type of dwellings </w:t>
      </w:r>
    </w:p>
    <w:p w:rsidR="008A4229" w:rsidRDefault="006C3BDC" w:rsidP="006C3BDC">
      <w:pPr>
        <w:pStyle w:val="ListParagraph"/>
        <w:spacing w:line="300" w:lineRule="atLeast"/>
        <w:ind w:left="709"/>
        <w:rPr>
          <w:rFonts w:ascii="Arial" w:hAnsi="Arial" w:cs="Arial"/>
          <w:sz w:val="22"/>
          <w:szCs w:val="22"/>
        </w:rPr>
      </w:pPr>
      <w:r w:rsidRPr="003E12A8">
        <w:rPr>
          <w:rFonts w:ascii="Arial" w:hAnsi="Arial" w:cs="Arial"/>
          <w:i/>
          <w:sz w:val="22"/>
          <w:szCs w:val="22"/>
        </w:rPr>
        <w:t xml:space="preserve">currently being built in the area, to ensure the impacts of adopting space standards can be properly assessed, for example, to consider any potential impact on meeting demand for starter </w:t>
      </w:r>
      <w:proofErr w:type="gramStart"/>
      <w:r w:rsidRPr="003E12A8">
        <w:rPr>
          <w:rFonts w:ascii="Arial" w:hAnsi="Arial" w:cs="Arial"/>
          <w:i/>
          <w:sz w:val="22"/>
          <w:szCs w:val="22"/>
        </w:rPr>
        <w:t>homes’</w:t>
      </w:r>
      <w:proofErr w:type="gramEnd"/>
      <w:r w:rsidRPr="003E12A8">
        <w:rPr>
          <w:rFonts w:ascii="Arial" w:hAnsi="Arial" w:cs="Arial"/>
          <w:sz w:val="22"/>
          <w:szCs w:val="22"/>
        </w:rPr>
        <w:t xml:space="preserve">. </w:t>
      </w:r>
    </w:p>
    <w:p w:rsidR="008A4229" w:rsidRDefault="008A4229" w:rsidP="006C3BDC">
      <w:pPr>
        <w:pStyle w:val="ListParagraph"/>
        <w:spacing w:line="300" w:lineRule="atLeast"/>
        <w:ind w:left="709"/>
        <w:rPr>
          <w:rFonts w:ascii="Arial" w:hAnsi="Arial" w:cs="Arial"/>
          <w:sz w:val="22"/>
          <w:szCs w:val="22"/>
        </w:rPr>
      </w:pPr>
    </w:p>
    <w:p w:rsidR="006C3BDC" w:rsidRPr="008A4229" w:rsidRDefault="008A4229" w:rsidP="008A4229">
      <w:pPr>
        <w:spacing w:line="300" w:lineRule="atLeast"/>
        <w:ind w:left="709" w:hanging="709"/>
        <w:rPr>
          <w:rFonts w:ascii="Arial" w:hAnsi="Arial" w:cs="Arial"/>
          <w:sz w:val="22"/>
          <w:szCs w:val="22"/>
        </w:rPr>
      </w:pPr>
      <w:r>
        <w:rPr>
          <w:rFonts w:ascii="Arial" w:hAnsi="Arial" w:cs="Arial"/>
          <w:sz w:val="22"/>
          <w:szCs w:val="22"/>
        </w:rPr>
        <w:t>3.6</w:t>
      </w:r>
      <w:r>
        <w:rPr>
          <w:rFonts w:ascii="Arial" w:hAnsi="Arial" w:cs="Arial"/>
          <w:sz w:val="22"/>
          <w:szCs w:val="22"/>
        </w:rPr>
        <w:tab/>
      </w:r>
      <w:r w:rsidR="006C3BDC" w:rsidRPr="008A4229">
        <w:rPr>
          <w:rFonts w:ascii="Arial" w:hAnsi="Arial" w:cs="Arial"/>
          <w:sz w:val="22"/>
          <w:szCs w:val="22"/>
        </w:rPr>
        <w:t xml:space="preserve">A review of recently permitted development between has, therefore, been undertaken to understand the current type of units being built within the city and to understand what implications may arise as a result of seeking to introduce the NDSS. </w:t>
      </w:r>
    </w:p>
    <w:p w:rsidR="006C3BDC" w:rsidRDefault="006C3BDC" w:rsidP="006C3BDC">
      <w:pPr>
        <w:pStyle w:val="ListParagraph"/>
        <w:spacing w:line="300" w:lineRule="atLeast"/>
        <w:ind w:left="709"/>
        <w:rPr>
          <w:rFonts w:ascii="Arial" w:hAnsi="Arial" w:cs="Arial"/>
          <w:sz w:val="22"/>
          <w:szCs w:val="22"/>
        </w:rPr>
      </w:pPr>
    </w:p>
    <w:p w:rsidR="006C3BDC" w:rsidRDefault="006C3BDC" w:rsidP="006C3BDC">
      <w:pPr>
        <w:spacing w:line="300" w:lineRule="atLeast"/>
        <w:ind w:left="709" w:hanging="709"/>
        <w:rPr>
          <w:rFonts w:ascii="Arial" w:hAnsi="Arial" w:cs="Arial"/>
          <w:i/>
          <w:iCs/>
          <w:sz w:val="22"/>
          <w:szCs w:val="22"/>
        </w:rPr>
      </w:pPr>
      <w:r>
        <w:rPr>
          <w:rFonts w:ascii="Arial" w:hAnsi="Arial" w:cs="Arial"/>
          <w:sz w:val="22"/>
          <w:szCs w:val="22"/>
        </w:rPr>
        <w:t>3.</w:t>
      </w:r>
      <w:r w:rsidR="008A4229">
        <w:rPr>
          <w:rFonts w:ascii="Arial" w:hAnsi="Arial" w:cs="Arial"/>
          <w:sz w:val="22"/>
          <w:szCs w:val="22"/>
        </w:rPr>
        <w:t>7</w:t>
      </w:r>
      <w:r>
        <w:rPr>
          <w:rFonts w:ascii="Arial" w:hAnsi="Arial" w:cs="Arial"/>
          <w:sz w:val="22"/>
          <w:szCs w:val="22"/>
        </w:rPr>
        <w:tab/>
        <w:t xml:space="preserve">Gross Internal Area (GIA) of dwellings were derived from floorplans and information submitted as part of planning applications. The NDSS indicates that ceiling height and built in storage should be </w:t>
      </w:r>
      <w:proofErr w:type="gramStart"/>
      <w:r>
        <w:rPr>
          <w:rFonts w:ascii="Arial" w:hAnsi="Arial" w:cs="Arial"/>
          <w:sz w:val="22"/>
          <w:szCs w:val="22"/>
        </w:rPr>
        <w:t>taken into account</w:t>
      </w:r>
      <w:proofErr w:type="gramEnd"/>
      <w:r>
        <w:rPr>
          <w:rFonts w:ascii="Arial" w:hAnsi="Arial" w:cs="Arial"/>
          <w:sz w:val="22"/>
          <w:szCs w:val="22"/>
        </w:rPr>
        <w:t xml:space="preserve">, but due to resource implications, this was not </w:t>
      </w:r>
      <w:r>
        <w:rPr>
          <w:rFonts w:ascii="Arial" w:hAnsi="Arial" w:cs="Arial"/>
          <w:sz w:val="22"/>
          <w:szCs w:val="22"/>
        </w:rPr>
        <w:lastRenderedPageBreak/>
        <w:t xml:space="preserve">assessed. The results of this are summarised in Tables </w:t>
      </w:r>
      <w:r w:rsidR="00E76CC4">
        <w:rPr>
          <w:rFonts w:ascii="Arial" w:hAnsi="Arial" w:cs="Arial"/>
          <w:sz w:val="22"/>
          <w:szCs w:val="22"/>
        </w:rPr>
        <w:t>1</w:t>
      </w:r>
      <w:r>
        <w:rPr>
          <w:rFonts w:ascii="Arial" w:hAnsi="Arial" w:cs="Arial"/>
          <w:sz w:val="22"/>
          <w:szCs w:val="22"/>
        </w:rPr>
        <w:t xml:space="preserve"> and </w:t>
      </w:r>
      <w:r w:rsidR="00E76CC4">
        <w:rPr>
          <w:rFonts w:ascii="Arial" w:hAnsi="Arial" w:cs="Arial"/>
          <w:sz w:val="22"/>
          <w:szCs w:val="22"/>
        </w:rPr>
        <w:t>2</w:t>
      </w:r>
      <w:r>
        <w:rPr>
          <w:rFonts w:ascii="Arial" w:hAnsi="Arial" w:cs="Arial"/>
          <w:sz w:val="22"/>
          <w:szCs w:val="22"/>
        </w:rPr>
        <w:t xml:space="preserve"> below. </w:t>
      </w:r>
      <w:r w:rsidRPr="00CF6048">
        <w:rPr>
          <w:rFonts w:ascii="Arial" w:hAnsi="Arial" w:cs="Arial"/>
          <w:sz w:val="22"/>
          <w:szCs w:val="22"/>
        </w:rPr>
        <w:t xml:space="preserve">To ensure a representative sample, </w:t>
      </w:r>
      <w:r>
        <w:rPr>
          <w:rFonts w:ascii="Arial" w:hAnsi="Arial" w:cs="Arial"/>
          <w:sz w:val="22"/>
          <w:szCs w:val="22"/>
        </w:rPr>
        <w:t>sites</w:t>
      </w:r>
      <w:r w:rsidRPr="00CF6048">
        <w:rPr>
          <w:rFonts w:ascii="Arial" w:hAnsi="Arial" w:cs="Arial"/>
          <w:sz w:val="22"/>
          <w:szCs w:val="22"/>
        </w:rPr>
        <w:t xml:space="preserve"> from each part of the city (North </w:t>
      </w:r>
      <w:r>
        <w:rPr>
          <w:rFonts w:ascii="Arial" w:hAnsi="Arial" w:cs="Arial"/>
          <w:sz w:val="22"/>
          <w:szCs w:val="22"/>
        </w:rPr>
        <w:t>West,</w:t>
      </w:r>
      <w:r w:rsidRPr="00CF6048">
        <w:rPr>
          <w:rFonts w:ascii="Arial" w:hAnsi="Arial" w:cs="Arial"/>
          <w:sz w:val="22"/>
          <w:szCs w:val="22"/>
        </w:rPr>
        <w:t xml:space="preserve"> South, East and City Centre)</w:t>
      </w:r>
      <w:r>
        <w:rPr>
          <w:rFonts w:ascii="Arial" w:hAnsi="Arial" w:cs="Arial"/>
          <w:sz w:val="22"/>
          <w:szCs w:val="22"/>
        </w:rPr>
        <w:t>,</w:t>
      </w:r>
      <w:r w:rsidRPr="00CF6048">
        <w:rPr>
          <w:rFonts w:ascii="Arial" w:hAnsi="Arial" w:cs="Arial"/>
          <w:sz w:val="22"/>
          <w:szCs w:val="22"/>
        </w:rPr>
        <w:t xml:space="preserve"> </w:t>
      </w:r>
      <w:r>
        <w:rPr>
          <w:rFonts w:ascii="Arial" w:hAnsi="Arial" w:cs="Arial"/>
          <w:sz w:val="22"/>
          <w:szCs w:val="22"/>
        </w:rPr>
        <w:t xml:space="preserve">across the different CIL value zones, </w:t>
      </w:r>
      <w:r w:rsidRPr="00CF6048">
        <w:rPr>
          <w:rFonts w:ascii="Arial" w:hAnsi="Arial" w:cs="Arial"/>
          <w:sz w:val="22"/>
          <w:szCs w:val="22"/>
        </w:rPr>
        <w:t xml:space="preserve">comprising minor residential </w:t>
      </w:r>
      <w:r>
        <w:rPr>
          <w:rFonts w:ascii="Arial" w:hAnsi="Arial" w:cs="Arial"/>
          <w:sz w:val="22"/>
          <w:szCs w:val="22"/>
        </w:rPr>
        <w:t>schemes</w:t>
      </w:r>
      <w:r w:rsidRPr="00CF6048">
        <w:rPr>
          <w:rFonts w:ascii="Arial" w:hAnsi="Arial" w:cs="Arial"/>
          <w:sz w:val="22"/>
          <w:szCs w:val="22"/>
        </w:rPr>
        <w:t xml:space="preserve"> (below 10 dwellings); small scale major </w:t>
      </w:r>
      <w:r>
        <w:rPr>
          <w:rFonts w:ascii="Arial" w:hAnsi="Arial" w:cs="Arial"/>
          <w:sz w:val="22"/>
          <w:szCs w:val="22"/>
        </w:rPr>
        <w:t xml:space="preserve">schemes </w:t>
      </w:r>
      <w:r w:rsidRPr="00CF6048">
        <w:rPr>
          <w:rFonts w:ascii="Arial" w:hAnsi="Arial" w:cs="Arial"/>
          <w:sz w:val="22"/>
          <w:szCs w:val="22"/>
        </w:rPr>
        <w:t xml:space="preserve">(10-49 dwellings) and large scale major </w:t>
      </w:r>
      <w:r>
        <w:rPr>
          <w:rFonts w:ascii="Arial" w:hAnsi="Arial" w:cs="Arial"/>
          <w:sz w:val="22"/>
          <w:szCs w:val="22"/>
        </w:rPr>
        <w:t xml:space="preserve">schemes </w:t>
      </w:r>
      <w:r w:rsidRPr="00CF6048">
        <w:rPr>
          <w:rFonts w:ascii="Arial" w:hAnsi="Arial" w:cs="Arial"/>
          <w:sz w:val="22"/>
          <w:szCs w:val="22"/>
        </w:rPr>
        <w:t xml:space="preserve">(50+ dwellings) were </w:t>
      </w:r>
      <w:r>
        <w:rPr>
          <w:rFonts w:ascii="Arial" w:hAnsi="Arial" w:cs="Arial"/>
          <w:sz w:val="22"/>
          <w:szCs w:val="22"/>
        </w:rPr>
        <w:t>studied</w:t>
      </w:r>
      <w:r w:rsidRPr="00CF6048">
        <w:rPr>
          <w:rFonts w:ascii="Arial" w:hAnsi="Arial" w:cs="Arial"/>
          <w:sz w:val="22"/>
          <w:szCs w:val="22"/>
        </w:rPr>
        <w:t>. In total</w:t>
      </w:r>
      <w:r>
        <w:rPr>
          <w:rFonts w:ascii="Arial" w:hAnsi="Arial" w:cs="Arial"/>
          <w:sz w:val="22"/>
          <w:szCs w:val="22"/>
        </w:rPr>
        <w:t>,</w:t>
      </w:r>
      <w:r w:rsidRPr="00CF6048">
        <w:rPr>
          <w:rFonts w:ascii="Arial" w:hAnsi="Arial" w:cs="Arial"/>
          <w:sz w:val="22"/>
          <w:szCs w:val="22"/>
        </w:rPr>
        <w:t xml:space="preserve"> 3</w:t>
      </w:r>
      <w:r>
        <w:rPr>
          <w:rFonts w:ascii="Arial" w:hAnsi="Arial" w:cs="Arial"/>
          <w:sz w:val="22"/>
          <w:szCs w:val="22"/>
        </w:rPr>
        <w:t>,</w:t>
      </w:r>
      <w:r w:rsidRPr="00CF6048">
        <w:rPr>
          <w:rFonts w:ascii="Arial" w:hAnsi="Arial" w:cs="Arial"/>
          <w:sz w:val="22"/>
          <w:szCs w:val="22"/>
        </w:rPr>
        <w:t>8</w:t>
      </w:r>
      <w:r>
        <w:rPr>
          <w:rFonts w:ascii="Arial" w:hAnsi="Arial" w:cs="Arial"/>
          <w:sz w:val="22"/>
          <w:szCs w:val="22"/>
        </w:rPr>
        <w:t>49</w:t>
      </w:r>
      <w:r w:rsidRPr="00CF6048">
        <w:rPr>
          <w:rFonts w:ascii="Arial" w:hAnsi="Arial" w:cs="Arial"/>
          <w:sz w:val="22"/>
          <w:szCs w:val="22"/>
        </w:rPr>
        <w:t xml:space="preserve"> dwellings within 54 </w:t>
      </w:r>
      <w:r>
        <w:rPr>
          <w:rFonts w:ascii="Arial" w:hAnsi="Arial" w:cs="Arial"/>
          <w:sz w:val="22"/>
          <w:szCs w:val="22"/>
        </w:rPr>
        <w:t>schemes</w:t>
      </w:r>
      <w:r w:rsidRPr="00CF6048">
        <w:rPr>
          <w:rFonts w:ascii="Arial" w:hAnsi="Arial" w:cs="Arial"/>
          <w:sz w:val="22"/>
          <w:szCs w:val="22"/>
        </w:rPr>
        <w:t xml:space="preserve"> were measured and analysed. </w:t>
      </w:r>
      <w:r>
        <w:rPr>
          <w:rFonts w:ascii="Arial" w:hAnsi="Arial" w:cs="Arial"/>
          <w:sz w:val="22"/>
          <w:szCs w:val="22"/>
        </w:rPr>
        <w:t>Permissions were granted between July 2016 and June 2019.</w:t>
      </w:r>
    </w:p>
    <w:p w:rsidR="006C3BDC" w:rsidRPr="006C3BDC" w:rsidRDefault="006C3BDC" w:rsidP="006C3BDC">
      <w:pPr>
        <w:spacing w:line="300" w:lineRule="atLeast"/>
        <w:ind w:left="709" w:hanging="709"/>
        <w:rPr>
          <w:rFonts w:ascii="Arial" w:hAnsi="Arial" w:cs="Arial"/>
          <w:i/>
          <w:iCs/>
          <w:sz w:val="22"/>
          <w:szCs w:val="22"/>
        </w:rPr>
      </w:pPr>
    </w:p>
    <w:p w:rsidR="006C3BDC" w:rsidRDefault="006C3BDC" w:rsidP="006C3BDC">
      <w:pPr>
        <w:rPr>
          <w:rFonts w:ascii="Arial" w:hAnsi="Arial" w:cs="Arial"/>
          <w:sz w:val="22"/>
          <w:szCs w:val="22"/>
        </w:rPr>
      </w:pPr>
      <w:r>
        <w:rPr>
          <w:rFonts w:ascii="Arial" w:hAnsi="Arial" w:cs="Arial"/>
          <w:sz w:val="22"/>
          <w:szCs w:val="22"/>
        </w:rPr>
        <w:t xml:space="preserve">         </w:t>
      </w:r>
      <w:r w:rsidRPr="008F7D9C">
        <w:rPr>
          <w:rFonts w:ascii="Arial" w:hAnsi="Arial" w:cs="Arial"/>
          <w:sz w:val="22"/>
          <w:szCs w:val="22"/>
        </w:rPr>
        <w:t xml:space="preserve">Table </w:t>
      </w:r>
      <w:r w:rsidR="00E76CC4">
        <w:rPr>
          <w:rFonts w:ascii="Arial" w:hAnsi="Arial" w:cs="Arial"/>
          <w:sz w:val="22"/>
          <w:szCs w:val="22"/>
        </w:rPr>
        <w:t>1</w:t>
      </w:r>
      <w:r w:rsidRPr="008F7D9C">
        <w:rPr>
          <w:rFonts w:ascii="Arial" w:hAnsi="Arial" w:cs="Arial"/>
          <w:sz w:val="22"/>
          <w:szCs w:val="22"/>
        </w:rPr>
        <w:t xml:space="preserve">: </w:t>
      </w:r>
      <w:r w:rsidR="002F6589">
        <w:rPr>
          <w:rFonts w:ascii="Arial" w:hAnsi="Arial" w:cs="Arial"/>
          <w:sz w:val="22"/>
          <w:szCs w:val="22"/>
        </w:rPr>
        <w:t xml:space="preserve">Assessment of </w:t>
      </w:r>
      <w:r>
        <w:rPr>
          <w:rFonts w:ascii="Arial" w:hAnsi="Arial" w:cs="Arial"/>
          <w:sz w:val="22"/>
          <w:szCs w:val="22"/>
        </w:rPr>
        <w:t>permissions</w:t>
      </w:r>
      <w:r w:rsidRPr="008F7D9C">
        <w:rPr>
          <w:rFonts w:ascii="Arial" w:hAnsi="Arial" w:cs="Arial"/>
          <w:sz w:val="22"/>
          <w:szCs w:val="22"/>
        </w:rPr>
        <w:t xml:space="preserve"> by </w:t>
      </w:r>
      <w:r>
        <w:rPr>
          <w:rFonts w:ascii="Arial" w:hAnsi="Arial" w:cs="Arial"/>
          <w:sz w:val="22"/>
          <w:szCs w:val="22"/>
        </w:rPr>
        <w:t>type, area and compliance with NDSS</w:t>
      </w:r>
    </w:p>
    <w:tbl>
      <w:tblPr>
        <w:tblStyle w:val="TableGrid"/>
        <w:tblpPr w:leftFromText="180" w:rightFromText="180" w:vertAnchor="text" w:horzAnchor="margin" w:tblpY="131"/>
        <w:tblW w:w="10060" w:type="dxa"/>
        <w:tblLayout w:type="fixed"/>
        <w:tblLook w:val="04A0" w:firstRow="1" w:lastRow="0" w:firstColumn="1" w:lastColumn="0" w:noHBand="0" w:noVBand="1"/>
      </w:tblPr>
      <w:tblGrid>
        <w:gridCol w:w="1701"/>
        <w:gridCol w:w="1951"/>
        <w:gridCol w:w="1276"/>
        <w:gridCol w:w="1276"/>
        <w:gridCol w:w="1842"/>
        <w:gridCol w:w="2014"/>
      </w:tblGrid>
      <w:tr w:rsidR="006C3BDC" w:rsidRPr="00CF7E8C" w:rsidTr="00325D60">
        <w:trPr>
          <w:trHeight w:val="986"/>
        </w:trPr>
        <w:tc>
          <w:tcPr>
            <w:tcW w:w="1701" w:type="dxa"/>
            <w:shd w:val="clear" w:color="auto" w:fill="D9D9D9" w:themeFill="background1" w:themeFillShade="D9"/>
          </w:tcPr>
          <w:p w:rsidR="006C3BDC" w:rsidRPr="00CF7E8C" w:rsidRDefault="006C3BDC" w:rsidP="003F053E">
            <w:pPr>
              <w:jc w:val="center"/>
              <w:rPr>
                <w:rFonts w:ascii="Arial" w:hAnsi="Arial" w:cs="Arial"/>
                <w:b/>
                <w:sz w:val="20"/>
                <w:szCs w:val="20"/>
              </w:rPr>
            </w:pPr>
            <w:r w:rsidRPr="00CF7E8C">
              <w:rPr>
                <w:rFonts w:ascii="Arial" w:hAnsi="Arial" w:cs="Arial"/>
                <w:b/>
                <w:sz w:val="20"/>
                <w:szCs w:val="20"/>
              </w:rPr>
              <w:t>Scheme (PA Ref)</w:t>
            </w:r>
          </w:p>
        </w:tc>
        <w:tc>
          <w:tcPr>
            <w:tcW w:w="1951" w:type="dxa"/>
            <w:shd w:val="clear" w:color="auto" w:fill="D9D9D9" w:themeFill="background1" w:themeFillShade="D9"/>
          </w:tcPr>
          <w:p w:rsidR="006C3BDC" w:rsidRPr="00CF7E8C" w:rsidRDefault="006C3BDC" w:rsidP="003F053E">
            <w:pPr>
              <w:jc w:val="center"/>
              <w:rPr>
                <w:rFonts w:ascii="Arial" w:hAnsi="Arial" w:cs="Arial"/>
                <w:b/>
                <w:sz w:val="20"/>
                <w:szCs w:val="20"/>
              </w:rPr>
            </w:pPr>
            <w:r w:rsidRPr="00CF7E8C">
              <w:rPr>
                <w:rFonts w:ascii="Arial" w:hAnsi="Arial" w:cs="Arial"/>
                <w:b/>
                <w:sz w:val="20"/>
                <w:szCs w:val="20"/>
              </w:rPr>
              <w:t>Type</w:t>
            </w:r>
          </w:p>
        </w:tc>
        <w:tc>
          <w:tcPr>
            <w:tcW w:w="1276" w:type="dxa"/>
            <w:shd w:val="clear" w:color="auto" w:fill="D9D9D9" w:themeFill="background1" w:themeFillShade="D9"/>
          </w:tcPr>
          <w:p w:rsidR="006C3BDC" w:rsidRPr="00CF7E8C" w:rsidRDefault="006C3BDC" w:rsidP="003F053E">
            <w:pPr>
              <w:jc w:val="center"/>
              <w:rPr>
                <w:rFonts w:ascii="Arial" w:hAnsi="Arial" w:cs="Arial"/>
                <w:b/>
                <w:sz w:val="20"/>
                <w:szCs w:val="20"/>
              </w:rPr>
            </w:pPr>
            <w:r w:rsidRPr="00CF7E8C">
              <w:rPr>
                <w:rFonts w:ascii="Arial" w:hAnsi="Arial" w:cs="Arial"/>
                <w:b/>
                <w:sz w:val="20"/>
                <w:szCs w:val="20"/>
              </w:rPr>
              <w:t>Area</w:t>
            </w:r>
          </w:p>
        </w:tc>
        <w:tc>
          <w:tcPr>
            <w:tcW w:w="1276" w:type="dxa"/>
            <w:shd w:val="clear" w:color="auto" w:fill="D9D9D9" w:themeFill="background1" w:themeFillShade="D9"/>
          </w:tcPr>
          <w:p w:rsidR="006C3BDC" w:rsidRPr="00CF7E8C" w:rsidRDefault="006C3BDC" w:rsidP="003F053E">
            <w:pPr>
              <w:jc w:val="center"/>
              <w:rPr>
                <w:rFonts w:ascii="Arial" w:hAnsi="Arial" w:cs="Arial"/>
                <w:b/>
                <w:sz w:val="20"/>
                <w:szCs w:val="20"/>
              </w:rPr>
            </w:pPr>
            <w:r>
              <w:rPr>
                <w:rFonts w:ascii="Arial" w:hAnsi="Arial" w:cs="Arial"/>
                <w:b/>
                <w:sz w:val="20"/>
                <w:szCs w:val="20"/>
              </w:rPr>
              <w:t>Total number of dwellings</w:t>
            </w:r>
          </w:p>
        </w:tc>
        <w:tc>
          <w:tcPr>
            <w:tcW w:w="1842" w:type="dxa"/>
            <w:shd w:val="clear" w:color="auto" w:fill="D9D9D9" w:themeFill="background1" w:themeFillShade="D9"/>
          </w:tcPr>
          <w:p w:rsidR="006C3BDC" w:rsidRPr="00CF7E8C" w:rsidRDefault="006C3BDC" w:rsidP="003F053E">
            <w:pPr>
              <w:jc w:val="center"/>
              <w:rPr>
                <w:rFonts w:ascii="Arial" w:hAnsi="Arial" w:cs="Arial"/>
                <w:b/>
                <w:sz w:val="20"/>
                <w:szCs w:val="20"/>
              </w:rPr>
            </w:pPr>
            <w:r w:rsidRPr="00CF7E8C">
              <w:rPr>
                <w:rFonts w:ascii="Arial" w:hAnsi="Arial" w:cs="Arial"/>
                <w:b/>
                <w:sz w:val="20"/>
                <w:szCs w:val="20"/>
              </w:rPr>
              <w:t xml:space="preserve">% of </w:t>
            </w:r>
            <w:r>
              <w:rPr>
                <w:rFonts w:ascii="Arial" w:hAnsi="Arial" w:cs="Arial"/>
                <w:b/>
                <w:sz w:val="20"/>
                <w:szCs w:val="20"/>
              </w:rPr>
              <w:t xml:space="preserve">fully </w:t>
            </w:r>
            <w:r w:rsidRPr="00CF7E8C">
              <w:rPr>
                <w:rFonts w:ascii="Arial" w:hAnsi="Arial" w:cs="Arial"/>
                <w:b/>
                <w:sz w:val="20"/>
                <w:szCs w:val="20"/>
              </w:rPr>
              <w:t xml:space="preserve">compliant dwellings </w:t>
            </w:r>
          </w:p>
          <w:p w:rsidR="006C3BDC" w:rsidRPr="00CF7E8C" w:rsidRDefault="006C3BDC" w:rsidP="003F053E">
            <w:pPr>
              <w:jc w:val="center"/>
              <w:rPr>
                <w:rFonts w:ascii="Arial" w:hAnsi="Arial" w:cs="Arial"/>
                <w:b/>
                <w:sz w:val="20"/>
                <w:szCs w:val="20"/>
              </w:rPr>
            </w:pPr>
            <w:r w:rsidRPr="00CF7E8C">
              <w:rPr>
                <w:rFonts w:ascii="Arial" w:hAnsi="Arial" w:cs="Arial"/>
                <w:b/>
                <w:sz w:val="20"/>
                <w:szCs w:val="20"/>
              </w:rPr>
              <w:t>within scheme</w:t>
            </w:r>
          </w:p>
        </w:tc>
        <w:tc>
          <w:tcPr>
            <w:tcW w:w="2014" w:type="dxa"/>
            <w:shd w:val="clear" w:color="auto" w:fill="D9D9D9" w:themeFill="background1" w:themeFillShade="D9"/>
          </w:tcPr>
          <w:p w:rsidR="006C3BDC" w:rsidRPr="00CF7E8C" w:rsidRDefault="0034352A" w:rsidP="003F053E">
            <w:pPr>
              <w:jc w:val="center"/>
              <w:rPr>
                <w:rFonts w:ascii="Arial" w:hAnsi="Arial" w:cs="Arial"/>
                <w:b/>
                <w:sz w:val="20"/>
                <w:szCs w:val="20"/>
              </w:rPr>
            </w:pPr>
            <w:r>
              <w:rPr>
                <w:rFonts w:ascii="Arial" w:hAnsi="Arial" w:cs="Arial"/>
                <w:b/>
                <w:sz w:val="20"/>
                <w:szCs w:val="20"/>
              </w:rPr>
              <w:t>% d</w:t>
            </w:r>
            <w:r w:rsidR="006C3BDC" w:rsidRPr="00CF7E8C">
              <w:rPr>
                <w:rFonts w:ascii="Arial" w:hAnsi="Arial" w:cs="Arial"/>
                <w:b/>
                <w:sz w:val="20"/>
                <w:szCs w:val="20"/>
              </w:rPr>
              <w:t>eviation of</w:t>
            </w:r>
            <w:r w:rsidR="006C3BDC">
              <w:rPr>
                <w:rFonts w:ascii="Arial" w:hAnsi="Arial" w:cs="Arial"/>
                <w:b/>
                <w:sz w:val="20"/>
                <w:szCs w:val="20"/>
              </w:rPr>
              <w:t xml:space="preserve"> </w:t>
            </w:r>
            <w:r w:rsidR="006C3BDC" w:rsidRPr="00CF7E8C">
              <w:rPr>
                <w:rFonts w:ascii="Arial" w:hAnsi="Arial" w:cs="Arial"/>
                <w:b/>
                <w:sz w:val="20"/>
                <w:szCs w:val="20"/>
              </w:rPr>
              <w:t>non-compliant dwellings within scheme</w:t>
            </w:r>
            <w:r>
              <w:rPr>
                <w:rFonts w:ascii="Arial" w:hAnsi="Arial" w:cs="Arial"/>
                <w:b/>
                <w:sz w:val="20"/>
                <w:szCs w:val="20"/>
              </w:rPr>
              <w:t xml:space="preserve"> </w:t>
            </w:r>
          </w:p>
        </w:tc>
      </w:tr>
      <w:tr w:rsidR="006C3BDC" w:rsidRPr="00CF7E8C" w:rsidTr="00325D60">
        <w:trPr>
          <w:trHeight w:val="94"/>
        </w:trPr>
        <w:tc>
          <w:tcPr>
            <w:tcW w:w="170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2017/08883/PA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North West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110</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N/A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2017/01495/PA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North West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139</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9.4</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0.6 – 30.1</w:t>
            </w:r>
          </w:p>
        </w:tc>
      </w:tr>
      <w:tr w:rsidR="006C3BDC" w:rsidRPr="00CF7E8C" w:rsidTr="00325D60">
        <w:trPr>
          <w:trHeight w:val="94"/>
        </w:trPr>
        <w:tc>
          <w:tcPr>
            <w:tcW w:w="170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2018/01601/PA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258</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9.7</w:t>
            </w:r>
          </w:p>
        </w:tc>
        <w:tc>
          <w:tcPr>
            <w:tcW w:w="2014"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1 – 10.4</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2017/03355/PA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214</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N/A</w:t>
            </w:r>
          </w:p>
        </w:tc>
      </w:tr>
      <w:tr w:rsidR="006C3BDC" w:rsidRPr="00CF7E8C" w:rsidTr="00325D60">
        <w:trPr>
          <w:trHeight w:val="94"/>
        </w:trPr>
        <w:tc>
          <w:tcPr>
            <w:tcW w:w="170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2017/07207/PA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389</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9</w:t>
            </w:r>
            <w:r>
              <w:rPr>
                <w:rFonts w:ascii="Arial" w:hAnsi="Arial" w:cs="Arial"/>
                <w:sz w:val="20"/>
                <w:szCs w:val="20"/>
              </w:rPr>
              <w:t>8</w:t>
            </w:r>
            <w:r w:rsidRPr="00CF7E8C">
              <w:rPr>
                <w:rFonts w:ascii="Arial" w:hAnsi="Arial" w:cs="Arial"/>
                <w:sz w:val="20"/>
                <w:szCs w:val="20"/>
              </w:rPr>
              <w:t>.</w:t>
            </w:r>
            <w:r>
              <w:rPr>
                <w:rFonts w:ascii="Arial" w:hAnsi="Arial" w:cs="Arial"/>
                <w:sz w:val="20"/>
                <w:szCs w:val="20"/>
              </w:rPr>
              <w:t>2</w:t>
            </w:r>
          </w:p>
        </w:tc>
        <w:tc>
          <w:tcPr>
            <w:tcW w:w="2014"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1.4</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2017/09461/PA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326</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N/A</w:t>
            </w:r>
          </w:p>
        </w:tc>
      </w:tr>
      <w:tr w:rsidR="006C3BDC" w:rsidRPr="00CF7E8C" w:rsidTr="00325D60">
        <w:trPr>
          <w:trHeight w:val="94"/>
        </w:trPr>
        <w:tc>
          <w:tcPr>
            <w:tcW w:w="170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2017/10448/PA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238</w:t>
            </w:r>
          </w:p>
        </w:tc>
        <w:tc>
          <w:tcPr>
            <w:tcW w:w="1842"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68.1</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2.6 – 31.8</w:t>
            </w:r>
          </w:p>
        </w:tc>
      </w:tr>
      <w:tr w:rsidR="006C3BDC" w:rsidRPr="00CF7E8C" w:rsidTr="00325D60">
        <w:trPr>
          <w:trHeight w:val="94"/>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2016/09139/PA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South</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229</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40.2</w:t>
            </w:r>
          </w:p>
        </w:tc>
        <w:tc>
          <w:tcPr>
            <w:tcW w:w="2014"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0.8 – 2.8</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2017/07621/PA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South</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212</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N/A</w:t>
            </w:r>
          </w:p>
        </w:tc>
      </w:tr>
      <w:tr w:rsidR="006C3BDC" w:rsidRPr="00CF7E8C" w:rsidTr="00325D60">
        <w:trPr>
          <w:trHeight w:val="94"/>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2018/04103/PA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South</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210</w:t>
            </w:r>
          </w:p>
        </w:tc>
        <w:tc>
          <w:tcPr>
            <w:tcW w:w="1842"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55.7</w:t>
            </w:r>
          </w:p>
        </w:tc>
        <w:tc>
          <w:tcPr>
            <w:tcW w:w="2014"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0.5 – 10.5</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2015/10025/PA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201</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2</w:t>
            </w:r>
            <w:r>
              <w:rPr>
                <w:rFonts w:ascii="Arial" w:hAnsi="Arial" w:cs="Arial"/>
                <w:sz w:val="20"/>
                <w:szCs w:val="20"/>
              </w:rPr>
              <w:t>9.4</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1.0 – 19.7</w:t>
            </w:r>
          </w:p>
        </w:tc>
      </w:tr>
      <w:tr w:rsidR="006C3BDC" w:rsidRPr="00CF7E8C" w:rsidTr="00325D60">
        <w:trPr>
          <w:trHeight w:val="94"/>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2017/07055/PA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54</w:t>
            </w:r>
          </w:p>
        </w:tc>
        <w:tc>
          <w:tcPr>
            <w:tcW w:w="1842" w:type="dxa"/>
            <w:shd w:val="clear" w:color="auto" w:fill="FFC000"/>
          </w:tcPr>
          <w:p w:rsidR="006C3BDC" w:rsidRPr="00CF7E8C" w:rsidRDefault="006C3BDC" w:rsidP="003F053E">
            <w:pPr>
              <w:jc w:val="center"/>
              <w:rPr>
                <w:rFonts w:ascii="Arial" w:hAnsi="Arial" w:cs="Arial"/>
                <w:sz w:val="20"/>
                <w:szCs w:val="20"/>
              </w:rPr>
            </w:pPr>
            <w:r>
              <w:rPr>
                <w:rFonts w:ascii="Arial" w:hAnsi="Arial" w:cs="Arial"/>
                <w:sz w:val="20"/>
                <w:szCs w:val="20"/>
              </w:rPr>
              <w:t>0</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3.7 – 11.8</w:t>
            </w:r>
          </w:p>
        </w:tc>
      </w:tr>
      <w:tr w:rsidR="006C3BDC" w:rsidRPr="00CF7E8C" w:rsidTr="00325D60">
        <w:trPr>
          <w:trHeight w:val="177"/>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2018/02828/PA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124</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91.9</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16.7 – 22.4</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2017/07024/PA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233</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94.8</w:t>
            </w:r>
          </w:p>
        </w:tc>
        <w:tc>
          <w:tcPr>
            <w:tcW w:w="2014"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 xml:space="preserve">No NDSS </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2018/07578/PA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Large Scale</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161</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N/A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2017/01428/PA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North West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20</w:t>
            </w:r>
          </w:p>
        </w:tc>
        <w:tc>
          <w:tcPr>
            <w:tcW w:w="1842"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65</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18.9</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2016/08631/PA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North West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8</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0.8 – 14.7</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2018/05145/PA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North West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15</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2018/08269/PA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North West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10</w:t>
            </w:r>
          </w:p>
        </w:tc>
        <w:tc>
          <w:tcPr>
            <w:tcW w:w="1842"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50</w:t>
            </w:r>
          </w:p>
        </w:tc>
        <w:tc>
          <w:tcPr>
            <w:tcW w:w="2014"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 xml:space="preserve">No NDSS </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2016/09866/PA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North West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12</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2016/10371/PA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10</w:t>
            </w:r>
          </w:p>
        </w:tc>
        <w:tc>
          <w:tcPr>
            <w:tcW w:w="1842"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60</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5.2 – 17.4</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2017/00544/PA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32</w:t>
            </w:r>
          </w:p>
        </w:tc>
        <w:tc>
          <w:tcPr>
            <w:tcW w:w="1842"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59.</w:t>
            </w:r>
            <w:r>
              <w:rPr>
                <w:rFonts w:ascii="Arial" w:hAnsi="Arial" w:cs="Arial"/>
                <w:sz w:val="20"/>
                <w:szCs w:val="20"/>
              </w:rPr>
              <w:t>4</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0.6 – 18.0</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2017/10701/PA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67</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2016/10683/PA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146</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2018/10092/PA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40</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95</w:t>
            </w:r>
          </w:p>
        </w:tc>
        <w:tc>
          <w:tcPr>
            <w:tcW w:w="2014"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5.7 – 7.1</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2016/09442/PA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South</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12</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2016/08455/PA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South</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12</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7.9 – 18.1</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2017/07064/PA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South</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12</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2017/07682/PA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South</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28</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42.9</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11.2 – 23.8</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Pr>
                <w:rFonts w:ascii="Arial" w:hAnsi="Arial" w:cs="Arial"/>
                <w:color w:val="000000"/>
                <w:sz w:val="20"/>
                <w:szCs w:val="20"/>
              </w:rPr>
              <w:t>2017/07628/PA</w:t>
            </w:r>
          </w:p>
        </w:tc>
        <w:tc>
          <w:tcPr>
            <w:tcW w:w="1951"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 xml:space="preserve">Small-Scale Major </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South</w:t>
            </w:r>
          </w:p>
        </w:tc>
        <w:tc>
          <w:tcPr>
            <w:tcW w:w="1276" w:type="dxa"/>
            <w:shd w:val="clear" w:color="auto" w:fill="auto"/>
          </w:tcPr>
          <w:p w:rsidR="006C3BDC" w:rsidRDefault="006C3BDC" w:rsidP="003F053E">
            <w:pPr>
              <w:jc w:val="center"/>
              <w:rPr>
                <w:rFonts w:ascii="Arial" w:hAnsi="Arial" w:cs="Arial"/>
                <w:sz w:val="20"/>
                <w:szCs w:val="20"/>
              </w:rPr>
            </w:pPr>
            <w:r>
              <w:rPr>
                <w:rFonts w:ascii="Arial" w:hAnsi="Arial" w:cs="Arial"/>
                <w:sz w:val="20"/>
                <w:szCs w:val="20"/>
              </w:rPr>
              <w:t>12</w:t>
            </w:r>
          </w:p>
        </w:tc>
        <w:tc>
          <w:tcPr>
            <w:tcW w:w="1842" w:type="dxa"/>
            <w:shd w:val="clear" w:color="auto" w:fill="FF0000"/>
          </w:tcPr>
          <w:p w:rsidR="006C3BDC" w:rsidRPr="00CF7E8C" w:rsidRDefault="006C3BDC" w:rsidP="003F053E">
            <w:pPr>
              <w:jc w:val="center"/>
              <w:rPr>
                <w:rFonts w:ascii="Arial" w:hAnsi="Arial" w:cs="Arial"/>
                <w:sz w:val="20"/>
                <w:szCs w:val="20"/>
              </w:rPr>
            </w:pPr>
            <w:r>
              <w:rPr>
                <w:rFonts w:ascii="Arial" w:hAnsi="Arial" w:cs="Arial"/>
                <w:sz w:val="20"/>
                <w:szCs w:val="20"/>
              </w:rPr>
              <w:t>0</w:t>
            </w:r>
          </w:p>
        </w:tc>
        <w:tc>
          <w:tcPr>
            <w:tcW w:w="2014" w:type="dxa"/>
            <w:shd w:val="clear" w:color="auto" w:fill="FF0000"/>
          </w:tcPr>
          <w:p w:rsidR="006C3BDC" w:rsidRPr="00CF7E8C" w:rsidRDefault="006C3BDC" w:rsidP="003F053E">
            <w:pPr>
              <w:jc w:val="center"/>
              <w:rPr>
                <w:rFonts w:ascii="Arial" w:hAnsi="Arial" w:cs="Arial"/>
                <w:sz w:val="20"/>
                <w:szCs w:val="20"/>
              </w:rPr>
            </w:pPr>
            <w:r>
              <w:rPr>
                <w:rFonts w:ascii="Arial" w:hAnsi="Arial" w:cs="Arial"/>
                <w:sz w:val="20"/>
                <w:szCs w:val="20"/>
              </w:rPr>
              <w:t>6.7 - 19</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2016/07628/PA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64</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1.6</w:t>
            </w:r>
          </w:p>
        </w:tc>
        <w:tc>
          <w:tcPr>
            <w:tcW w:w="2014"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7.0 – 7.1</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2017/00077/PA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136</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83.</w:t>
            </w:r>
            <w:r>
              <w:rPr>
                <w:rFonts w:ascii="Arial" w:hAnsi="Arial" w:cs="Arial"/>
                <w:sz w:val="20"/>
                <w:szCs w:val="20"/>
              </w:rPr>
              <w:t>8</w:t>
            </w:r>
          </w:p>
        </w:tc>
        <w:tc>
          <w:tcPr>
            <w:tcW w:w="2014"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0.7 – 10.9</w:t>
            </w:r>
          </w:p>
        </w:tc>
      </w:tr>
      <w:tr w:rsidR="006C3BDC" w:rsidRPr="00CF7E8C" w:rsidTr="00325D60">
        <w:trPr>
          <w:trHeight w:val="17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2017/07927/PA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26</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80.</w:t>
            </w:r>
            <w:r>
              <w:rPr>
                <w:rFonts w:ascii="Arial" w:hAnsi="Arial" w:cs="Arial"/>
                <w:sz w:val="20"/>
                <w:szCs w:val="20"/>
              </w:rPr>
              <w:t>8</w:t>
            </w:r>
          </w:p>
        </w:tc>
        <w:tc>
          <w:tcPr>
            <w:tcW w:w="2014"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 xml:space="preserve">No </w:t>
            </w:r>
            <w:r w:rsidRPr="00CF7E8C">
              <w:rPr>
                <w:rFonts w:ascii="Arial" w:hAnsi="Arial" w:cs="Arial"/>
                <w:sz w:val="20"/>
                <w:szCs w:val="20"/>
              </w:rPr>
              <w:t xml:space="preserve">NDSS </w:t>
            </w:r>
          </w:p>
        </w:tc>
      </w:tr>
      <w:tr w:rsidR="006C3BDC" w:rsidRPr="00CF7E8C" w:rsidTr="00325D60">
        <w:trPr>
          <w:trHeight w:val="130"/>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2017/07182/PA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5</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115"/>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2018/00037/PA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Small-Scale Major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14</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w:t>
            </w:r>
          </w:p>
        </w:tc>
        <w:tc>
          <w:tcPr>
            <w:tcW w:w="2014"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7.1 – 8.9</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2016/08063/PA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North West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12.9</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2017/07245/PA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North West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4</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13.8 – 15.4</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2017/02889/PA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North West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7</w:t>
            </w:r>
          </w:p>
        </w:tc>
        <w:tc>
          <w:tcPr>
            <w:tcW w:w="1842"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85.7</w:t>
            </w:r>
          </w:p>
        </w:tc>
        <w:tc>
          <w:tcPr>
            <w:tcW w:w="2014"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0.1</w:t>
            </w:r>
          </w:p>
        </w:tc>
      </w:tr>
      <w:tr w:rsidR="006C3BDC" w:rsidRPr="00CF7E8C" w:rsidTr="00325D60">
        <w:trPr>
          <w:trHeight w:val="89"/>
        </w:trPr>
        <w:tc>
          <w:tcPr>
            <w:tcW w:w="1701" w:type="dxa"/>
            <w:shd w:val="clear" w:color="auto" w:fill="auto"/>
          </w:tcPr>
          <w:p w:rsidR="006C3BDC" w:rsidRPr="00DA24F7" w:rsidRDefault="006C3BDC" w:rsidP="003F053E">
            <w:pPr>
              <w:jc w:val="center"/>
              <w:rPr>
                <w:rFonts w:ascii="Arial" w:hAnsi="Arial" w:cs="Arial"/>
                <w:color w:val="000000"/>
                <w:sz w:val="20"/>
                <w:szCs w:val="20"/>
              </w:rPr>
            </w:pPr>
            <w:r w:rsidRPr="00DA24F7">
              <w:rPr>
                <w:rFonts w:ascii="Arial" w:hAnsi="Arial" w:cs="Arial"/>
                <w:color w:val="000000"/>
                <w:sz w:val="20"/>
                <w:szCs w:val="20"/>
              </w:rPr>
              <w:t>2017/06546/PA</w:t>
            </w:r>
          </w:p>
        </w:tc>
        <w:tc>
          <w:tcPr>
            <w:tcW w:w="1951" w:type="dxa"/>
            <w:shd w:val="clear" w:color="auto" w:fill="auto"/>
          </w:tcPr>
          <w:p w:rsidR="006C3BDC" w:rsidRPr="00DA24F7" w:rsidRDefault="006C3BDC" w:rsidP="003F053E">
            <w:pPr>
              <w:jc w:val="center"/>
              <w:rPr>
                <w:rFonts w:ascii="Arial" w:hAnsi="Arial" w:cs="Arial"/>
                <w:sz w:val="20"/>
                <w:szCs w:val="20"/>
              </w:rPr>
            </w:pPr>
            <w:r w:rsidRPr="00DA24F7">
              <w:rPr>
                <w:rFonts w:ascii="Arial" w:hAnsi="Arial" w:cs="Arial"/>
                <w:sz w:val="20"/>
                <w:szCs w:val="20"/>
              </w:rPr>
              <w:t>Minor</w:t>
            </w:r>
          </w:p>
        </w:tc>
        <w:tc>
          <w:tcPr>
            <w:tcW w:w="1276" w:type="dxa"/>
            <w:shd w:val="clear" w:color="auto" w:fill="auto"/>
          </w:tcPr>
          <w:p w:rsidR="006C3BDC" w:rsidRPr="00DA24F7" w:rsidRDefault="006C3BDC" w:rsidP="003F053E">
            <w:pPr>
              <w:jc w:val="center"/>
              <w:rPr>
                <w:rFonts w:ascii="Arial" w:hAnsi="Arial" w:cs="Arial"/>
                <w:sz w:val="20"/>
                <w:szCs w:val="20"/>
              </w:rPr>
            </w:pPr>
            <w:r w:rsidRPr="00DA24F7">
              <w:rPr>
                <w:rFonts w:ascii="Arial" w:hAnsi="Arial" w:cs="Arial"/>
                <w:sz w:val="20"/>
                <w:szCs w:val="20"/>
              </w:rPr>
              <w:t>North West</w:t>
            </w:r>
          </w:p>
        </w:tc>
        <w:tc>
          <w:tcPr>
            <w:tcW w:w="1276" w:type="dxa"/>
            <w:shd w:val="clear" w:color="auto" w:fill="auto"/>
          </w:tcPr>
          <w:p w:rsidR="006C3BDC" w:rsidRPr="00DA24F7" w:rsidRDefault="006C3BDC" w:rsidP="003F053E">
            <w:pPr>
              <w:jc w:val="center"/>
              <w:rPr>
                <w:rFonts w:ascii="Arial" w:hAnsi="Arial" w:cs="Arial"/>
                <w:sz w:val="20"/>
                <w:szCs w:val="20"/>
              </w:rPr>
            </w:pPr>
            <w:r w:rsidRPr="00DA24F7">
              <w:rPr>
                <w:rFonts w:ascii="Arial" w:hAnsi="Arial" w:cs="Arial"/>
              </w:rPr>
              <w:t>1</w:t>
            </w:r>
          </w:p>
        </w:tc>
        <w:tc>
          <w:tcPr>
            <w:tcW w:w="1842" w:type="dxa"/>
            <w:shd w:val="clear" w:color="auto" w:fill="FF0000"/>
          </w:tcPr>
          <w:p w:rsidR="006C3BDC" w:rsidRPr="00DA24F7" w:rsidRDefault="006C3BDC" w:rsidP="003F053E">
            <w:pPr>
              <w:jc w:val="center"/>
              <w:rPr>
                <w:rFonts w:ascii="Arial" w:hAnsi="Arial" w:cs="Arial"/>
                <w:sz w:val="20"/>
                <w:szCs w:val="20"/>
              </w:rPr>
            </w:pPr>
            <w:r w:rsidRPr="00DA24F7">
              <w:rPr>
                <w:rFonts w:ascii="Arial" w:hAnsi="Arial" w:cs="Arial"/>
                <w:sz w:val="20"/>
                <w:szCs w:val="20"/>
              </w:rPr>
              <w:t>0</w:t>
            </w:r>
          </w:p>
        </w:tc>
        <w:tc>
          <w:tcPr>
            <w:tcW w:w="2014" w:type="dxa"/>
            <w:shd w:val="clear" w:color="auto" w:fill="auto"/>
          </w:tcPr>
          <w:p w:rsidR="006C3BDC" w:rsidRPr="00DA24F7" w:rsidRDefault="006C3BDC" w:rsidP="003F053E">
            <w:pPr>
              <w:jc w:val="center"/>
              <w:rPr>
                <w:rFonts w:ascii="Arial" w:hAnsi="Arial" w:cs="Arial"/>
                <w:sz w:val="20"/>
                <w:szCs w:val="20"/>
              </w:rPr>
            </w:pPr>
            <w:r w:rsidRPr="00DA24F7">
              <w:rPr>
                <w:rFonts w:ascii="Arial" w:hAnsi="Arial" w:cs="Arial"/>
              </w:rPr>
              <w:t xml:space="preserve"> </w:t>
            </w:r>
            <w:r w:rsidRPr="00DA24F7">
              <w:rPr>
                <w:rFonts w:ascii="Arial" w:hAnsi="Arial" w:cs="Arial"/>
                <w:sz w:val="20"/>
                <w:szCs w:val="20"/>
              </w:rPr>
              <w:t>No NDSS</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2018/02559/PA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North West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2018/02831/PA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3</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33.3</w:t>
            </w:r>
          </w:p>
        </w:tc>
        <w:tc>
          <w:tcPr>
            <w:tcW w:w="2014"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7.2</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2018/09611/PA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w:t>
            </w:r>
          </w:p>
        </w:tc>
        <w:tc>
          <w:tcPr>
            <w:tcW w:w="2014"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1.4</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2017/00934/PA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2</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w:t>
            </w:r>
          </w:p>
        </w:tc>
        <w:tc>
          <w:tcPr>
            <w:tcW w:w="2014"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6.4</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lastRenderedPageBreak/>
              <w:t>2018/08051/PA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2018/02257/PA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City Centre</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6</w:t>
            </w:r>
          </w:p>
        </w:tc>
        <w:tc>
          <w:tcPr>
            <w:tcW w:w="1842"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83.3</w:t>
            </w:r>
          </w:p>
        </w:tc>
        <w:tc>
          <w:tcPr>
            <w:tcW w:w="2014"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13.0</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2016/09819/PA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South</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2018/03674/PA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South</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2018/01297/PA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South</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5</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2017/09739/PA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South</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9</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2018/07934/PA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South</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2</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2017/07183/PA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8</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2018/04519/PA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w:t>
            </w:r>
          </w:p>
        </w:tc>
        <w:tc>
          <w:tcPr>
            <w:tcW w:w="1842" w:type="dxa"/>
            <w:shd w:val="clear" w:color="auto" w:fill="92D050"/>
          </w:tcPr>
          <w:p w:rsidR="006C3BDC" w:rsidRPr="00CF7E8C" w:rsidRDefault="006C3BDC" w:rsidP="003F053E">
            <w:pPr>
              <w:jc w:val="center"/>
              <w:rPr>
                <w:rFonts w:ascii="Arial" w:hAnsi="Arial" w:cs="Arial"/>
                <w:sz w:val="20"/>
                <w:szCs w:val="20"/>
              </w:rPr>
            </w:pPr>
            <w:r w:rsidRPr="00CF7E8C">
              <w:rPr>
                <w:rFonts w:ascii="Arial" w:hAnsi="Arial" w:cs="Arial"/>
                <w:sz w:val="20"/>
                <w:szCs w:val="20"/>
              </w:rPr>
              <w:t>100</w:t>
            </w:r>
          </w:p>
        </w:tc>
        <w:tc>
          <w:tcPr>
            <w:tcW w:w="2014" w:type="dxa"/>
            <w:shd w:val="clear" w:color="auto" w:fill="92D050"/>
          </w:tcPr>
          <w:p w:rsidR="006C3BDC" w:rsidRPr="00CF7E8C" w:rsidRDefault="006C3BDC" w:rsidP="003F053E">
            <w:pPr>
              <w:jc w:val="center"/>
              <w:rPr>
                <w:rFonts w:ascii="Arial" w:hAnsi="Arial" w:cs="Arial"/>
                <w:sz w:val="20"/>
                <w:szCs w:val="20"/>
              </w:rPr>
            </w:pPr>
            <w:r>
              <w:rPr>
                <w:rFonts w:ascii="Arial" w:hAnsi="Arial" w:cs="Arial"/>
                <w:sz w:val="20"/>
                <w:szCs w:val="20"/>
              </w:rPr>
              <w:t>N</w:t>
            </w:r>
            <w:r w:rsidRPr="00CF7E8C">
              <w:rPr>
                <w:rFonts w:ascii="Arial" w:hAnsi="Arial" w:cs="Arial"/>
                <w:sz w:val="20"/>
                <w:szCs w:val="20"/>
              </w:rPr>
              <w:t>/</w:t>
            </w:r>
            <w:r>
              <w:rPr>
                <w:rFonts w:ascii="Arial" w:hAnsi="Arial" w:cs="Arial"/>
                <w:sz w:val="20"/>
                <w:szCs w:val="20"/>
              </w:rPr>
              <w:t>A</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2017/10477/PA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9</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11.1</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7.1 – 24.3</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2019/03200/PA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1</w:t>
            </w:r>
          </w:p>
        </w:tc>
        <w:tc>
          <w:tcPr>
            <w:tcW w:w="1842"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0</w:t>
            </w:r>
          </w:p>
        </w:tc>
        <w:tc>
          <w:tcPr>
            <w:tcW w:w="2014" w:type="dxa"/>
            <w:shd w:val="clear" w:color="auto" w:fill="FF0000"/>
          </w:tcPr>
          <w:p w:rsidR="006C3BDC" w:rsidRPr="00CF7E8C" w:rsidRDefault="006C3BDC" w:rsidP="003F053E">
            <w:pPr>
              <w:jc w:val="center"/>
              <w:rPr>
                <w:rFonts w:ascii="Arial" w:hAnsi="Arial" w:cs="Arial"/>
                <w:sz w:val="20"/>
                <w:szCs w:val="20"/>
              </w:rPr>
            </w:pPr>
            <w:r w:rsidRPr="00CF7E8C">
              <w:rPr>
                <w:rFonts w:ascii="Arial" w:hAnsi="Arial" w:cs="Arial"/>
                <w:sz w:val="20"/>
                <w:szCs w:val="20"/>
              </w:rPr>
              <w:t>27.9</w:t>
            </w:r>
          </w:p>
        </w:tc>
      </w:tr>
      <w:tr w:rsidR="006C3BDC" w:rsidRPr="00CF7E8C" w:rsidTr="00325D60">
        <w:trPr>
          <w:trHeight w:val="89"/>
        </w:trPr>
        <w:tc>
          <w:tcPr>
            <w:tcW w:w="1701" w:type="dxa"/>
            <w:shd w:val="clear" w:color="auto" w:fill="auto"/>
          </w:tcPr>
          <w:p w:rsidR="006C3BDC" w:rsidRPr="00CF7E8C" w:rsidRDefault="006C3BDC" w:rsidP="003F053E">
            <w:pPr>
              <w:jc w:val="center"/>
              <w:rPr>
                <w:rFonts w:ascii="Arial" w:hAnsi="Arial" w:cs="Arial"/>
                <w:color w:val="000000"/>
                <w:sz w:val="20"/>
                <w:szCs w:val="20"/>
              </w:rPr>
            </w:pPr>
            <w:r w:rsidRPr="00CF7E8C">
              <w:rPr>
                <w:rFonts w:ascii="Arial" w:hAnsi="Arial" w:cs="Arial"/>
                <w:color w:val="000000"/>
                <w:sz w:val="20"/>
                <w:szCs w:val="20"/>
              </w:rPr>
              <w:t>2018/08576/PA</w:t>
            </w:r>
          </w:p>
        </w:tc>
        <w:tc>
          <w:tcPr>
            <w:tcW w:w="1951"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Minor</w:t>
            </w:r>
          </w:p>
        </w:tc>
        <w:tc>
          <w:tcPr>
            <w:tcW w:w="1276" w:type="dxa"/>
            <w:shd w:val="clear" w:color="auto" w:fill="auto"/>
          </w:tcPr>
          <w:p w:rsidR="006C3BDC" w:rsidRPr="00CF7E8C" w:rsidRDefault="006C3BDC" w:rsidP="003F053E">
            <w:pPr>
              <w:jc w:val="center"/>
              <w:rPr>
                <w:rFonts w:ascii="Arial" w:hAnsi="Arial" w:cs="Arial"/>
                <w:sz w:val="20"/>
                <w:szCs w:val="20"/>
              </w:rPr>
            </w:pPr>
            <w:r w:rsidRPr="00CF7E8C">
              <w:rPr>
                <w:rFonts w:ascii="Arial" w:hAnsi="Arial" w:cs="Arial"/>
                <w:sz w:val="20"/>
                <w:szCs w:val="20"/>
              </w:rPr>
              <w:t>East</w:t>
            </w:r>
          </w:p>
        </w:tc>
        <w:tc>
          <w:tcPr>
            <w:tcW w:w="1276" w:type="dxa"/>
            <w:shd w:val="clear" w:color="auto" w:fill="auto"/>
          </w:tcPr>
          <w:p w:rsidR="006C3BDC" w:rsidRPr="00CF7E8C" w:rsidRDefault="006C3BDC" w:rsidP="003F053E">
            <w:pPr>
              <w:jc w:val="center"/>
              <w:rPr>
                <w:rFonts w:ascii="Arial" w:hAnsi="Arial" w:cs="Arial"/>
                <w:sz w:val="20"/>
                <w:szCs w:val="20"/>
              </w:rPr>
            </w:pPr>
            <w:r>
              <w:rPr>
                <w:rFonts w:ascii="Arial" w:hAnsi="Arial" w:cs="Arial"/>
                <w:sz w:val="20"/>
                <w:szCs w:val="20"/>
              </w:rPr>
              <w:t>6</w:t>
            </w:r>
          </w:p>
        </w:tc>
        <w:tc>
          <w:tcPr>
            <w:tcW w:w="1842"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50</w:t>
            </w:r>
          </w:p>
        </w:tc>
        <w:tc>
          <w:tcPr>
            <w:tcW w:w="2014" w:type="dxa"/>
            <w:shd w:val="clear" w:color="auto" w:fill="FFC000"/>
          </w:tcPr>
          <w:p w:rsidR="006C3BDC" w:rsidRPr="00CF7E8C" w:rsidRDefault="006C3BDC" w:rsidP="003F053E">
            <w:pPr>
              <w:jc w:val="center"/>
              <w:rPr>
                <w:rFonts w:ascii="Arial" w:hAnsi="Arial" w:cs="Arial"/>
                <w:sz w:val="20"/>
                <w:szCs w:val="20"/>
              </w:rPr>
            </w:pPr>
            <w:r w:rsidRPr="00CF7E8C">
              <w:rPr>
                <w:rFonts w:ascii="Arial" w:hAnsi="Arial" w:cs="Arial"/>
                <w:sz w:val="20"/>
                <w:szCs w:val="20"/>
              </w:rPr>
              <w:t>5.7</w:t>
            </w:r>
          </w:p>
        </w:tc>
      </w:tr>
    </w:tbl>
    <w:p w:rsidR="006C3BDC" w:rsidRDefault="006C3BDC" w:rsidP="006C3BDC">
      <w:pPr>
        <w:rPr>
          <w:rFonts w:ascii="Arial" w:hAnsi="Arial" w:cs="Arial"/>
          <w:sz w:val="22"/>
          <w:szCs w:val="22"/>
        </w:rPr>
      </w:pPr>
    </w:p>
    <w:p w:rsidR="006C3BDC" w:rsidRPr="009C6B8F" w:rsidRDefault="006C3BDC" w:rsidP="006C3BDC">
      <w:pPr>
        <w:rPr>
          <w:rFonts w:ascii="Arial" w:hAnsi="Arial" w:cs="Arial"/>
          <w:b/>
          <w:sz w:val="22"/>
          <w:szCs w:val="22"/>
        </w:rPr>
      </w:pPr>
      <w:r w:rsidRPr="009C6B8F">
        <w:rPr>
          <w:rFonts w:ascii="Arial" w:hAnsi="Arial" w:cs="Arial"/>
          <w:b/>
          <w:sz w:val="22"/>
          <w:szCs w:val="22"/>
        </w:rPr>
        <w:t>Key</w:t>
      </w:r>
    </w:p>
    <w:p w:rsidR="006C3BDC" w:rsidRDefault="006C3BDC" w:rsidP="006C3BDC">
      <w:pPr>
        <w:rPr>
          <w:rFonts w:ascii="Arial" w:hAnsi="Arial" w:cs="Arial"/>
          <w:sz w:val="22"/>
          <w:szCs w:val="22"/>
        </w:rPr>
      </w:pPr>
    </w:p>
    <w:p w:rsidR="006C3BDC" w:rsidRDefault="006C3BDC" w:rsidP="006C3BDC">
      <w:pPr>
        <w:rPr>
          <w:rFonts w:ascii="Arial" w:hAnsi="Arial" w:cs="Arial"/>
          <w:sz w:val="22"/>
          <w:szCs w:val="22"/>
        </w:rPr>
      </w:pPr>
      <w:r>
        <w:rPr>
          <w:rFonts w:ascii="Arial" w:hAnsi="Arial" w:cs="Arial"/>
          <w:sz w:val="22"/>
          <w:szCs w:val="22"/>
        </w:rPr>
        <w:t xml:space="preserve">% of </w:t>
      </w:r>
      <w:r w:rsidR="0034352A">
        <w:rPr>
          <w:rFonts w:ascii="Arial" w:hAnsi="Arial" w:cs="Arial"/>
          <w:sz w:val="22"/>
          <w:szCs w:val="22"/>
        </w:rPr>
        <w:t xml:space="preserve">fully </w:t>
      </w:r>
      <w:r>
        <w:rPr>
          <w:rFonts w:ascii="Arial" w:hAnsi="Arial" w:cs="Arial"/>
          <w:sz w:val="22"/>
          <w:szCs w:val="22"/>
        </w:rPr>
        <w:t>compliant dwellings in scheme</w:t>
      </w:r>
      <w:r>
        <w:rPr>
          <w:rFonts w:ascii="Arial" w:hAnsi="Arial" w:cs="Arial"/>
          <w:sz w:val="22"/>
          <w:szCs w:val="22"/>
        </w:rPr>
        <w:tab/>
      </w:r>
      <w:r>
        <w:rPr>
          <w:rFonts w:ascii="Arial" w:hAnsi="Arial" w:cs="Arial"/>
          <w:sz w:val="22"/>
          <w:szCs w:val="22"/>
        </w:rPr>
        <w:tab/>
        <w:t>% deviation of non-compliant dwellings</w:t>
      </w:r>
    </w:p>
    <w:p w:rsidR="006C3BDC" w:rsidRDefault="006C3BDC" w:rsidP="006C3BDC">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2336" behindDoc="0" locked="0" layoutInCell="1" allowOverlap="1" wp14:anchorId="4D10D954" wp14:editId="1A6E45E2">
                <wp:simplePos x="0" y="0"/>
                <wp:positionH relativeFrom="column">
                  <wp:posOffset>3162300</wp:posOffset>
                </wp:positionH>
                <wp:positionV relativeFrom="paragraph">
                  <wp:posOffset>141605</wp:posOffset>
                </wp:positionV>
                <wp:extent cx="447675" cy="171450"/>
                <wp:effectExtent l="57150" t="19050" r="85725" b="95250"/>
                <wp:wrapNone/>
                <wp:docPr id="5" name="Rectangle 5"/>
                <wp:cNvGraphicFramePr/>
                <a:graphic xmlns:a="http://schemas.openxmlformats.org/drawingml/2006/main">
                  <a:graphicData uri="http://schemas.microsoft.com/office/word/2010/wordprocessingShape">
                    <wps:wsp>
                      <wps:cNvSpPr/>
                      <wps:spPr>
                        <a:xfrm>
                          <a:off x="0" y="0"/>
                          <a:ext cx="447675" cy="171450"/>
                        </a:xfrm>
                        <a:prstGeom prst="rect">
                          <a:avLst/>
                        </a:prstGeom>
                        <a:solidFill>
                          <a:srgbClr val="92D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D625C" id="Rectangle 5" o:spid="_x0000_s1026" style="position:absolute;margin-left:249pt;margin-top:11.15pt;width:35.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" fillcolor="#92d050" strokecolor="#4579b8 [3044]">
                <v:shadow on="t" color="black" opacity="22937f" origin=",.5" offset="0,.63889mm"/>
              </v:rect>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137BA4D4" wp14:editId="096F1590">
                <wp:simplePos x="0" y="0"/>
                <wp:positionH relativeFrom="column">
                  <wp:posOffset>57150</wp:posOffset>
                </wp:positionH>
                <wp:positionV relativeFrom="paragraph">
                  <wp:posOffset>145415</wp:posOffset>
                </wp:positionV>
                <wp:extent cx="447675" cy="171450"/>
                <wp:effectExtent l="57150" t="19050" r="85725" b="95250"/>
                <wp:wrapNone/>
                <wp:docPr id="2" name="Rectangle 2"/>
                <wp:cNvGraphicFramePr/>
                <a:graphic xmlns:a="http://schemas.openxmlformats.org/drawingml/2006/main">
                  <a:graphicData uri="http://schemas.microsoft.com/office/word/2010/wordprocessingShape">
                    <wps:wsp>
                      <wps:cNvSpPr/>
                      <wps:spPr>
                        <a:xfrm>
                          <a:off x="0" y="0"/>
                          <a:ext cx="447675" cy="171450"/>
                        </a:xfrm>
                        <a:prstGeom prst="rect">
                          <a:avLst/>
                        </a:prstGeom>
                        <a:solidFill>
                          <a:srgbClr val="92D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A5BC6" id="Rectangle 2" o:spid="_x0000_s1026" style="position:absolute;margin-left:4.5pt;margin-top:11.45pt;width:35.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" fillcolor="#92d050" strokecolor="#4579b8 [3044]">
                <v:shadow on="t" color="black" opacity="22937f" origin=",.5" offset="0,.63889mm"/>
              </v:rect>
            </w:pict>
          </mc:Fallback>
        </mc:AlternateContent>
      </w:r>
    </w:p>
    <w:p w:rsidR="006C3BDC" w:rsidRPr="009C6B8F" w:rsidRDefault="006C3BDC" w:rsidP="006C3BDC">
      <w:pPr>
        <w:ind w:left="720"/>
        <w:rPr>
          <w:rFonts w:ascii="Arial" w:hAnsi="Arial" w:cs="Arial"/>
          <w:sz w:val="22"/>
          <w:szCs w:val="22"/>
        </w:rPr>
      </w:pPr>
      <w:r>
        <w:rPr>
          <w:rFonts w:ascii="Arial" w:hAnsi="Arial" w:cs="Arial"/>
          <w:sz w:val="22"/>
          <w:szCs w:val="22"/>
        </w:rPr>
        <w:t xml:space="preserve">   </w:t>
      </w:r>
      <w:r w:rsidRPr="00F832AF">
        <w:rPr>
          <w:rFonts w:ascii="Arial" w:hAnsi="Arial" w:cs="Arial"/>
          <w:sz w:val="20"/>
          <w:szCs w:val="20"/>
        </w:rPr>
        <w:t>100</w:t>
      </w:r>
      <w:r>
        <w:rPr>
          <w:rFonts w:ascii="Arial" w:hAnsi="Arial" w:cs="Arial"/>
          <w:sz w:val="20"/>
          <w:szCs w:val="20"/>
        </w:rPr>
        <w:t xml:space="preserve"> -75</w:t>
      </w:r>
      <w:r w:rsidRPr="00F832AF">
        <w:rPr>
          <w:rFonts w:ascii="Arial" w:hAnsi="Arial" w:cs="Arial"/>
          <w:sz w:val="20"/>
          <w:szCs w:val="20"/>
        </w:rPr>
        <w:t xml:space="preserve">% </w:t>
      </w:r>
      <w:r>
        <w:rPr>
          <w:rFonts w:ascii="Arial" w:hAnsi="Arial" w:cs="Arial"/>
          <w:sz w:val="20"/>
          <w:szCs w:val="20"/>
        </w:rPr>
        <w:t>of dwellings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N/A because </w:t>
      </w:r>
      <w:r w:rsidRPr="00F832AF">
        <w:rPr>
          <w:rFonts w:ascii="Arial" w:hAnsi="Arial" w:cs="Arial"/>
          <w:sz w:val="20"/>
          <w:szCs w:val="20"/>
        </w:rPr>
        <w:t>100% compliant</w:t>
      </w:r>
    </w:p>
    <w:p w:rsidR="006C3BDC" w:rsidRPr="00F832AF" w:rsidRDefault="006C3BDC" w:rsidP="006C3BDC">
      <w:pPr>
        <w:rPr>
          <w:rFonts w:ascii="Arial" w:hAnsi="Arial" w:cs="Arial"/>
          <w:sz w:val="20"/>
          <w:szCs w:val="20"/>
        </w:rPr>
      </w:pPr>
      <w:r w:rsidRPr="00F832AF">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059ADFCD" wp14:editId="21886E93">
                <wp:simplePos x="0" y="0"/>
                <wp:positionH relativeFrom="column">
                  <wp:posOffset>3162300</wp:posOffset>
                </wp:positionH>
                <wp:positionV relativeFrom="paragraph">
                  <wp:posOffset>130175</wp:posOffset>
                </wp:positionV>
                <wp:extent cx="447675" cy="171450"/>
                <wp:effectExtent l="57150" t="19050" r="85725" b="95250"/>
                <wp:wrapNone/>
                <wp:docPr id="6" name="Rectangle 6"/>
                <wp:cNvGraphicFramePr/>
                <a:graphic xmlns:a="http://schemas.openxmlformats.org/drawingml/2006/main">
                  <a:graphicData uri="http://schemas.microsoft.com/office/word/2010/wordprocessingShape">
                    <wps:wsp>
                      <wps:cNvSpPr/>
                      <wps:spPr>
                        <a:xfrm>
                          <a:off x="0" y="0"/>
                          <a:ext cx="447675" cy="171450"/>
                        </a:xfrm>
                        <a:prstGeom prst="rect">
                          <a:avLst/>
                        </a:prstGeom>
                        <a:solidFill>
                          <a:srgbClr val="FFC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460176" id="Rectangle 6" o:spid="_x0000_s1026" style="position:absolute;margin-left:249pt;margin-top:10.25pt;width:35.25pt;height:1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" fillcolor="#ffc000" strokecolor="#4579b8 [3044]">
                <v:shadow on="t" color="black" opacity="22937f" origin=",.5" offset="0,.63889mm"/>
              </v:rect>
            </w:pict>
          </mc:Fallback>
        </mc:AlternateContent>
      </w:r>
      <w:r w:rsidRPr="00F832AF">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0A06D299" wp14:editId="42C9FF37">
                <wp:simplePos x="0" y="0"/>
                <wp:positionH relativeFrom="column">
                  <wp:posOffset>57150</wp:posOffset>
                </wp:positionH>
                <wp:positionV relativeFrom="paragraph">
                  <wp:posOffset>151130</wp:posOffset>
                </wp:positionV>
                <wp:extent cx="447675" cy="17145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447675" cy="171450"/>
                        </a:xfrm>
                        <a:prstGeom prst="rect">
                          <a:avLst/>
                        </a:prstGeom>
                        <a:solidFill>
                          <a:srgbClr val="FFC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259DC" id="Rectangle 3" o:spid="_x0000_s1026" style="position:absolute;margin-left:4.5pt;margin-top:11.9pt;width:35.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" fillcolor="#ffc000" strokecolor="#4579b8 [3044]">
                <v:shadow on="t" color="black" opacity="22937f" origin=",.5" offset="0,.63889mm"/>
              </v:rect>
            </w:pict>
          </mc:Fallback>
        </mc:AlternateContent>
      </w:r>
      <w:r w:rsidRPr="00F832AF">
        <w:rPr>
          <w:rFonts w:ascii="Arial" w:hAnsi="Arial" w:cs="Arial"/>
          <w:sz w:val="20"/>
          <w:szCs w:val="20"/>
        </w:rPr>
        <w:tab/>
      </w:r>
    </w:p>
    <w:p w:rsidR="006C3BDC" w:rsidRPr="00F832AF" w:rsidRDefault="006C3BDC" w:rsidP="006C3BDC">
      <w:pPr>
        <w:rPr>
          <w:rFonts w:ascii="Arial" w:hAnsi="Arial" w:cs="Arial"/>
          <w:sz w:val="20"/>
          <w:szCs w:val="20"/>
        </w:rPr>
      </w:pPr>
      <w:r w:rsidRPr="00F832AF">
        <w:rPr>
          <w:rFonts w:ascii="Arial" w:hAnsi="Arial" w:cs="Arial"/>
          <w:sz w:val="20"/>
          <w:szCs w:val="20"/>
        </w:rPr>
        <w:tab/>
      </w:r>
      <w:r>
        <w:rPr>
          <w:rFonts w:ascii="Arial" w:hAnsi="Arial" w:cs="Arial"/>
          <w:sz w:val="20"/>
          <w:szCs w:val="20"/>
        </w:rPr>
        <w:t xml:space="preserve">    74 – 50% of dwellings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32AF">
        <w:rPr>
          <w:rFonts w:ascii="Arial" w:hAnsi="Arial" w:cs="Arial"/>
          <w:sz w:val="20"/>
          <w:szCs w:val="20"/>
        </w:rPr>
        <w:t xml:space="preserve">Within 10% </w:t>
      </w:r>
      <w:r>
        <w:rPr>
          <w:rFonts w:ascii="Arial" w:hAnsi="Arial" w:cs="Arial"/>
          <w:sz w:val="20"/>
          <w:szCs w:val="20"/>
        </w:rPr>
        <w:t>below the</w:t>
      </w:r>
      <w:r w:rsidRPr="00F832AF">
        <w:rPr>
          <w:rFonts w:ascii="Arial" w:hAnsi="Arial" w:cs="Arial"/>
          <w:sz w:val="20"/>
          <w:szCs w:val="20"/>
        </w:rPr>
        <w:t xml:space="preserve"> NDSS</w:t>
      </w:r>
    </w:p>
    <w:p w:rsidR="006C3BDC" w:rsidRPr="00F832AF" w:rsidRDefault="006C3BDC" w:rsidP="006C3BDC">
      <w:pPr>
        <w:rPr>
          <w:rFonts w:ascii="Arial" w:hAnsi="Arial" w:cs="Arial"/>
          <w:sz w:val="20"/>
          <w:szCs w:val="20"/>
        </w:rPr>
      </w:pPr>
      <w:r w:rsidRPr="00F832AF">
        <w:rPr>
          <w:rFonts w:ascii="Arial" w:hAnsi="Arial" w:cs="Arial"/>
          <w:noProof/>
          <w:sz w:val="20"/>
          <w:szCs w:val="20"/>
          <w:lang w:val="en-GB" w:eastAsia="en-GB"/>
        </w:rPr>
        <mc:AlternateContent>
          <mc:Choice Requires="wps">
            <w:drawing>
              <wp:anchor distT="0" distB="0" distL="114300" distR="114300" simplePos="0" relativeHeight="251663360" behindDoc="0" locked="0" layoutInCell="1" allowOverlap="1" wp14:anchorId="5A50AD55" wp14:editId="6416733D">
                <wp:simplePos x="0" y="0"/>
                <wp:positionH relativeFrom="column">
                  <wp:posOffset>3171825</wp:posOffset>
                </wp:positionH>
                <wp:positionV relativeFrom="paragraph">
                  <wp:posOffset>142875</wp:posOffset>
                </wp:positionV>
                <wp:extent cx="447675" cy="171450"/>
                <wp:effectExtent l="57150" t="19050" r="85725" b="95250"/>
                <wp:wrapNone/>
                <wp:docPr id="7" name="Rectangle 7"/>
                <wp:cNvGraphicFramePr/>
                <a:graphic xmlns:a="http://schemas.openxmlformats.org/drawingml/2006/main">
                  <a:graphicData uri="http://schemas.microsoft.com/office/word/2010/wordprocessingShape">
                    <wps:wsp>
                      <wps:cNvSpPr/>
                      <wps:spPr>
                        <a:xfrm>
                          <a:off x="0" y="0"/>
                          <a:ext cx="447675" cy="17145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FB056" id="Rectangle 7" o:spid="_x0000_s1026" style="position:absolute;margin-left:249.75pt;margin-top:11.25pt;width:35.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" fillcolor="red" strokecolor="#4579b8 [3044]">
                <v:shadow on="t" color="black" opacity="22937f" origin=",.5" offset="0,.63889mm"/>
              </v:rect>
            </w:pict>
          </mc:Fallback>
        </mc:AlternateContent>
      </w:r>
    </w:p>
    <w:p w:rsidR="006C3BDC" w:rsidRPr="00626DA5" w:rsidRDefault="006C3BDC" w:rsidP="006C3BDC">
      <w:pPr>
        <w:rPr>
          <w:rFonts w:ascii="Arial" w:hAnsi="Arial" w:cs="Arial"/>
          <w:sz w:val="20"/>
          <w:szCs w:val="20"/>
        </w:rPr>
      </w:pPr>
      <w:r w:rsidRPr="00F832AF">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4C4FD170" wp14:editId="2D228D35">
                <wp:simplePos x="0" y="0"/>
                <wp:positionH relativeFrom="column">
                  <wp:posOffset>57150</wp:posOffset>
                </wp:positionH>
                <wp:positionV relativeFrom="paragraph">
                  <wp:posOffset>23495</wp:posOffset>
                </wp:positionV>
                <wp:extent cx="447675" cy="171450"/>
                <wp:effectExtent l="57150" t="19050" r="85725" b="95250"/>
                <wp:wrapNone/>
                <wp:docPr id="4" name="Rectangle 4"/>
                <wp:cNvGraphicFramePr/>
                <a:graphic xmlns:a="http://schemas.openxmlformats.org/drawingml/2006/main">
                  <a:graphicData uri="http://schemas.microsoft.com/office/word/2010/wordprocessingShape">
                    <wps:wsp>
                      <wps:cNvSpPr/>
                      <wps:spPr>
                        <a:xfrm>
                          <a:off x="0" y="0"/>
                          <a:ext cx="447675" cy="17145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0B266" id="Rectangle 4" o:spid="_x0000_s1026" style="position:absolute;margin-left:4.5pt;margin-top:1.85pt;width:35.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" fillcolor="red" strokecolor="#4579b8 [3044]">
                <v:shadow on="t" color="black" opacity="22937f" origin=",.5" offset="0,.63889mm"/>
              </v:rect>
            </w:pict>
          </mc:Fallback>
        </mc:AlternateContent>
      </w:r>
      <w:r w:rsidRPr="00F832AF">
        <w:rPr>
          <w:rFonts w:ascii="Arial" w:hAnsi="Arial" w:cs="Arial"/>
          <w:sz w:val="20"/>
          <w:szCs w:val="20"/>
        </w:rPr>
        <w:tab/>
      </w:r>
      <w:r>
        <w:rPr>
          <w:rFonts w:ascii="Arial" w:hAnsi="Arial" w:cs="Arial"/>
          <w:sz w:val="20"/>
          <w:szCs w:val="20"/>
        </w:rPr>
        <w:t xml:space="preserve">    49% and below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w:t>
      </w:r>
      <w:r w:rsidRPr="00F832AF">
        <w:rPr>
          <w:rFonts w:ascii="Arial" w:hAnsi="Arial" w:cs="Arial"/>
          <w:sz w:val="20"/>
          <w:szCs w:val="20"/>
        </w:rPr>
        <w:t xml:space="preserve">ore than 10% </w:t>
      </w:r>
      <w:r>
        <w:rPr>
          <w:rFonts w:ascii="Arial" w:hAnsi="Arial" w:cs="Arial"/>
          <w:sz w:val="20"/>
          <w:szCs w:val="20"/>
        </w:rPr>
        <w:t>below</w:t>
      </w:r>
      <w:r w:rsidRPr="00F832AF">
        <w:rPr>
          <w:rFonts w:ascii="Arial" w:hAnsi="Arial" w:cs="Arial"/>
          <w:sz w:val="20"/>
          <w:szCs w:val="20"/>
        </w:rPr>
        <w:t xml:space="preserve"> the NDS</w:t>
      </w:r>
      <w:r>
        <w:rPr>
          <w:rFonts w:ascii="Arial" w:hAnsi="Arial" w:cs="Arial"/>
          <w:sz w:val="20"/>
          <w:szCs w:val="20"/>
        </w:rPr>
        <w:t>S</w:t>
      </w:r>
      <w:r>
        <w:rPr>
          <w:rFonts w:ascii="Arial" w:hAnsi="Arial" w:cs="Arial"/>
          <w:sz w:val="22"/>
          <w:szCs w:val="22"/>
        </w:rPr>
        <w:t xml:space="preserve">         </w:t>
      </w:r>
    </w:p>
    <w:p w:rsidR="0034352A" w:rsidRDefault="0034352A" w:rsidP="006C3BDC">
      <w:pPr>
        <w:ind w:left="720"/>
        <w:rPr>
          <w:rFonts w:ascii="Arial" w:hAnsi="Arial" w:cs="Arial"/>
          <w:sz w:val="22"/>
          <w:szCs w:val="22"/>
        </w:rPr>
      </w:pPr>
    </w:p>
    <w:p w:rsidR="0034352A" w:rsidRDefault="0034352A" w:rsidP="00846A20">
      <w:pPr>
        <w:rPr>
          <w:rFonts w:ascii="Arial" w:hAnsi="Arial" w:cs="Arial"/>
          <w:sz w:val="22"/>
          <w:szCs w:val="22"/>
        </w:rPr>
      </w:pPr>
    </w:p>
    <w:p w:rsidR="006559A6" w:rsidRPr="006559A6" w:rsidRDefault="006559A6" w:rsidP="00846A20">
      <w:pPr>
        <w:rPr>
          <w:rFonts w:ascii="Arial" w:hAnsi="Arial" w:cs="Arial"/>
          <w:sz w:val="20"/>
          <w:szCs w:val="20"/>
        </w:rPr>
      </w:pPr>
      <w:r w:rsidRPr="006559A6">
        <w:rPr>
          <w:rFonts w:ascii="Arial" w:hAnsi="Arial" w:cs="Arial"/>
          <w:sz w:val="20"/>
          <w:szCs w:val="20"/>
        </w:rPr>
        <w:t>No NDSS – No specific standards in the Nationally Described Space Standard for this type of property.</w:t>
      </w:r>
    </w:p>
    <w:p w:rsidR="006559A6" w:rsidRDefault="006559A6" w:rsidP="00846A20">
      <w:pPr>
        <w:rPr>
          <w:rFonts w:ascii="Arial" w:hAnsi="Arial" w:cs="Arial"/>
          <w:sz w:val="22"/>
          <w:szCs w:val="22"/>
        </w:rPr>
      </w:pPr>
    </w:p>
    <w:p w:rsidR="00846A20" w:rsidRPr="006559A6" w:rsidRDefault="00846A20" w:rsidP="00846A20">
      <w:pPr>
        <w:rPr>
          <w:rFonts w:ascii="Arial" w:hAnsi="Arial" w:cs="Arial"/>
          <w:sz w:val="20"/>
          <w:szCs w:val="20"/>
        </w:rPr>
      </w:pPr>
      <w:r w:rsidRPr="006559A6">
        <w:rPr>
          <w:rFonts w:ascii="Arial" w:hAnsi="Arial" w:cs="Arial"/>
          <w:sz w:val="20"/>
          <w:szCs w:val="20"/>
        </w:rPr>
        <w:t>Large scale major = 50+ dwellings</w:t>
      </w:r>
    </w:p>
    <w:p w:rsidR="00846A20" w:rsidRPr="006559A6" w:rsidRDefault="00846A20" w:rsidP="00846A20">
      <w:pPr>
        <w:rPr>
          <w:rFonts w:ascii="Arial" w:hAnsi="Arial" w:cs="Arial"/>
          <w:sz w:val="20"/>
          <w:szCs w:val="20"/>
        </w:rPr>
      </w:pPr>
      <w:r w:rsidRPr="006559A6">
        <w:rPr>
          <w:rFonts w:ascii="Arial" w:hAnsi="Arial" w:cs="Arial"/>
          <w:sz w:val="20"/>
          <w:szCs w:val="20"/>
        </w:rPr>
        <w:t>Small scale major = 10-49 dwellings</w:t>
      </w:r>
    </w:p>
    <w:p w:rsidR="00846A20" w:rsidRDefault="00846A20" w:rsidP="00846A20">
      <w:pPr>
        <w:rPr>
          <w:rFonts w:ascii="Arial" w:hAnsi="Arial" w:cs="Arial"/>
          <w:sz w:val="22"/>
          <w:szCs w:val="22"/>
        </w:rPr>
      </w:pPr>
      <w:r w:rsidRPr="006559A6">
        <w:rPr>
          <w:rFonts w:ascii="Arial" w:hAnsi="Arial" w:cs="Arial"/>
          <w:sz w:val="20"/>
          <w:szCs w:val="20"/>
        </w:rPr>
        <w:t>Minor = 1-9 dwellings</w:t>
      </w:r>
    </w:p>
    <w:p w:rsidR="006559A6" w:rsidRDefault="006559A6" w:rsidP="00846A20">
      <w:pPr>
        <w:rPr>
          <w:rFonts w:ascii="Arial" w:hAnsi="Arial" w:cs="Arial"/>
          <w:sz w:val="22"/>
          <w:szCs w:val="22"/>
        </w:rPr>
      </w:pPr>
    </w:p>
    <w:p w:rsidR="006C3BDC" w:rsidRDefault="006C3BDC" w:rsidP="006C3BDC">
      <w:pPr>
        <w:ind w:left="720"/>
        <w:rPr>
          <w:rFonts w:ascii="Arial" w:hAnsi="Arial" w:cs="Arial"/>
          <w:sz w:val="22"/>
          <w:szCs w:val="22"/>
        </w:rPr>
      </w:pPr>
      <w:r w:rsidRPr="008F7D9C">
        <w:rPr>
          <w:rFonts w:ascii="Arial" w:hAnsi="Arial" w:cs="Arial"/>
          <w:sz w:val="22"/>
          <w:szCs w:val="22"/>
        </w:rPr>
        <w:t xml:space="preserve">Table </w:t>
      </w:r>
      <w:r w:rsidR="00E76CC4">
        <w:rPr>
          <w:rFonts w:ascii="Arial" w:hAnsi="Arial" w:cs="Arial"/>
          <w:sz w:val="22"/>
          <w:szCs w:val="22"/>
        </w:rPr>
        <w:t>2</w:t>
      </w:r>
      <w:r w:rsidRPr="008F7D9C">
        <w:rPr>
          <w:rFonts w:ascii="Arial" w:hAnsi="Arial" w:cs="Arial"/>
          <w:sz w:val="22"/>
          <w:szCs w:val="22"/>
        </w:rPr>
        <w:t xml:space="preserve">: </w:t>
      </w:r>
      <w:r w:rsidR="002F6589">
        <w:rPr>
          <w:rFonts w:ascii="Arial" w:hAnsi="Arial" w:cs="Arial"/>
          <w:sz w:val="22"/>
          <w:szCs w:val="22"/>
        </w:rPr>
        <w:t>Assessment of dwelling types</w:t>
      </w:r>
      <w:r>
        <w:rPr>
          <w:rFonts w:ascii="Arial" w:hAnsi="Arial" w:cs="Arial"/>
          <w:sz w:val="22"/>
          <w:szCs w:val="22"/>
        </w:rPr>
        <w:t xml:space="preserve"> </w:t>
      </w:r>
      <w:r w:rsidR="002F6589">
        <w:rPr>
          <w:rFonts w:ascii="Arial" w:hAnsi="Arial" w:cs="Arial"/>
          <w:sz w:val="22"/>
          <w:szCs w:val="22"/>
        </w:rPr>
        <w:t>against</w:t>
      </w:r>
      <w:r>
        <w:rPr>
          <w:rFonts w:ascii="Arial" w:hAnsi="Arial" w:cs="Arial"/>
          <w:sz w:val="22"/>
          <w:szCs w:val="22"/>
        </w:rPr>
        <w:t xml:space="preserve"> NDSS</w:t>
      </w:r>
    </w:p>
    <w:p w:rsidR="006C3BDC" w:rsidRDefault="006C3BDC" w:rsidP="006C3BDC">
      <w:pPr>
        <w:ind w:left="720"/>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41"/>
        <w:gridCol w:w="1441"/>
        <w:gridCol w:w="1441"/>
        <w:gridCol w:w="1441"/>
        <w:gridCol w:w="1441"/>
        <w:gridCol w:w="1442"/>
      </w:tblGrid>
      <w:tr w:rsidR="0071325E" w:rsidRPr="002F6589" w:rsidTr="0071325E">
        <w:trPr>
          <w:trHeight w:val="691"/>
        </w:trPr>
        <w:tc>
          <w:tcPr>
            <w:tcW w:w="1271" w:type="dxa"/>
            <w:shd w:val="clear" w:color="auto" w:fill="D9D9D9" w:themeFill="background1" w:themeFillShade="D9"/>
            <w:noWrap/>
            <w:hideMark/>
          </w:tcPr>
          <w:p w:rsidR="0071325E" w:rsidRPr="002F6589" w:rsidRDefault="0071325E" w:rsidP="0071325E">
            <w:pPr>
              <w:rPr>
                <w:rFonts w:ascii="Arial" w:eastAsia="Times New Roman" w:hAnsi="Arial" w:cs="Arial"/>
                <w:b/>
                <w:bCs/>
                <w:color w:val="000000"/>
                <w:sz w:val="20"/>
                <w:szCs w:val="20"/>
                <w:lang w:val="en-GB" w:eastAsia="en-GB"/>
              </w:rPr>
            </w:pPr>
            <w:r w:rsidRPr="002F6589">
              <w:rPr>
                <w:rFonts w:ascii="Arial" w:eastAsia="Times New Roman" w:hAnsi="Arial" w:cs="Arial"/>
                <w:b/>
                <w:bCs/>
                <w:color w:val="000000"/>
                <w:sz w:val="20"/>
                <w:szCs w:val="20"/>
                <w:lang w:val="en-GB" w:eastAsia="en-GB"/>
              </w:rPr>
              <w:t>Type</w:t>
            </w:r>
          </w:p>
        </w:tc>
        <w:tc>
          <w:tcPr>
            <w:tcW w:w="1441" w:type="dxa"/>
            <w:shd w:val="clear" w:color="auto" w:fill="D9D9D9" w:themeFill="background1" w:themeFillShade="D9"/>
          </w:tcPr>
          <w:p w:rsidR="0071325E" w:rsidRPr="002F6589" w:rsidRDefault="0071325E" w:rsidP="0071325E">
            <w:pPr>
              <w:rPr>
                <w:rFonts w:ascii="Arial" w:eastAsia="Times New Roman" w:hAnsi="Arial" w:cs="Arial"/>
                <w:b/>
                <w:bCs/>
                <w:color w:val="000000"/>
                <w:sz w:val="20"/>
                <w:szCs w:val="20"/>
                <w:lang w:val="en-GB" w:eastAsia="en-GB"/>
              </w:rPr>
            </w:pPr>
            <w:r w:rsidRPr="002F6589">
              <w:rPr>
                <w:rFonts w:ascii="Arial" w:eastAsia="Times New Roman" w:hAnsi="Arial" w:cs="Arial"/>
                <w:b/>
                <w:bCs/>
                <w:color w:val="000000"/>
                <w:sz w:val="20"/>
                <w:szCs w:val="20"/>
                <w:lang w:val="en-GB" w:eastAsia="en-GB"/>
              </w:rPr>
              <w:t>Total Number</w:t>
            </w:r>
            <w:r>
              <w:rPr>
                <w:rFonts w:ascii="Arial" w:eastAsia="Times New Roman" w:hAnsi="Arial" w:cs="Arial"/>
                <w:b/>
                <w:bCs/>
                <w:color w:val="000000"/>
                <w:sz w:val="20"/>
                <w:szCs w:val="20"/>
                <w:lang w:val="en-GB" w:eastAsia="en-GB"/>
              </w:rPr>
              <w:t xml:space="preserve"> of dwellings</w:t>
            </w:r>
          </w:p>
        </w:tc>
        <w:tc>
          <w:tcPr>
            <w:tcW w:w="1441" w:type="dxa"/>
            <w:shd w:val="clear" w:color="auto" w:fill="D9D9D9" w:themeFill="background1" w:themeFillShade="D9"/>
          </w:tcPr>
          <w:p w:rsidR="0071325E" w:rsidRPr="002F6589" w:rsidRDefault="0071325E" w:rsidP="0071325E">
            <w:pPr>
              <w:rPr>
                <w:rFonts w:ascii="Arial" w:eastAsia="Times New Roman" w:hAnsi="Arial" w:cs="Arial"/>
                <w:b/>
                <w:bCs/>
                <w:color w:val="000000"/>
                <w:sz w:val="20"/>
                <w:szCs w:val="20"/>
                <w:lang w:val="en-GB" w:eastAsia="en-GB"/>
              </w:rPr>
            </w:pPr>
            <w:r w:rsidRPr="002F6589">
              <w:rPr>
                <w:rFonts w:ascii="Arial" w:eastAsia="Times New Roman" w:hAnsi="Arial" w:cs="Arial"/>
                <w:b/>
                <w:bCs/>
                <w:color w:val="000000"/>
                <w:sz w:val="20"/>
                <w:szCs w:val="20"/>
                <w:lang w:val="en-GB" w:eastAsia="en-GB"/>
              </w:rPr>
              <w:t>%</w:t>
            </w:r>
            <w:r>
              <w:rPr>
                <w:rFonts w:ascii="Arial" w:eastAsia="Times New Roman" w:hAnsi="Arial" w:cs="Arial"/>
                <w:b/>
                <w:bCs/>
                <w:color w:val="000000"/>
                <w:sz w:val="20"/>
                <w:szCs w:val="20"/>
                <w:lang w:val="en-GB" w:eastAsia="en-GB"/>
              </w:rPr>
              <w:t xml:space="preserve"> of dwellings</w:t>
            </w:r>
            <w:r w:rsidRPr="002F6589">
              <w:rPr>
                <w:rFonts w:ascii="Arial" w:eastAsia="Times New Roman" w:hAnsi="Arial" w:cs="Arial"/>
                <w:b/>
                <w:bCs/>
                <w:color w:val="000000"/>
                <w:sz w:val="20"/>
                <w:szCs w:val="20"/>
                <w:lang w:val="en-GB" w:eastAsia="en-GB"/>
              </w:rPr>
              <w:t xml:space="preserve"> </w:t>
            </w:r>
            <w:r>
              <w:rPr>
                <w:rFonts w:ascii="Arial" w:eastAsia="Times New Roman" w:hAnsi="Arial" w:cs="Arial"/>
                <w:b/>
                <w:bCs/>
                <w:color w:val="000000"/>
                <w:sz w:val="20"/>
                <w:szCs w:val="20"/>
                <w:lang w:val="en-GB" w:eastAsia="en-GB"/>
              </w:rPr>
              <w:t>f</w:t>
            </w:r>
            <w:r w:rsidRPr="002F6589">
              <w:rPr>
                <w:rFonts w:ascii="Arial" w:eastAsia="Times New Roman" w:hAnsi="Arial" w:cs="Arial"/>
                <w:b/>
                <w:bCs/>
                <w:color w:val="000000"/>
                <w:sz w:val="20"/>
                <w:szCs w:val="20"/>
                <w:lang w:val="en-GB" w:eastAsia="en-GB"/>
              </w:rPr>
              <w:t>ully compliant</w:t>
            </w:r>
          </w:p>
        </w:tc>
        <w:tc>
          <w:tcPr>
            <w:tcW w:w="1441" w:type="dxa"/>
            <w:shd w:val="clear" w:color="auto" w:fill="D9D9D9" w:themeFill="background1" w:themeFillShade="D9"/>
            <w:noWrap/>
            <w:hideMark/>
          </w:tcPr>
          <w:p w:rsidR="0071325E" w:rsidRPr="0071325E" w:rsidRDefault="0071325E" w:rsidP="0071325E">
            <w:pPr>
              <w:rPr>
                <w:rFonts w:ascii="Arial" w:eastAsia="Times New Roman" w:hAnsi="Arial" w:cs="Arial"/>
                <w:b/>
                <w:bCs/>
                <w:color w:val="000000"/>
                <w:sz w:val="20"/>
                <w:szCs w:val="20"/>
                <w:lang w:val="en-GB" w:eastAsia="en-GB"/>
              </w:rPr>
            </w:pPr>
            <w:r w:rsidRPr="0071325E">
              <w:rPr>
                <w:rFonts w:ascii="Arial" w:eastAsia="Times New Roman" w:hAnsi="Arial" w:cs="Arial"/>
                <w:b/>
                <w:bCs/>
                <w:color w:val="000000"/>
                <w:sz w:val="20"/>
                <w:szCs w:val="20"/>
                <w:lang w:val="en-GB" w:eastAsia="en-GB"/>
              </w:rPr>
              <w:t>% of dwellings within 10%</w:t>
            </w:r>
            <w:r w:rsidR="001D44AC">
              <w:rPr>
                <w:rFonts w:ascii="Arial" w:eastAsia="Times New Roman" w:hAnsi="Arial" w:cs="Arial"/>
                <w:b/>
                <w:bCs/>
                <w:color w:val="000000"/>
                <w:sz w:val="20"/>
                <w:szCs w:val="20"/>
                <w:lang w:val="en-GB" w:eastAsia="en-GB"/>
              </w:rPr>
              <w:t xml:space="preserve"> deviation</w:t>
            </w:r>
          </w:p>
        </w:tc>
        <w:tc>
          <w:tcPr>
            <w:tcW w:w="1441" w:type="dxa"/>
            <w:shd w:val="clear" w:color="auto" w:fill="D9D9D9" w:themeFill="background1" w:themeFillShade="D9"/>
            <w:noWrap/>
            <w:hideMark/>
          </w:tcPr>
          <w:p w:rsidR="0071325E" w:rsidRPr="0071325E" w:rsidRDefault="0071325E" w:rsidP="0071325E">
            <w:pPr>
              <w:rPr>
                <w:rFonts w:ascii="Arial" w:eastAsia="Times New Roman" w:hAnsi="Arial" w:cs="Arial"/>
                <w:b/>
                <w:bCs/>
                <w:color w:val="000000"/>
                <w:sz w:val="20"/>
                <w:szCs w:val="20"/>
                <w:lang w:val="en-GB" w:eastAsia="en-GB"/>
              </w:rPr>
            </w:pPr>
            <w:r w:rsidRPr="0071325E">
              <w:rPr>
                <w:rFonts w:ascii="Arial" w:eastAsia="Times New Roman" w:hAnsi="Arial" w:cs="Arial"/>
                <w:b/>
                <w:bCs/>
                <w:color w:val="000000"/>
                <w:sz w:val="20"/>
                <w:szCs w:val="20"/>
                <w:lang w:val="en-GB" w:eastAsia="en-GB"/>
              </w:rPr>
              <w:t xml:space="preserve">% of dwellings </w:t>
            </w:r>
            <w:r>
              <w:rPr>
                <w:rFonts w:ascii="Arial" w:eastAsia="Times New Roman" w:hAnsi="Arial" w:cs="Arial"/>
                <w:b/>
                <w:bCs/>
                <w:color w:val="000000"/>
                <w:sz w:val="20"/>
                <w:szCs w:val="20"/>
                <w:lang w:val="en-GB" w:eastAsia="en-GB"/>
              </w:rPr>
              <w:t xml:space="preserve">deviating more than </w:t>
            </w:r>
            <w:r w:rsidRPr="0071325E">
              <w:rPr>
                <w:rFonts w:ascii="Arial" w:eastAsia="Times New Roman" w:hAnsi="Arial" w:cs="Arial"/>
                <w:b/>
                <w:bCs/>
                <w:color w:val="000000"/>
                <w:sz w:val="20"/>
                <w:szCs w:val="20"/>
                <w:lang w:val="en-GB" w:eastAsia="en-GB"/>
              </w:rPr>
              <w:t xml:space="preserve"> 10%</w:t>
            </w:r>
          </w:p>
        </w:tc>
        <w:tc>
          <w:tcPr>
            <w:tcW w:w="1441" w:type="dxa"/>
            <w:shd w:val="clear" w:color="auto" w:fill="D9D9D9" w:themeFill="background1" w:themeFillShade="D9"/>
            <w:noWrap/>
            <w:hideMark/>
          </w:tcPr>
          <w:p w:rsidR="0071325E" w:rsidRPr="002F6589" w:rsidRDefault="0071325E" w:rsidP="0071325E">
            <w:pPr>
              <w:rPr>
                <w:rFonts w:ascii="Arial" w:eastAsia="Times New Roman" w:hAnsi="Arial" w:cs="Arial"/>
                <w:b/>
                <w:bCs/>
                <w:color w:val="000000"/>
                <w:sz w:val="20"/>
                <w:szCs w:val="20"/>
                <w:lang w:val="en-GB" w:eastAsia="en-GB"/>
              </w:rPr>
            </w:pPr>
            <w:r w:rsidRPr="002F6589">
              <w:rPr>
                <w:rFonts w:ascii="Arial" w:eastAsia="Times New Roman" w:hAnsi="Arial" w:cs="Arial"/>
                <w:b/>
                <w:bCs/>
                <w:color w:val="000000"/>
                <w:sz w:val="20"/>
                <w:szCs w:val="20"/>
                <w:lang w:val="en-GB" w:eastAsia="en-GB"/>
              </w:rPr>
              <w:t>No NDSS</w:t>
            </w:r>
            <w:r>
              <w:rPr>
                <w:rFonts w:ascii="Arial" w:eastAsia="Times New Roman" w:hAnsi="Arial" w:cs="Arial"/>
                <w:b/>
                <w:bCs/>
                <w:color w:val="000000"/>
                <w:sz w:val="20"/>
                <w:szCs w:val="20"/>
                <w:lang w:val="en-GB" w:eastAsia="en-GB"/>
              </w:rPr>
              <w:t xml:space="preserve"> for specific type of dwellings</w:t>
            </w:r>
          </w:p>
        </w:tc>
        <w:tc>
          <w:tcPr>
            <w:tcW w:w="1442" w:type="dxa"/>
            <w:shd w:val="clear" w:color="auto" w:fill="D9D9D9" w:themeFill="background1" w:themeFillShade="D9"/>
            <w:noWrap/>
            <w:hideMark/>
          </w:tcPr>
          <w:p w:rsidR="0071325E" w:rsidRPr="002F6589" w:rsidRDefault="0071325E" w:rsidP="0071325E">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 d</w:t>
            </w:r>
            <w:r w:rsidRPr="002F6589">
              <w:rPr>
                <w:rFonts w:ascii="Arial" w:eastAsia="Times New Roman" w:hAnsi="Arial" w:cs="Arial"/>
                <w:b/>
                <w:bCs/>
                <w:color w:val="000000"/>
                <w:sz w:val="20"/>
                <w:szCs w:val="20"/>
                <w:lang w:val="en-GB" w:eastAsia="en-GB"/>
              </w:rPr>
              <w:t>eviation of non-compliant</w:t>
            </w:r>
            <w:r>
              <w:rPr>
                <w:rFonts w:ascii="Arial" w:eastAsia="Times New Roman" w:hAnsi="Arial" w:cs="Arial"/>
                <w:b/>
                <w:bCs/>
                <w:color w:val="000000"/>
                <w:sz w:val="20"/>
                <w:szCs w:val="20"/>
                <w:lang w:val="en-GB" w:eastAsia="en-GB"/>
              </w:rPr>
              <w:t xml:space="preserve"> dwellings</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1b1p (1s)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547</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99.8</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0.2</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7.2</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1b2p (1s)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418</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46.7</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34.9</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18.4</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23.8</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1b2p (2s)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64</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54.7</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45.3</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15.5 - 32.7</w:t>
            </w:r>
          </w:p>
        </w:tc>
      </w:tr>
      <w:tr w:rsidR="0071325E" w:rsidRPr="002F6589" w:rsidTr="002079A2">
        <w:trPr>
          <w:trHeight w:val="300"/>
        </w:trPr>
        <w:tc>
          <w:tcPr>
            <w:tcW w:w="127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2b3p (1s)</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505</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83.6</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11.9</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4.6</w:t>
            </w:r>
          </w:p>
        </w:tc>
        <w:tc>
          <w:tcPr>
            <w:tcW w:w="144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0.5</w:t>
            </w:r>
            <w:r w:rsidR="00FE5DD8">
              <w:rPr>
                <w:rFonts w:ascii="Arial" w:eastAsia="Times New Roman" w:hAnsi="Arial" w:cs="Arial"/>
                <w:color w:val="000000"/>
                <w:sz w:val="20"/>
                <w:szCs w:val="20"/>
                <w:lang w:val="en-GB" w:eastAsia="en-GB"/>
              </w:rPr>
              <w:t xml:space="preserve"> </w:t>
            </w:r>
            <w:r w:rsidRPr="002F6589">
              <w:rPr>
                <w:rFonts w:ascii="Arial" w:eastAsia="Times New Roman" w:hAnsi="Arial" w:cs="Arial"/>
                <w:color w:val="000000"/>
                <w:sz w:val="20"/>
                <w:szCs w:val="20"/>
                <w:lang w:val="en-GB" w:eastAsia="en-GB"/>
              </w:rPr>
              <w:t>-</w:t>
            </w:r>
            <w:r w:rsidR="00FE5DD8">
              <w:rPr>
                <w:rFonts w:ascii="Arial" w:eastAsia="Times New Roman" w:hAnsi="Arial" w:cs="Arial"/>
                <w:color w:val="000000"/>
                <w:sz w:val="20"/>
                <w:szCs w:val="20"/>
                <w:lang w:val="en-GB" w:eastAsia="en-GB"/>
              </w:rPr>
              <w:t xml:space="preserve"> </w:t>
            </w:r>
            <w:r w:rsidRPr="002F6589">
              <w:rPr>
                <w:rFonts w:ascii="Arial" w:eastAsia="Times New Roman" w:hAnsi="Arial" w:cs="Arial"/>
                <w:color w:val="000000"/>
                <w:sz w:val="20"/>
                <w:szCs w:val="20"/>
                <w:lang w:val="en-GB" w:eastAsia="en-GB"/>
              </w:rPr>
              <w:t>31.8</w:t>
            </w:r>
          </w:p>
        </w:tc>
      </w:tr>
      <w:tr w:rsidR="0071325E" w:rsidRPr="002F6589" w:rsidTr="002079A2">
        <w:trPr>
          <w:trHeight w:val="300"/>
        </w:trPr>
        <w:tc>
          <w:tcPr>
            <w:tcW w:w="127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2b3p (2s)</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257</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49</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37</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14</w:t>
            </w:r>
          </w:p>
        </w:tc>
        <w:tc>
          <w:tcPr>
            <w:tcW w:w="144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0.6 - 17.1</w:t>
            </w:r>
          </w:p>
        </w:tc>
      </w:tr>
      <w:tr w:rsidR="0071325E" w:rsidRPr="002F6589" w:rsidTr="002079A2">
        <w:trPr>
          <w:trHeight w:val="300"/>
        </w:trPr>
        <w:tc>
          <w:tcPr>
            <w:tcW w:w="127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2b3p (3s)</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0.0</w:t>
            </w:r>
          </w:p>
        </w:tc>
        <w:tc>
          <w:tcPr>
            <w:tcW w:w="144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w:t>
            </w:r>
          </w:p>
        </w:tc>
        <w:tc>
          <w:tcPr>
            <w:tcW w:w="1442"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n/a</w:t>
            </w:r>
          </w:p>
        </w:tc>
      </w:tr>
      <w:tr w:rsidR="0071325E" w:rsidRPr="002F6589" w:rsidTr="002079A2">
        <w:trPr>
          <w:trHeight w:val="300"/>
        </w:trPr>
        <w:tc>
          <w:tcPr>
            <w:tcW w:w="127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2b4p (1s)</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429</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74.1</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20.5</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5.4</w:t>
            </w:r>
          </w:p>
        </w:tc>
        <w:tc>
          <w:tcPr>
            <w:tcW w:w="144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1.4 - 24.3</w:t>
            </w:r>
          </w:p>
        </w:tc>
      </w:tr>
      <w:tr w:rsidR="0071325E" w:rsidRPr="002F6589" w:rsidTr="002079A2">
        <w:trPr>
          <w:trHeight w:val="300"/>
        </w:trPr>
        <w:tc>
          <w:tcPr>
            <w:tcW w:w="127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2b4p (1.5s)</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w:t>
            </w:r>
          </w:p>
        </w:tc>
        <w:tc>
          <w:tcPr>
            <w:tcW w:w="1442"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n/a</w:t>
            </w:r>
          </w:p>
        </w:tc>
      </w:tr>
      <w:tr w:rsidR="0071325E" w:rsidRPr="002F6589" w:rsidTr="002079A2">
        <w:trPr>
          <w:trHeight w:val="300"/>
        </w:trPr>
        <w:tc>
          <w:tcPr>
            <w:tcW w:w="127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2b4p (2s)</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425</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57.9</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7.8</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34.4</w:t>
            </w:r>
          </w:p>
        </w:tc>
        <w:tc>
          <w:tcPr>
            <w:tcW w:w="144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0.1 - 19</w:t>
            </w:r>
          </w:p>
        </w:tc>
      </w:tr>
      <w:tr w:rsidR="0071325E" w:rsidRPr="002F6589" w:rsidTr="002079A2">
        <w:trPr>
          <w:trHeight w:val="300"/>
        </w:trPr>
        <w:tc>
          <w:tcPr>
            <w:tcW w:w="127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2b4p (3s)</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33</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0.0</w:t>
            </w:r>
          </w:p>
        </w:tc>
        <w:tc>
          <w:tcPr>
            <w:tcW w:w="144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33</w:t>
            </w:r>
          </w:p>
        </w:tc>
        <w:tc>
          <w:tcPr>
            <w:tcW w:w="1442"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n/a</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3b4p (2s)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179</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84.9</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15.1</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0.0</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0.7 - 5.2</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3b4p (3s)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42</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69</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31</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10.4</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3b5p (1s)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26</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30.8</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7.7</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61.5</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1.7</w:t>
            </w:r>
            <w:r w:rsidR="00FE5DD8">
              <w:rPr>
                <w:rFonts w:ascii="Arial" w:eastAsia="Times New Roman" w:hAnsi="Arial" w:cs="Arial"/>
                <w:color w:val="000000"/>
                <w:sz w:val="20"/>
                <w:szCs w:val="20"/>
                <w:lang w:val="en-GB" w:eastAsia="en-GB"/>
              </w:rPr>
              <w:t xml:space="preserve"> </w:t>
            </w:r>
            <w:r w:rsidRPr="002F6589">
              <w:rPr>
                <w:rFonts w:ascii="Arial" w:eastAsia="Times New Roman" w:hAnsi="Arial" w:cs="Arial"/>
                <w:color w:val="000000"/>
                <w:sz w:val="20"/>
                <w:szCs w:val="20"/>
                <w:lang w:val="en-GB" w:eastAsia="en-GB"/>
              </w:rPr>
              <w:t>-</w:t>
            </w:r>
            <w:r w:rsidR="00FE5DD8">
              <w:rPr>
                <w:rFonts w:ascii="Arial" w:eastAsia="Times New Roman" w:hAnsi="Arial" w:cs="Arial"/>
                <w:color w:val="000000"/>
                <w:sz w:val="20"/>
                <w:szCs w:val="20"/>
                <w:lang w:val="en-GB" w:eastAsia="en-GB"/>
              </w:rPr>
              <w:t xml:space="preserve"> </w:t>
            </w:r>
            <w:r w:rsidRPr="002F6589">
              <w:rPr>
                <w:rFonts w:ascii="Arial" w:eastAsia="Times New Roman" w:hAnsi="Arial" w:cs="Arial"/>
                <w:color w:val="000000"/>
                <w:sz w:val="20"/>
                <w:szCs w:val="20"/>
                <w:lang w:val="en-GB" w:eastAsia="en-GB"/>
              </w:rPr>
              <w:t>11.2</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3b5p (2s)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315</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73</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13</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14</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2.5</w:t>
            </w:r>
            <w:r w:rsidR="00FE5DD8">
              <w:rPr>
                <w:rFonts w:ascii="Arial" w:eastAsia="Times New Roman" w:hAnsi="Arial" w:cs="Arial"/>
                <w:color w:val="000000"/>
                <w:sz w:val="20"/>
                <w:szCs w:val="20"/>
                <w:lang w:val="en-GB" w:eastAsia="en-GB"/>
              </w:rPr>
              <w:t xml:space="preserve"> </w:t>
            </w:r>
            <w:r w:rsidRPr="002F6589">
              <w:rPr>
                <w:rFonts w:ascii="Arial" w:eastAsia="Times New Roman" w:hAnsi="Arial" w:cs="Arial"/>
                <w:color w:val="000000"/>
                <w:sz w:val="20"/>
                <w:szCs w:val="20"/>
                <w:lang w:val="en-GB" w:eastAsia="en-GB"/>
              </w:rPr>
              <w:t>-</w:t>
            </w:r>
            <w:r w:rsidR="00FE5DD8">
              <w:rPr>
                <w:rFonts w:ascii="Arial" w:eastAsia="Times New Roman" w:hAnsi="Arial" w:cs="Arial"/>
                <w:color w:val="000000"/>
                <w:sz w:val="20"/>
                <w:szCs w:val="20"/>
                <w:lang w:val="en-GB" w:eastAsia="en-GB"/>
              </w:rPr>
              <w:t xml:space="preserve"> </w:t>
            </w:r>
            <w:r w:rsidRPr="002F6589">
              <w:rPr>
                <w:rFonts w:ascii="Arial" w:eastAsia="Times New Roman" w:hAnsi="Arial" w:cs="Arial"/>
                <w:color w:val="000000"/>
                <w:sz w:val="20"/>
                <w:szCs w:val="20"/>
                <w:lang w:val="en-GB" w:eastAsia="en-GB"/>
              </w:rPr>
              <w:t>28</w:t>
            </w:r>
          </w:p>
        </w:tc>
      </w:tr>
      <w:tr w:rsidR="0071325E" w:rsidRPr="002F6589" w:rsidTr="001D44AC">
        <w:trPr>
          <w:trHeight w:val="300"/>
        </w:trPr>
        <w:tc>
          <w:tcPr>
            <w:tcW w:w="127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3b5p (2.5s)</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w:t>
            </w:r>
          </w:p>
        </w:tc>
        <w:tc>
          <w:tcPr>
            <w:tcW w:w="1442"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n/a</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3b5p (3s)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238</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87</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13</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4 - 7.1</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lastRenderedPageBreak/>
              <w:t>3b6p (1s)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20</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100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3b6p (2s)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6</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66.7</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33.3</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3.4 -</w:t>
            </w:r>
            <w:r w:rsidR="00FE5DD8">
              <w:rPr>
                <w:rFonts w:ascii="Arial" w:eastAsia="Times New Roman" w:hAnsi="Arial" w:cs="Arial"/>
                <w:color w:val="000000"/>
                <w:sz w:val="20"/>
                <w:szCs w:val="20"/>
                <w:lang w:val="en-GB" w:eastAsia="en-GB"/>
              </w:rPr>
              <w:t xml:space="preserve"> </w:t>
            </w:r>
            <w:r w:rsidRPr="002F6589">
              <w:rPr>
                <w:rFonts w:ascii="Arial" w:eastAsia="Times New Roman" w:hAnsi="Arial" w:cs="Arial"/>
                <w:color w:val="000000"/>
                <w:sz w:val="20"/>
                <w:szCs w:val="20"/>
                <w:lang w:val="en-GB" w:eastAsia="en-GB"/>
              </w:rPr>
              <w:t>5</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3b6p (3s)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40</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70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30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4.2 - 8.5</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4b5p (2s)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6</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100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4b6p (2s)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80</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57.5</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42.5</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2.6 - 5.8</w:t>
            </w:r>
          </w:p>
        </w:tc>
      </w:tr>
      <w:tr w:rsidR="0071325E" w:rsidRPr="002F6589" w:rsidTr="001D44AC">
        <w:trPr>
          <w:trHeight w:val="300"/>
        </w:trPr>
        <w:tc>
          <w:tcPr>
            <w:tcW w:w="127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4b6p (2.5s)</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w:t>
            </w:r>
          </w:p>
        </w:tc>
        <w:tc>
          <w:tcPr>
            <w:tcW w:w="1442"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n/a</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4b7p (2s)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56</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89.3</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10.7</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7</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4b7p (3s)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105</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56.2</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21.9</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21.9</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4.6 - 11.7</w:t>
            </w:r>
          </w:p>
        </w:tc>
      </w:tr>
      <w:tr w:rsidR="0071325E" w:rsidRPr="002F6589" w:rsidTr="001D44AC">
        <w:trPr>
          <w:trHeight w:val="300"/>
        </w:trPr>
        <w:tc>
          <w:tcPr>
            <w:tcW w:w="127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4b7p (4s)</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14</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14</w:t>
            </w:r>
          </w:p>
        </w:tc>
        <w:tc>
          <w:tcPr>
            <w:tcW w:w="1442"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n/a</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4b8p (2s)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100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0.1</w:t>
            </w:r>
          </w:p>
        </w:tc>
      </w:tr>
      <w:tr w:rsidR="0071325E" w:rsidRPr="002F6589" w:rsidTr="001D44AC">
        <w:trPr>
          <w:trHeight w:val="300"/>
        </w:trPr>
        <w:tc>
          <w:tcPr>
            <w:tcW w:w="127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4b8p (2s + loft space)</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w:t>
            </w:r>
          </w:p>
        </w:tc>
        <w:tc>
          <w:tcPr>
            <w:tcW w:w="1442"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n/a</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4b8p (3s)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8</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100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3.5</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5b8p (2s)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100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r>
      <w:tr w:rsidR="0071325E" w:rsidRPr="002F6589" w:rsidTr="0071325E">
        <w:trPr>
          <w:trHeight w:val="300"/>
        </w:trPr>
        <w:tc>
          <w:tcPr>
            <w:tcW w:w="127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5b8p (3s)</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27</w:t>
            </w:r>
          </w:p>
        </w:tc>
        <w:tc>
          <w:tcPr>
            <w:tcW w:w="1441" w:type="dxa"/>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100</w:t>
            </w:r>
          </w:p>
        </w:tc>
        <w:tc>
          <w:tcPr>
            <w:tcW w:w="1441" w:type="dxa"/>
            <w:shd w:val="clear" w:color="auto" w:fill="auto"/>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auto"/>
            <w:noWrap/>
            <w:hideMark/>
          </w:tcPr>
          <w:p w:rsidR="0071325E" w:rsidRPr="0071325E" w:rsidRDefault="0071325E" w:rsidP="0071325E">
            <w:pPr>
              <w:rPr>
                <w:rFonts w:ascii="Arial" w:hAnsi="Arial" w:cs="Arial"/>
                <w:sz w:val="20"/>
                <w:szCs w:val="20"/>
              </w:rPr>
            </w:pPr>
            <w:r>
              <w:rPr>
                <w:rFonts w:ascii="Arial" w:hAnsi="Arial" w:cs="Arial"/>
                <w:sz w:val="20"/>
                <w:szCs w:val="20"/>
              </w:rPr>
              <w:t>0</w:t>
            </w:r>
          </w:p>
        </w:tc>
        <w:tc>
          <w:tcPr>
            <w:tcW w:w="1441"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2" w:type="dxa"/>
            <w:shd w:val="clear" w:color="auto" w:fill="auto"/>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r>
      <w:tr w:rsidR="0071325E" w:rsidRPr="002F6589" w:rsidTr="001D44AC">
        <w:trPr>
          <w:trHeight w:val="300"/>
        </w:trPr>
        <w:tc>
          <w:tcPr>
            <w:tcW w:w="127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5b9p (3s)</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5</w:t>
            </w:r>
          </w:p>
        </w:tc>
        <w:tc>
          <w:tcPr>
            <w:tcW w:w="1441" w:type="dxa"/>
            <w:shd w:val="clear" w:color="auto" w:fill="FFFFFF" w:themeFill="background1"/>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FFFFFF" w:themeFill="background1"/>
            <w:noWrap/>
            <w:hideMark/>
          </w:tcPr>
          <w:p w:rsidR="0071325E" w:rsidRPr="0071325E" w:rsidRDefault="0071325E" w:rsidP="0071325E">
            <w:pPr>
              <w:rPr>
                <w:rFonts w:ascii="Arial" w:hAnsi="Arial" w:cs="Arial"/>
                <w:sz w:val="20"/>
                <w:szCs w:val="20"/>
              </w:rPr>
            </w:pPr>
            <w:r w:rsidRPr="0071325E">
              <w:rPr>
                <w:rFonts w:ascii="Arial" w:hAnsi="Arial" w:cs="Arial"/>
                <w:sz w:val="20"/>
                <w:szCs w:val="20"/>
              </w:rPr>
              <w:t>0</w:t>
            </w:r>
          </w:p>
        </w:tc>
        <w:tc>
          <w:tcPr>
            <w:tcW w:w="1441"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5</w:t>
            </w:r>
          </w:p>
        </w:tc>
        <w:tc>
          <w:tcPr>
            <w:tcW w:w="1442" w:type="dxa"/>
            <w:shd w:val="clear" w:color="auto" w:fill="FFFFFF" w:themeFill="background1"/>
            <w:noWrap/>
            <w:hideMark/>
          </w:tcPr>
          <w:p w:rsidR="0071325E" w:rsidRPr="002F6589" w:rsidRDefault="0071325E" w:rsidP="0071325E">
            <w:pPr>
              <w:rPr>
                <w:rFonts w:ascii="Arial" w:eastAsia="Times New Roman" w:hAnsi="Arial" w:cs="Arial"/>
                <w:color w:val="000000"/>
                <w:sz w:val="20"/>
                <w:szCs w:val="20"/>
                <w:lang w:val="en-GB" w:eastAsia="en-GB"/>
              </w:rPr>
            </w:pPr>
            <w:r w:rsidRPr="002F6589">
              <w:rPr>
                <w:rFonts w:ascii="Arial" w:eastAsia="Times New Roman" w:hAnsi="Arial" w:cs="Arial"/>
                <w:color w:val="000000"/>
                <w:sz w:val="20"/>
                <w:szCs w:val="20"/>
                <w:lang w:val="en-GB" w:eastAsia="en-GB"/>
              </w:rPr>
              <w:t>n/a</w:t>
            </w:r>
          </w:p>
        </w:tc>
      </w:tr>
      <w:tr w:rsidR="000940F6" w:rsidRPr="000940F6" w:rsidTr="001D44AC">
        <w:trPr>
          <w:trHeight w:val="300"/>
        </w:trPr>
        <w:tc>
          <w:tcPr>
            <w:tcW w:w="1271" w:type="dxa"/>
            <w:shd w:val="clear" w:color="auto" w:fill="FFFFFF" w:themeFill="background1"/>
            <w:noWrap/>
          </w:tcPr>
          <w:p w:rsidR="000940F6" w:rsidRPr="000940F6" w:rsidRDefault="000940F6" w:rsidP="0071325E">
            <w:pPr>
              <w:rPr>
                <w:rFonts w:ascii="Arial" w:eastAsia="Times New Roman" w:hAnsi="Arial" w:cs="Arial"/>
                <w:b/>
                <w:bCs/>
                <w:color w:val="000000"/>
                <w:sz w:val="20"/>
                <w:szCs w:val="20"/>
                <w:lang w:val="en-GB" w:eastAsia="en-GB"/>
              </w:rPr>
            </w:pPr>
            <w:r w:rsidRPr="000940F6">
              <w:rPr>
                <w:rFonts w:ascii="Arial" w:eastAsia="Times New Roman" w:hAnsi="Arial" w:cs="Arial"/>
                <w:b/>
                <w:bCs/>
                <w:color w:val="000000"/>
                <w:sz w:val="20"/>
                <w:szCs w:val="20"/>
                <w:lang w:val="en-GB" w:eastAsia="en-GB"/>
              </w:rPr>
              <w:t>Total</w:t>
            </w:r>
          </w:p>
        </w:tc>
        <w:tc>
          <w:tcPr>
            <w:tcW w:w="1441" w:type="dxa"/>
            <w:shd w:val="clear" w:color="auto" w:fill="FFFFFF" w:themeFill="background1"/>
          </w:tcPr>
          <w:p w:rsidR="000940F6" w:rsidRPr="000940F6" w:rsidRDefault="000940F6" w:rsidP="0071325E">
            <w:pPr>
              <w:rPr>
                <w:rFonts w:ascii="Arial" w:eastAsia="Times New Roman" w:hAnsi="Arial" w:cs="Arial"/>
                <w:b/>
                <w:bCs/>
                <w:color w:val="000000"/>
                <w:sz w:val="20"/>
                <w:szCs w:val="20"/>
                <w:lang w:val="en-GB" w:eastAsia="en-GB"/>
              </w:rPr>
            </w:pPr>
            <w:r w:rsidRPr="000940F6">
              <w:rPr>
                <w:rFonts w:ascii="Arial" w:eastAsia="Times New Roman" w:hAnsi="Arial" w:cs="Arial"/>
                <w:b/>
                <w:bCs/>
                <w:color w:val="000000"/>
                <w:sz w:val="20"/>
                <w:szCs w:val="20"/>
                <w:lang w:val="en-GB" w:eastAsia="en-GB"/>
              </w:rPr>
              <w:t>3,849</w:t>
            </w:r>
          </w:p>
        </w:tc>
        <w:tc>
          <w:tcPr>
            <w:tcW w:w="1441" w:type="dxa"/>
            <w:shd w:val="clear" w:color="auto" w:fill="FFFFFF" w:themeFill="background1"/>
          </w:tcPr>
          <w:p w:rsidR="000940F6" w:rsidRPr="000940F6" w:rsidRDefault="000940F6" w:rsidP="0071325E">
            <w:pPr>
              <w:rPr>
                <w:rFonts w:ascii="Arial" w:eastAsia="Times New Roman" w:hAnsi="Arial" w:cs="Arial"/>
                <w:b/>
                <w:bCs/>
                <w:color w:val="000000"/>
                <w:sz w:val="20"/>
                <w:szCs w:val="20"/>
                <w:lang w:val="en-GB" w:eastAsia="en-GB"/>
              </w:rPr>
            </w:pPr>
            <w:r w:rsidRPr="000940F6">
              <w:rPr>
                <w:rFonts w:ascii="Arial" w:eastAsia="Times New Roman" w:hAnsi="Arial" w:cs="Arial"/>
                <w:b/>
                <w:bCs/>
                <w:color w:val="000000"/>
                <w:sz w:val="20"/>
                <w:szCs w:val="20"/>
                <w:lang w:val="en-GB" w:eastAsia="en-GB"/>
              </w:rPr>
              <w:t>71</w:t>
            </w:r>
            <w:r w:rsidR="00E860BA">
              <w:rPr>
                <w:rFonts w:ascii="Arial" w:eastAsia="Times New Roman" w:hAnsi="Arial" w:cs="Arial"/>
                <w:b/>
                <w:bCs/>
                <w:color w:val="000000"/>
                <w:sz w:val="20"/>
                <w:szCs w:val="20"/>
                <w:lang w:val="en-GB" w:eastAsia="en-GB"/>
              </w:rPr>
              <w:t>.</w:t>
            </w:r>
            <w:r w:rsidR="001D3A17">
              <w:rPr>
                <w:rFonts w:ascii="Arial" w:eastAsia="Times New Roman" w:hAnsi="Arial" w:cs="Arial"/>
                <w:b/>
                <w:bCs/>
                <w:color w:val="000000"/>
                <w:sz w:val="20"/>
                <w:szCs w:val="20"/>
                <w:lang w:val="en-GB" w:eastAsia="en-GB"/>
              </w:rPr>
              <w:t>8</w:t>
            </w:r>
          </w:p>
        </w:tc>
        <w:tc>
          <w:tcPr>
            <w:tcW w:w="1441" w:type="dxa"/>
            <w:shd w:val="clear" w:color="auto" w:fill="FFFFFF" w:themeFill="background1"/>
            <w:noWrap/>
          </w:tcPr>
          <w:p w:rsidR="000940F6" w:rsidRPr="000940F6" w:rsidRDefault="000940F6" w:rsidP="0071325E">
            <w:pPr>
              <w:rPr>
                <w:rFonts w:ascii="Arial" w:hAnsi="Arial" w:cs="Arial"/>
                <w:b/>
                <w:bCs/>
                <w:sz w:val="20"/>
                <w:szCs w:val="20"/>
              </w:rPr>
            </w:pPr>
            <w:r w:rsidRPr="000940F6">
              <w:rPr>
                <w:rFonts w:ascii="Arial" w:hAnsi="Arial" w:cs="Arial"/>
                <w:b/>
                <w:bCs/>
                <w:sz w:val="20"/>
                <w:szCs w:val="20"/>
              </w:rPr>
              <w:t>15.</w:t>
            </w:r>
            <w:r w:rsidR="00E860BA">
              <w:rPr>
                <w:rFonts w:ascii="Arial" w:hAnsi="Arial" w:cs="Arial"/>
                <w:b/>
                <w:bCs/>
                <w:sz w:val="20"/>
                <w:szCs w:val="20"/>
              </w:rPr>
              <w:t>8</w:t>
            </w:r>
          </w:p>
        </w:tc>
        <w:tc>
          <w:tcPr>
            <w:tcW w:w="1441" w:type="dxa"/>
            <w:shd w:val="clear" w:color="auto" w:fill="FFFFFF" w:themeFill="background1"/>
            <w:noWrap/>
          </w:tcPr>
          <w:p w:rsidR="000940F6" w:rsidRPr="000940F6" w:rsidRDefault="001D44AC" w:rsidP="0071325E">
            <w:pPr>
              <w:rPr>
                <w:rFonts w:ascii="Arial" w:hAnsi="Arial" w:cs="Arial"/>
                <w:b/>
                <w:bCs/>
                <w:sz w:val="20"/>
                <w:szCs w:val="20"/>
              </w:rPr>
            </w:pPr>
            <w:r>
              <w:rPr>
                <w:rFonts w:ascii="Arial" w:hAnsi="Arial" w:cs="Arial"/>
                <w:b/>
                <w:bCs/>
                <w:sz w:val="20"/>
                <w:szCs w:val="20"/>
              </w:rPr>
              <w:t>11.</w:t>
            </w:r>
            <w:r w:rsidR="001D3A17">
              <w:rPr>
                <w:rFonts w:ascii="Arial" w:hAnsi="Arial" w:cs="Arial"/>
                <w:b/>
                <w:bCs/>
                <w:sz w:val="20"/>
                <w:szCs w:val="20"/>
              </w:rPr>
              <w:t>2</w:t>
            </w:r>
          </w:p>
        </w:tc>
        <w:tc>
          <w:tcPr>
            <w:tcW w:w="1441" w:type="dxa"/>
            <w:shd w:val="clear" w:color="auto" w:fill="FFFFFF" w:themeFill="background1"/>
            <w:noWrap/>
          </w:tcPr>
          <w:p w:rsidR="000940F6" w:rsidRPr="000940F6" w:rsidRDefault="001D44AC" w:rsidP="0071325E">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1.</w:t>
            </w:r>
            <w:r w:rsidR="00E860BA">
              <w:rPr>
                <w:rFonts w:ascii="Arial" w:eastAsia="Times New Roman" w:hAnsi="Arial" w:cs="Arial"/>
                <w:b/>
                <w:bCs/>
                <w:color w:val="000000"/>
                <w:sz w:val="20"/>
                <w:szCs w:val="20"/>
                <w:lang w:val="en-GB" w:eastAsia="en-GB"/>
              </w:rPr>
              <w:t>5</w:t>
            </w:r>
          </w:p>
        </w:tc>
        <w:tc>
          <w:tcPr>
            <w:tcW w:w="1442" w:type="dxa"/>
            <w:shd w:val="clear" w:color="auto" w:fill="FFFFFF" w:themeFill="background1"/>
            <w:noWrap/>
          </w:tcPr>
          <w:p w:rsidR="000940F6" w:rsidRPr="000940F6" w:rsidRDefault="000940F6" w:rsidP="0071325E">
            <w:pPr>
              <w:rPr>
                <w:rFonts w:ascii="Arial" w:eastAsia="Times New Roman" w:hAnsi="Arial" w:cs="Arial"/>
                <w:b/>
                <w:bCs/>
                <w:color w:val="000000"/>
                <w:sz w:val="20"/>
                <w:szCs w:val="20"/>
                <w:lang w:val="en-GB" w:eastAsia="en-GB"/>
              </w:rPr>
            </w:pPr>
          </w:p>
        </w:tc>
      </w:tr>
    </w:tbl>
    <w:p w:rsidR="000940F6" w:rsidRDefault="000940F6" w:rsidP="006C3BDC">
      <w:pPr>
        <w:spacing w:line="300" w:lineRule="atLeast"/>
        <w:rPr>
          <w:rFonts w:ascii="Arial" w:hAnsi="Arial" w:cs="Arial"/>
          <w:sz w:val="22"/>
          <w:szCs w:val="22"/>
        </w:rPr>
      </w:pPr>
    </w:p>
    <w:p w:rsidR="006C3BDC" w:rsidRDefault="00846A20" w:rsidP="006C3BDC">
      <w:pPr>
        <w:spacing w:line="300" w:lineRule="atLeast"/>
        <w:ind w:left="709" w:hanging="709"/>
        <w:rPr>
          <w:rFonts w:ascii="Arial" w:hAnsi="Arial" w:cs="Arial"/>
          <w:sz w:val="22"/>
          <w:szCs w:val="22"/>
        </w:rPr>
      </w:pPr>
      <w:r>
        <w:rPr>
          <w:rFonts w:ascii="Arial" w:hAnsi="Arial" w:cs="Arial"/>
          <w:sz w:val="22"/>
          <w:szCs w:val="22"/>
        </w:rPr>
        <w:t>3.</w:t>
      </w:r>
      <w:r w:rsidR="008A4229">
        <w:rPr>
          <w:rFonts w:ascii="Arial" w:hAnsi="Arial" w:cs="Arial"/>
          <w:sz w:val="22"/>
          <w:szCs w:val="22"/>
        </w:rPr>
        <w:t>8</w:t>
      </w:r>
      <w:r w:rsidR="006C3BDC">
        <w:rPr>
          <w:rFonts w:ascii="Arial" w:hAnsi="Arial" w:cs="Arial"/>
          <w:sz w:val="22"/>
          <w:szCs w:val="22"/>
        </w:rPr>
        <w:tab/>
      </w:r>
      <w:r w:rsidR="000940F6">
        <w:rPr>
          <w:rFonts w:ascii="Arial" w:hAnsi="Arial" w:cs="Arial"/>
          <w:sz w:val="22"/>
          <w:szCs w:val="22"/>
        </w:rPr>
        <w:t xml:space="preserve">Table 5 shows </w:t>
      </w:r>
      <w:r w:rsidR="001D44AC">
        <w:rPr>
          <w:rFonts w:ascii="Arial" w:hAnsi="Arial" w:cs="Arial"/>
          <w:sz w:val="22"/>
          <w:szCs w:val="22"/>
        </w:rPr>
        <w:t xml:space="preserve">that of </w:t>
      </w:r>
      <w:r w:rsidR="006C3BDC">
        <w:rPr>
          <w:rFonts w:ascii="Arial" w:hAnsi="Arial" w:cs="Arial"/>
          <w:sz w:val="22"/>
          <w:szCs w:val="22"/>
        </w:rPr>
        <w:t>the 3,849 dwellings</w:t>
      </w:r>
      <w:r w:rsidR="000940F6">
        <w:rPr>
          <w:rFonts w:ascii="Arial" w:hAnsi="Arial" w:cs="Arial"/>
          <w:sz w:val="22"/>
          <w:szCs w:val="22"/>
        </w:rPr>
        <w:t xml:space="preserve"> assessed</w:t>
      </w:r>
      <w:r w:rsidR="006C3BDC">
        <w:rPr>
          <w:rFonts w:ascii="Arial" w:hAnsi="Arial" w:cs="Arial"/>
          <w:sz w:val="22"/>
          <w:szCs w:val="22"/>
        </w:rPr>
        <w:t>, 71</w:t>
      </w:r>
      <w:r w:rsidR="00C86254">
        <w:rPr>
          <w:rFonts w:ascii="Arial" w:hAnsi="Arial" w:cs="Arial"/>
          <w:sz w:val="22"/>
          <w:szCs w:val="22"/>
        </w:rPr>
        <w:t>.</w:t>
      </w:r>
      <w:r w:rsidR="001D3A17">
        <w:rPr>
          <w:rFonts w:ascii="Arial" w:hAnsi="Arial" w:cs="Arial"/>
          <w:sz w:val="22"/>
          <w:szCs w:val="22"/>
        </w:rPr>
        <w:t>8</w:t>
      </w:r>
      <w:r w:rsidR="006C3BDC">
        <w:rPr>
          <w:rFonts w:ascii="Arial" w:hAnsi="Arial" w:cs="Arial"/>
          <w:sz w:val="22"/>
          <w:szCs w:val="22"/>
        </w:rPr>
        <w:t xml:space="preserve">% </w:t>
      </w:r>
      <w:r w:rsidR="000940F6">
        <w:rPr>
          <w:rFonts w:ascii="Arial" w:hAnsi="Arial" w:cs="Arial"/>
          <w:sz w:val="22"/>
          <w:szCs w:val="22"/>
        </w:rPr>
        <w:t>met</w:t>
      </w:r>
      <w:r w:rsidR="006C3BDC">
        <w:rPr>
          <w:rFonts w:ascii="Arial" w:hAnsi="Arial" w:cs="Arial"/>
          <w:sz w:val="22"/>
          <w:szCs w:val="22"/>
        </w:rPr>
        <w:t xml:space="preserve"> the relevant standard;</w:t>
      </w:r>
      <w:r w:rsidR="006C3BDC" w:rsidRPr="003122D0">
        <w:rPr>
          <w:rFonts w:ascii="Arial" w:hAnsi="Arial" w:cs="Arial"/>
          <w:sz w:val="22"/>
          <w:szCs w:val="22"/>
        </w:rPr>
        <w:t xml:space="preserve"> </w:t>
      </w:r>
      <w:r w:rsidR="006C3BDC">
        <w:rPr>
          <w:rFonts w:ascii="Arial" w:hAnsi="Arial" w:cs="Arial"/>
          <w:sz w:val="22"/>
          <w:szCs w:val="22"/>
        </w:rPr>
        <w:t>15.</w:t>
      </w:r>
      <w:r w:rsidR="00C86254">
        <w:rPr>
          <w:rFonts w:ascii="Arial" w:hAnsi="Arial" w:cs="Arial"/>
          <w:sz w:val="22"/>
          <w:szCs w:val="22"/>
        </w:rPr>
        <w:t>8</w:t>
      </w:r>
      <w:r w:rsidR="006C3BDC">
        <w:rPr>
          <w:rFonts w:ascii="Arial" w:hAnsi="Arial" w:cs="Arial"/>
          <w:sz w:val="22"/>
          <w:szCs w:val="22"/>
        </w:rPr>
        <w:t xml:space="preserve">% </w:t>
      </w:r>
      <w:r w:rsidR="000940F6">
        <w:rPr>
          <w:rFonts w:ascii="Arial" w:hAnsi="Arial" w:cs="Arial"/>
          <w:sz w:val="22"/>
          <w:szCs w:val="22"/>
        </w:rPr>
        <w:t xml:space="preserve">were </w:t>
      </w:r>
      <w:r w:rsidR="006C3BDC" w:rsidRPr="007B484D">
        <w:rPr>
          <w:rFonts w:ascii="Arial" w:hAnsi="Arial" w:cs="Arial"/>
          <w:sz w:val="22"/>
          <w:szCs w:val="22"/>
        </w:rPr>
        <w:t xml:space="preserve">within 10% </w:t>
      </w:r>
      <w:r w:rsidR="000940F6">
        <w:rPr>
          <w:rFonts w:ascii="Arial" w:hAnsi="Arial" w:cs="Arial"/>
          <w:sz w:val="22"/>
          <w:szCs w:val="22"/>
        </w:rPr>
        <w:t xml:space="preserve">of </w:t>
      </w:r>
      <w:r w:rsidR="006C3BDC">
        <w:rPr>
          <w:rFonts w:ascii="Arial" w:hAnsi="Arial" w:cs="Arial"/>
          <w:sz w:val="22"/>
          <w:szCs w:val="22"/>
        </w:rPr>
        <w:t>the standard; 11.</w:t>
      </w:r>
      <w:r w:rsidR="001D3A17">
        <w:rPr>
          <w:rFonts w:ascii="Arial" w:hAnsi="Arial" w:cs="Arial"/>
          <w:sz w:val="22"/>
          <w:szCs w:val="22"/>
        </w:rPr>
        <w:t>2</w:t>
      </w:r>
      <w:r w:rsidR="006C3BDC" w:rsidRPr="007B484D">
        <w:rPr>
          <w:rFonts w:ascii="Arial" w:hAnsi="Arial" w:cs="Arial"/>
          <w:sz w:val="22"/>
          <w:szCs w:val="22"/>
        </w:rPr>
        <w:t xml:space="preserve">% </w:t>
      </w:r>
      <w:r w:rsidR="000940F6">
        <w:rPr>
          <w:rFonts w:ascii="Arial" w:hAnsi="Arial" w:cs="Arial"/>
          <w:sz w:val="22"/>
          <w:szCs w:val="22"/>
        </w:rPr>
        <w:t>deviated</w:t>
      </w:r>
      <w:r w:rsidR="006C3BDC">
        <w:rPr>
          <w:rFonts w:ascii="Arial" w:hAnsi="Arial" w:cs="Arial"/>
          <w:sz w:val="22"/>
          <w:szCs w:val="22"/>
        </w:rPr>
        <w:t xml:space="preserve"> by </w:t>
      </w:r>
      <w:r w:rsidR="006C3BDC" w:rsidRPr="007B484D">
        <w:rPr>
          <w:rFonts w:ascii="Arial" w:hAnsi="Arial" w:cs="Arial"/>
          <w:sz w:val="22"/>
          <w:szCs w:val="22"/>
        </w:rPr>
        <w:t>more than 10%</w:t>
      </w:r>
      <w:r w:rsidR="006C3BDC">
        <w:rPr>
          <w:rFonts w:ascii="Arial" w:hAnsi="Arial" w:cs="Arial"/>
          <w:sz w:val="22"/>
          <w:szCs w:val="22"/>
        </w:rPr>
        <w:t xml:space="preserve"> </w:t>
      </w:r>
      <w:r w:rsidR="000940F6">
        <w:rPr>
          <w:rFonts w:ascii="Arial" w:hAnsi="Arial" w:cs="Arial"/>
          <w:sz w:val="22"/>
          <w:szCs w:val="22"/>
        </w:rPr>
        <w:t xml:space="preserve">of the standard </w:t>
      </w:r>
      <w:r w:rsidR="006C3BDC">
        <w:rPr>
          <w:rFonts w:ascii="Arial" w:hAnsi="Arial" w:cs="Arial"/>
          <w:sz w:val="22"/>
          <w:szCs w:val="22"/>
        </w:rPr>
        <w:t>and 1.</w:t>
      </w:r>
      <w:r w:rsidR="00E860BA">
        <w:rPr>
          <w:rFonts w:ascii="Arial" w:hAnsi="Arial" w:cs="Arial"/>
          <w:sz w:val="22"/>
          <w:szCs w:val="22"/>
        </w:rPr>
        <w:t>5</w:t>
      </w:r>
      <w:r w:rsidR="006C3BDC">
        <w:rPr>
          <w:rFonts w:ascii="Arial" w:hAnsi="Arial" w:cs="Arial"/>
          <w:sz w:val="22"/>
          <w:szCs w:val="22"/>
        </w:rPr>
        <w:t>% did not have a comparative NDSS standard.</w:t>
      </w:r>
    </w:p>
    <w:p w:rsidR="001D44AC" w:rsidRDefault="001D44AC" w:rsidP="006C3BDC">
      <w:pPr>
        <w:spacing w:line="300" w:lineRule="atLeast"/>
        <w:ind w:left="709" w:hanging="709"/>
        <w:rPr>
          <w:rFonts w:ascii="Arial" w:hAnsi="Arial" w:cs="Arial"/>
          <w:sz w:val="22"/>
          <w:szCs w:val="22"/>
        </w:rPr>
      </w:pPr>
    </w:p>
    <w:p w:rsidR="002079A2" w:rsidRDefault="001D44AC" w:rsidP="001D44AC">
      <w:pPr>
        <w:spacing w:line="300" w:lineRule="atLeast"/>
        <w:ind w:left="709" w:hanging="709"/>
        <w:rPr>
          <w:rFonts w:ascii="Arial" w:hAnsi="Arial" w:cs="Arial"/>
          <w:sz w:val="22"/>
          <w:szCs w:val="22"/>
        </w:rPr>
      </w:pPr>
      <w:r>
        <w:rPr>
          <w:rFonts w:ascii="Arial" w:hAnsi="Arial" w:cs="Arial"/>
          <w:sz w:val="22"/>
          <w:szCs w:val="22"/>
        </w:rPr>
        <w:t>3.</w:t>
      </w:r>
      <w:r w:rsidR="008A4229">
        <w:rPr>
          <w:rFonts w:ascii="Arial" w:hAnsi="Arial" w:cs="Arial"/>
          <w:sz w:val="22"/>
          <w:szCs w:val="22"/>
        </w:rPr>
        <w:t>9</w:t>
      </w:r>
      <w:r>
        <w:rPr>
          <w:rFonts w:ascii="Arial" w:hAnsi="Arial" w:cs="Arial"/>
          <w:sz w:val="22"/>
          <w:szCs w:val="22"/>
        </w:rPr>
        <w:tab/>
        <w:t xml:space="preserve">Table 5 </w:t>
      </w:r>
      <w:r w:rsidR="00FE5DD8">
        <w:rPr>
          <w:rFonts w:ascii="Arial" w:hAnsi="Arial" w:cs="Arial"/>
          <w:sz w:val="22"/>
          <w:szCs w:val="22"/>
        </w:rPr>
        <w:t xml:space="preserve">also </w:t>
      </w:r>
      <w:r>
        <w:rPr>
          <w:rFonts w:ascii="Arial" w:hAnsi="Arial" w:cs="Arial"/>
          <w:sz w:val="22"/>
          <w:szCs w:val="22"/>
        </w:rPr>
        <w:t>shows compliance against the individual standards set out for each dwelling size in the NDSS.</w:t>
      </w:r>
      <w:r w:rsidR="002079A2">
        <w:rPr>
          <w:rFonts w:ascii="Arial" w:hAnsi="Arial" w:cs="Arial"/>
          <w:sz w:val="22"/>
          <w:szCs w:val="22"/>
        </w:rPr>
        <w:t xml:space="preserve"> No patterns can be observed in relation to compliance by dwelling type. Overall, there appears to be a range of compliance</w:t>
      </w:r>
      <w:r w:rsidR="003F053E">
        <w:rPr>
          <w:rFonts w:ascii="Arial" w:hAnsi="Arial" w:cs="Arial"/>
          <w:sz w:val="22"/>
          <w:szCs w:val="22"/>
        </w:rPr>
        <w:t xml:space="preserve"> across the individual types of dwellings. </w:t>
      </w:r>
    </w:p>
    <w:p w:rsidR="003F053E" w:rsidRDefault="003F053E" w:rsidP="001D44AC">
      <w:pPr>
        <w:spacing w:line="300" w:lineRule="atLeast"/>
        <w:ind w:left="709" w:hanging="709"/>
        <w:rPr>
          <w:rFonts w:ascii="Arial" w:hAnsi="Arial" w:cs="Arial"/>
          <w:sz w:val="22"/>
          <w:szCs w:val="22"/>
        </w:rPr>
      </w:pPr>
    </w:p>
    <w:p w:rsidR="001D44AC" w:rsidRPr="007B484D" w:rsidRDefault="003F053E" w:rsidP="00A96958">
      <w:pPr>
        <w:spacing w:line="300" w:lineRule="atLeast"/>
        <w:ind w:left="709" w:hanging="709"/>
        <w:rPr>
          <w:rFonts w:ascii="Arial" w:hAnsi="Arial" w:cs="Arial"/>
          <w:sz w:val="22"/>
          <w:szCs w:val="22"/>
        </w:rPr>
      </w:pPr>
      <w:r>
        <w:rPr>
          <w:rFonts w:ascii="Arial" w:hAnsi="Arial" w:cs="Arial"/>
          <w:sz w:val="22"/>
          <w:szCs w:val="22"/>
        </w:rPr>
        <w:t>3.</w:t>
      </w:r>
      <w:r w:rsidR="008A4229">
        <w:rPr>
          <w:rFonts w:ascii="Arial" w:hAnsi="Arial" w:cs="Arial"/>
          <w:sz w:val="22"/>
          <w:szCs w:val="22"/>
        </w:rPr>
        <w:t>10</w:t>
      </w:r>
      <w:r>
        <w:rPr>
          <w:rFonts w:ascii="Arial" w:hAnsi="Arial" w:cs="Arial"/>
          <w:sz w:val="22"/>
          <w:szCs w:val="22"/>
        </w:rPr>
        <w:tab/>
        <w:t>It show</w:t>
      </w:r>
      <w:r w:rsidR="0041678D">
        <w:rPr>
          <w:rFonts w:ascii="Arial" w:hAnsi="Arial" w:cs="Arial"/>
          <w:sz w:val="22"/>
          <w:szCs w:val="22"/>
        </w:rPr>
        <w:t xml:space="preserve">s </w:t>
      </w:r>
      <w:r>
        <w:rPr>
          <w:rFonts w:ascii="Arial" w:hAnsi="Arial" w:cs="Arial"/>
          <w:sz w:val="22"/>
          <w:szCs w:val="22"/>
        </w:rPr>
        <w:t xml:space="preserve">that housing delivery in the city over the last few years has been </w:t>
      </w:r>
      <w:r w:rsidR="0041678D">
        <w:rPr>
          <w:rFonts w:ascii="Arial" w:hAnsi="Arial" w:cs="Arial"/>
          <w:sz w:val="22"/>
          <w:szCs w:val="22"/>
        </w:rPr>
        <w:t xml:space="preserve">dominated by </w:t>
      </w:r>
      <w:r>
        <w:rPr>
          <w:rFonts w:ascii="Arial" w:hAnsi="Arial" w:cs="Arial"/>
          <w:sz w:val="22"/>
          <w:szCs w:val="22"/>
        </w:rPr>
        <w:t xml:space="preserve">1 and 2 bed dwellings, which is consistent with the AMR </w:t>
      </w:r>
      <w:r w:rsidR="001D3A17">
        <w:rPr>
          <w:rFonts w:ascii="Arial" w:hAnsi="Arial" w:cs="Arial"/>
          <w:sz w:val="22"/>
          <w:szCs w:val="22"/>
        </w:rPr>
        <w:t>2018/</w:t>
      </w:r>
      <w:r>
        <w:rPr>
          <w:rFonts w:ascii="Arial" w:hAnsi="Arial" w:cs="Arial"/>
          <w:sz w:val="22"/>
          <w:szCs w:val="22"/>
        </w:rPr>
        <w:t>19</w:t>
      </w:r>
      <w:r w:rsidR="0041678D">
        <w:rPr>
          <w:rFonts w:ascii="Arial" w:hAnsi="Arial" w:cs="Arial"/>
          <w:sz w:val="22"/>
          <w:szCs w:val="22"/>
        </w:rPr>
        <w:t xml:space="preserve"> (see below)</w:t>
      </w:r>
      <w:r>
        <w:rPr>
          <w:rFonts w:ascii="Arial" w:hAnsi="Arial" w:cs="Arial"/>
          <w:sz w:val="22"/>
          <w:szCs w:val="22"/>
        </w:rPr>
        <w:t>. Compliance in t</w:t>
      </w:r>
      <w:r w:rsidR="00A96958">
        <w:rPr>
          <w:rFonts w:ascii="Arial" w:hAnsi="Arial" w:cs="Arial"/>
          <w:sz w:val="22"/>
          <w:szCs w:val="22"/>
        </w:rPr>
        <w:t>h</w:t>
      </w:r>
      <w:r w:rsidR="0041678D">
        <w:rPr>
          <w:rFonts w:ascii="Arial" w:hAnsi="Arial" w:cs="Arial"/>
          <w:sz w:val="22"/>
          <w:szCs w:val="22"/>
        </w:rPr>
        <w:t xml:space="preserve">ese </w:t>
      </w:r>
      <w:proofErr w:type="gramStart"/>
      <w:r w:rsidR="0041678D">
        <w:rPr>
          <w:rFonts w:ascii="Arial" w:hAnsi="Arial" w:cs="Arial"/>
          <w:sz w:val="22"/>
          <w:szCs w:val="22"/>
        </w:rPr>
        <w:t>dwellings</w:t>
      </w:r>
      <w:proofErr w:type="gramEnd"/>
      <w:r w:rsidR="00A96958">
        <w:rPr>
          <w:rFonts w:ascii="Arial" w:hAnsi="Arial" w:cs="Arial"/>
          <w:sz w:val="22"/>
          <w:szCs w:val="22"/>
        </w:rPr>
        <w:t xml:space="preserve"> ranges from 99.8% for 1-bed 1-person (1 </w:t>
      </w:r>
      <w:proofErr w:type="spellStart"/>
      <w:r w:rsidR="00A96958">
        <w:rPr>
          <w:rFonts w:ascii="Arial" w:hAnsi="Arial" w:cs="Arial"/>
          <w:sz w:val="22"/>
          <w:szCs w:val="22"/>
        </w:rPr>
        <w:t>storey</w:t>
      </w:r>
      <w:proofErr w:type="spellEnd"/>
      <w:r w:rsidR="00A96958">
        <w:rPr>
          <w:rFonts w:ascii="Arial" w:hAnsi="Arial" w:cs="Arial"/>
          <w:sz w:val="22"/>
          <w:szCs w:val="22"/>
        </w:rPr>
        <w:t xml:space="preserve">) dwellings to 46.7% in 1 -bed 2-person (1 </w:t>
      </w:r>
      <w:proofErr w:type="spellStart"/>
      <w:r w:rsidR="00A96958">
        <w:rPr>
          <w:rFonts w:ascii="Arial" w:hAnsi="Arial" w:cs="Arial"/>
          <w:sz w:val="22"/>
          <w:szCs w:val="22"/>
        </w:rPr>
        <w:t>storey</w:t>
      </w:r>
      <w:proofErr w:type="spellEnd"/>
      <w:r w:rsidR="00A96958">
        <w:rPr>
          <w:rFonts w:ascii="Arial" w:hAnsi="Arial" w:cs="Arial"/>
          <w:sz w:val="22"/>
          <w:szCs w:val="22"/>
        </w:rPr>
        <w:t>) dwellings. In 3, 4 and 5 bed houses, compliance with the NDSS ranges from 57.5% to 100%.</w:t>
      </w:r>
      <w:r w:rsidR="001D44AC">
        <w:rPr>
          <w:rFonts w:ascii="Arial" w:hAnsi="Arial" w:cs="Arial"/>
          <w:sz w:val="22"/>
          <w:szCs w:val="22"/>
        </w:rPr>
        <w:t xml:space="preserve"> </w:t>
      </w:r>
    </w:p>
    <w:p w:rsidR="006C3BDC" w:rsidRDefault="006C3BDC" w:rsidP="006C3BDC">
      <w:pPr>
        <w:pStyle w:val="ListParagraph"/>
        <w:spacing w:line="300" w:lineRule="atLeast"/>
        <w:ind w:left="709"/>
        <w:rPr>
          <w:rFonts w:ascii="Arial" w:hAnsi="Arial" w:cs="Arial"/>
          <w:sz w:val="22"/>
          <w:szCs w:val="22"/>
        </w:rPr>
      </w:pPr>
    </w:p>
    <w:p w:rsidR="006C3BDC" w:rsidRDefault="001D44AC" w:rsidP="006C3BDC">
      <w:pPr>
        <w:spacing w:line="300" w:lineRule="atLeast"/>
        <w:ind w:left="709" w:hanging="709"/>
        <w:rPr>
          <w:rFonts w:ascii="Arial" w:hAnsi="Arial" w:cs="Arial"/>
          <w:sz w:val="22"/>
          <w:szCs w:val="22"/>
        </w:rPr>
      </w:pPr>
      <w:r>
        <w:rPr>
          <w:rFonts w:ascii="Arial" w:hAnsi="Arial" w:cs="Arial"/>
          <w:sz w:val="22"/>
          <w:szCs w:val="22"/>
        </w:rPr>
        <w:t>3.</w:t>
      </w:r>
      <w:r w:rsidR="00A96958">
        <w:rPr>
          <w:rFonts w:ascii="Arial" w:hAnsi="Arial" w:cs="Arial"/>
          <w:sz w:val="22"/>
          <w:szCs w:val="22"/>
        </w:rPr>
        <w:t>1</w:t>
      </w:r>
      <w:r w:rsidR="008A4229">
        <w:rPr>
          <w:rFonts w:ascii="Arial" w:hAnsi="Arial" w:cs="Arial"/>
          <w:sz w:val="22"/>
          <w:szCs w:val="22"/>
        </w:rPr>
        <w:t>1</w:t>
      </w:r>
      <w:r w:rsidR="006C3BDC">
        <w:rPr>
          <w:rFonts w:ascii="Arial" w:hAnsi="Arial" w:cs="Arial"/>
          <w:sz w:val="22"/>
          <w:szCs w:val="22"/>
        </w:rPr>
        <w:tab/>
        <w:t xml:space="preserve">Table 4 shows compliance by scheme and </w:t>
      </w:r>
      <w:r w:rsidR="000940F6">
        <w:rPr>
          <w:rFonts w:ascii="Arial" w:hAnsi="Arial" w:cs="Arial"/>
          <w:sz w:val="22"/>
          <w:szCs w:val="22"/>
        </w:rPr>
        <w:t>scale of application.</w:t>
      </w:r>
      <w:r w:rsidR="006C3BDC">
        <w:rPr>
          <w:rFonts w:ascii="Arial" w:hAnsi="Arial" w:cs="Arial"/>
          <w:sz w:val="22"/>
          <w:szCs w:val="22"/>
        </w:rPr>
        <w:t xml:space="preserve"> The percentage of fully compliant dwellings in large scale major schemes was 33.3% compared to 40.2% in small scale major schemes and 41.4% in minor schemes. </w:t>
      </w:r>
    </w:p>
    <w:p w:rsidR="006C3BDC" w:rsidRDefault="006C3BDC" w:rsidP="006C3BDC">
      <w:pPr>
        <w:spacing w:line="300" w:lineRule="atLeast"/>
        <w:ind w:left="709" w:hanging="709"/>
        <w:rPr>
          <w:rFonts w:ascii="Arial" w:hAnsi="Arial" w:cs="Arial"/>
          <w:sz w:val="22"/>
          <w:szCs w:val="22"/>
        </w:rPr>
      </w:pPr>
    </w:p>
    <w:p w:rsidR="006C3BDC" w:rsidRPr="00C85C91" w:rsidRDefault="001D3A17" w:rsidP="00325D60">
      <w:pPr>
        <w:spacing w:line="300" w:lineRule="atLeast"/>
        <w:rPr>
          <w:rFonts w:ascii="Arial" w:hAnsi="Arial" w:cs="Arial"/>
          <w:sz w:val="22"/>
          <w:szCs w:val="22"/>
        </w:rPr>
      </w:pPr>
      <w:r>
        <w:rPr>
          <w:rFonts w:ascii="Arial" w:hAnsi="Arial" w:cs="Arial"/>
          <w:sz w:val="22"/>
          <w:szCs w:val="22"/>
        </w:rPr>
        <w:t>3.1</w:t>
      </w:r>
      <w:r w:rsidR="008A4229">
        <w:rPr>
          <w:rFonts w:ascii="Arial" w:hAnsi="Arial" w:cs="Arial"/>
          <w:sz w:val="22"/>
          <w:szCs w:val="22"/>
        </w:rPr>
        <w:t>2</w:t>
      </w:r>
      <w:r w:rsidR="006C3BDC">
        <w:rPr>
          <w:rFonts w:ascii="Arial" w:hAnsi="Arial" w:cs="Arial"/>
          <w:sz w:val="22"/>
          <w:szCs w:val="22"/>
        </w:rPr>
        <w:tab/>
        <w:t xml:space="preserve">Smaller dwellings </w:t>
      </w:r>
      <w:r w:rsidR="0041678D">
        <w:rPr>
          <w:rFonts w:ascii="Arial" w:hAnsi="Arial" w:cs="Arial"/>
          <w:sz w:val="22"/>
          <w:szCs w:val="22"/>
        </w:rPr>
        <w:t xml:space="preserve">have </w:t>
      </w:r>
      <w:r w:rsidR="006C3BDC" w:rsidRPr="00C85C91">
        <w:rPr>
          <w:rFonts w:ascii="Arial" w:hAnsi="Arial" w:cs="Arial"/>
          <w:sz w:val="22"/>
          <w:szCs w:val="22"/>
        </w:rPr>
        <w:t>constitute</w:t>
      </w:r>
      <w:r w:rsidR="0041678D">
        <w:rPr>
          <w:rFonts w:ascii="Arial" w:hAnsi="Arial" w:cs="Arial"/>
          <w:sz w:val="22"/>
          <w:szCs w:val="22"/>
        </w:rPr>
        <w:t>d</w:t>
      </w:r>
      <w:r w:rsidR="006C3BDC" w:rsidRPr="00C85C91">
        <w:rPr>
          <w:rFonts w:ascii="Arial" w:hAnsi="Arial" w:cs="Arial"/>
          <w:sz w:val="22"/>
          <w:szCs w:val="22"/>
        </w:rPr>
        <w:t xml:space="preserve"> a high proportion of new build dwellings in Birmingham. </w:t>
      </w:r>
    </w:p>
    <w:p w:rsidR="006C3BDC" w:rsidRDefault="006C3BDC" w:rsidP="006C3BDC">
      <w:pPr>
        <w:spacing w:line="300" w:lineRule="atLeast"/>
        <w:ind w:left="709"/>
        <w:rPr>
          <w:rFonts w:ascii="Arial" w:hAnsi="Arial" w:cs="Arial"/>
          <w:sz w:val="22"/>
          <w:szCs w:val="22"/>
        </w:rPr>
      </w:pPr>
      <w:r w:rsidRPr="00597B89">
        <w:rPr>
          <w:rFonts w:ascii="Arial" w:hAnsi="Arial" w:cs="Arial"/>
          <w:sz w:val="22"/>
          <w:szCs w:val="22"/>
        </w:rPr>
        <w:t xml:space="preserve">Between 2011 </w:t>
      </w:r>
      <w:r>
        <w:rPr>
          <w:rFonts w:ascii="Arial" w:hAnsi="Arial" w:cs="Arial"/>
          <w:sz w:val="22"/>
          <w:szCs w:val="22"/>
        </w:rPr>
        <w:t xml:space="preserve">/12 </w:t>
      </w:r>
      <w:r w:rsidRPr="00597B89">
        <w:rPr>
          <w:rFonts w:ascii="Arial" w:hAnsi="Arial" w:cs="Arial"/>
          <w:sz w:val="22"/>
          <w:szCs w:val="22"/>
        </w:rPr>
        <w:t>and 2018</w:t>
      </w:r>
      <w:r>
        <w:rPr>
          <w:rFonts w:ascii="Arial" w:hAnsi="Arial" w:cs="Arial"/>
          <w:sz w:val="22"/>
          <w:szCs w:val="22"/>
        </w:rPr>
        <w:t>/19, 30</w:t>
      </w:r>
      <w:r w:rsidRPr="00597B89">
        <w:rPr>
          <w:rFonts w:ascii="Arial" w:hAnsi="Arial" w:cs="Arial"/>
          <w:sz w:val="22"/>
          <w:szCs w:val="22"/>
        </w:rPr>
        <w:t xml:space="preserve">% of </w:t>
      </w:r>
      <w:r>
        <w:rPr>
          <w:rFonts w:ascii="Arial" w:hAnsi="Arial" w:cs="Arial"/>
          <w:sz w:val="22"/>
          <w:szCs w:val="22"/>
        </w:rPr>
        <w:t xml:space="preserve">all </w:t>
      </w:r>
      <w:r w:rsidRPr="00597B89">
        <w:rPr>
          <w:rFonts w:ascii="Arial" w:hAnsi="Arial" w:cs="Arial"/>
          <w:sz w:val="22"/>
          <w:szCs w:val="22"/>
        </w:rPr>
        <w:t xml:space="preserve">new build residential development in the city comprised </w:t>
      </w:r>
      <w:r>
        <w:rPr>
          <w:rFonts w:ascii="Arial" w:hAnsi="Arial" w:cs="Arial"/>
          <w:sz w:val="22"/>
          <w:szCs w:val="22"/>
        </w:rPr>
        <w:t xml:space="preserve">of </w:t>
      </w:r>
      <w:r w:rsidRPr="00597B89">
        <w:rPr>
          <w:rFonts w:ascii="Arial" w:hAnsi="Arial" w:cs="Arial"/>
          <w:sz w:val="22"/>
          <w:szCs w:val="22"/>
        </w:rPr>
        <w:t xml:space="preserve">1 bed </w:t>
      </w:r>
      <w:r>
        <w:rPr>
          <w:rFonts w:ascii="Arial" w:hAnsi="Arial" w:cs="Arial"/>
          <w:sz w:val="22"/>
          <w:szCs w:val="22"/>
        </w:rPr>
        <w:t xml:space="preserve">dwellings </w:t>
      </w:r>
      <w:r w:rsidRPr="00597B89">
        <w:rPr>
          <w:rFonts w:ascii="Arial" w:hAnsi="Arial" w:cs="Arial"/>
          <w:sz w:val="22"/>
          <w:szCs w:val="22"/>
        </w:rPr>
        <w:t xml:space="preserve">and </w:t>
      </w:r>
      <w:r>
        <w:rPr>
          <w:rFonts w:ascii="Arial" w:hAnsi="Arial" w:cs="Arial"/>
          <w:sz w:val="22"/>
          <w:szCs w:val="22"/>
        </w:rPr>
        <w:t xml:space="preserve">38.4% were </w:t>
      </w:r>
      <w:r w:rsidRPr="00597B89">
        <w:rPr>
          <w:rFonts w:ascii="Arial" w:hAnsi="Arial" w:cs="Arial"/>
          <w:sz w:val="22"/>
          <w:szCs w:val="22"/>
        </w:rPr>
        <w:t xml:space="preserve">2 bed </w:t>
      </w:r>
      <w:r>
        <w:rPr>
          <w:rFonts w:ascii="Arial" w:hAnsi="Arial" w:cs="Arial"/>
          <w:sz w:val="22"/>
          <w:szCs w:val="22"/>
        </w:rPr>
        <w:t>dwellings</w:t>
      </w:r>
      <w:r w:rsidRPr="00597B89">
        <w:rPr>
          <w:rFonts w:ascii="Arial" w:hAnsi="Arial" w:cs="Arial"/>
          <w:sz w:val="22"/>
          <w:szCs w:val="22"/>
        </w:rPr>
        <w:t xml:space="preserve">. </w:t>
      </w:r>
      <w:r>
        <w:rPr>
          <w:rFonts w:ascii="Arial" w:hAnsi="Arial" w:cs="Arial"/>
          <w:sz w:val="22"/>
          <w:szCs w:val="22"/>
        </w:rPr>
        <w:t xml:space="preserve">The majority of these were flats. (See Tables </w:t>
      </w:r>
      <w:r w:rsidR="00E76CC4">
        <w:rPr>
          <w:rFonts w:ascii="Arial" w:hAnsi="Arial" w:cs="Arial"/>
          <w:sz w:val="22"/>
          <w:szCs w:val="22"/>
        </w:rPr>
        <w:t>3</w:t>
      </w:r>
      <w:r>
        <w:rPr>
          <w:rFonts w:ascii="Arial" w:hAnsi="Arial" w:cs="Arial"/>
          <w:sz w:val="22"/>
          <w:szCs w:val="22"/>
        </w:rPr>
        <w:t xml:space="preserve"> and </w:t>
      </w:r>
      <w:r w:rsidR="00E76CC4">
        <w:rPr>
          <w:rFonts w:ascii="Arial" w:hAnsi="Arial" w:cs="Arial"/>
          <w:sz w:val="22"/>
          <w:szCs w:val="22"/>
        </w:rPr>
        <w:t>4</w:t>
      </w:r>
      <w:r>
        <w:rPr>
          <w:rFonts w:ascii="Arial" w:hAnsi="Arial" w:cs="Arial"/>
          <w:sz w:val="22"/>
          <w:szCs w:val="22"/>
        </w:rPr>
        <w:t xml:space="preserve"> below extracted from the AMR 2018/19). </w:t>
      </w:r>
      <w:r w:rsidRPr="00597B89">
        <w:rPr>
          <w:rFonts w:ascii="Arial" w:hAnsi="Arial" w:cs="Arial"/>
          <w:sz w:val="22"/>
          <w:szCs w:val="22"/>
        </w:rPr>
        <w:t xml:space="preserve">This trend is likely to continue </w:t>
      </w:r>
      <w:r>
        <w:rPr>
          <w:rFonts w:ascii="Arial" w:hAnsi="Arial" w:cs="Arial"/>
          <w:sz w:val="22"/>
          <w:szCs w:val="22"/>
        </w:rPr>
        <w:t>based on</w:t>
      </w:r>
      <w:r w:rsidRPr="00597B89">
        <w:rPr>
          <w:rFonts w:ascii="Arial" w:hAnsi="Arial" w:cs="Arial"/>
          <w:sz w:val="22"/>
          <w:szCs w:val="22"/>
        </w:rPr>
        <w:t xml:space="preserve"> the sites identified in the Strategic Housing Land Availability Assessment (SHLAA 2019).</w:t>
      </w:r>
      <w:r>
        <w:rPr>
          <w:rFonts w:ascii="Arial" w:hAnsi="Arial" w:cs="Arial"/>
          <w:sz w:val="22"/>
          <w:szCs w:val="22"/>
        </w:rPr>
        <w:t xml:space="preserve"> However, an increased amount of larger family sized housing is expected to come </w:t>
      </w:r>
      <w:proofErr w:type="gramStart"/>
      <w:r>
        <w:rPr>
          <w:rFonts w:ascii="Arial" w:hAnsi="Arial" w:cs="Arial"/>
          <w:sz w:val="22"/>
          <w:szCs w:val="22"/>
        </w:rPr>
        <w:t>forward</w:t>
      </w:r>
      <w:proofErr w:type="gramEnd"/>
      <w:r>
        <w:rPr>
          <w:rFonts w:ascii="Arial" w:hAnsi="Arial" w:cs="Arial"/>
          <w:sz w:val="22"/>
          <w:szCs w:val="22"/>
        </w:rPr>
        <w:t xml:space="preserve"> over the plan period as the Langley Sustainable Urban Extension and other non-city </w:t>
      </w:r>
      <w:proofErr w:type="spellStart"/>
      <w:r>
        <w:rPr>
          <w:rFonts w:ascii="Arial" w:hAnsi="Arial" w:cs="Arial"/>
          <w:sz w:val="22"/>
          <w:szCs w:val="22"/>
        </w:rPr>
        <w:t>centre</w:t>
      </w:r>
      <w:proofErr w:type="spellEnd"/>
      <w:r>
        <w:rPr>
          <w:rFonts w:ascii="Arial" w:hAnsi="Arial" w:cs="Arial"/>
          <w:sz w:val="22"/>
          <w:szCs w:val="22"/>
        </w:rPr>
        <w:t xml:space="preserve"> site</w:t>
      </w:r>
      <w:r w:rsidR="001D3A17">
        <w:rPr>
          <w:rFonts w:ascii="Arial" w:hAnsi="Arial" w:cs="Arial"/>
          <w:sz w:val="22"/>
          <w:szCs w:val="22"/>
        </w:rPr>
        <w:t>s start to deliver</w:t>
      </w:r>
      <w:r>
        <w:rPr>
          <w:rFonts w:ascii="Arial" w:hAnsi="Arial" w:cs="Arial"/>
          <w:sz w:val="22"/>
          <w:szCs w:val="22"/>
        </w:rPr>
        <w:t xml:space="preserve">. (See Tables </w:t>
      </w:r>
      <w:r w:rsidR="00E76CC4">
        <w:rPr>
          <w:rFonts w:ascii="Arial" w:hAnsi="Arial" w:cs="Arial"/>
          <w:sz w:val="22"/>
          <w:szCs w:val="22"/>
        </w:rPr>
        <w:t>5</w:t>
      </w:r>
      <w:r>
        <w:rPr>
          <w:rFonts w:ascii="Arial" w:hAnsi="Arial" w:cs="Arial"/>
          <w:sz w:val="22"/>
          <w:szCs w:val="22"/>
        </w:rPr>
        <w:t xml:space="preserve"> and </w:t>
      </w:r>
      <w:r w:rsidR="00E76CC4">
        <w:rPr>
          <w:rFonts w:ascii="Arial" w:hAnsi="Arial" w:cs="Arial"/>
          <w:sz w:val="22"/>
          <w:szCs w:val="22"/>
        </w:rPr>
        <w:t>6</w:t>
      </w:r>
      <w:r>
        <w:rPr>
          <w:rFonts w:ascii="Arial" w:hAnsi="Arial" w:cs="Arial"/>
          <w:sz w:val="22"/>
          <w:szCs w:val="22"/>
        </w:rPr>
        <w:t xml:space="preserve"> below extracted from SHLAA 2019).</w:t>
      </w:r>
    </w:p>
    <w:p w:rsidR="00610E57" w:rsidRDefault="00610E57" w:rsidP="006559A6">
      <w:pPr>
        <w:spacing w:line="300" w:lineRule="atLeast"/>
        <w:rPr>
          <w:rFonts w:ascii="Arial" w:hAnsi="Arial" w:cs="Arial"/>
          <w:sz w:val="22"/>
          <w:szCs w:val="22"/>
        </w:rPr>
      </w:pPr>
    </w:p>
    <w:p w:rsidR="006C3BDC" w:rsidRPr="00C31D77" w:rsidRDefault="006C3BDC" w:rsidP="006C3BDC">
      <w:pPr>
        <w:ind w:firstLine="709"/>
        <w:rPr>
          <w:rFonts w:ascii="Arial" w:hAnsi="Arial" w:cs="Arial"/>
          <w:bCs/>
          <w:sz w:val="22"/>
          <w:szCs w:val="22"/>
        </w:rPr>
      </w:pPr>
      <w:r w:rsidRPr="00C31D77">
        <w:rPr>
          <w:rFonts w:ascii="Arial" w:hAnsi="Arial" w:cs="Arial"/>
          <w:bCs/>
          <w:sz w:val="22"/>
          <w:szCs w:val="22"/>
        </w:rPr>
        <w:lastRenderedPageBreak/>
        <w:t xml:space="preserve">Table </w:t>
      </w:r>
      <w:r w:rsidR="00E76CC4">
        <w:rPr>
          <w:rFonts w:ascii="Arial" w:hAnsi="Arial" w:cs="Arial"/>
          <w:bCs/>
          <w:sz w:val="22"/>
          <w:szCs w:val="22"/>
        </w:rPr>
        <w:t>3</w:t>
      </w:r>
      <w:r w:rsidRPr="00C31D77">
        <w:rPr>
          <w:rFonts w:ascii="Arial" w:hAnsi="Arial" w:cs="Arial"/>
          <w:bCs/>
          <w:sz w:val="22"/>
          <w:szCs w:val="22"/>
        </w:rPr>
        <w:t>: Completions* by Number of Bedrooms (City wide Gross)</w:t>
      </w:r>
    </w:p>
    <w:p w:rsidR="006C3BDC" w:rsidRPr="00C31D77" w:rsidRDefault="006C3BDC" w:rsidP="006C3BDC">
      <w:pPr>
        <w:rPr>
          <w:rFonts w:ascii="Arial" w:hAnsi="Arial" w:cs="Arial"/>
          <w:bCs/>
          <w:sz w:val="22"/>
          <w:szCs w:val="22"/>
        </w:rPr>
      </w:pPr>
    </w:p>
    <w:tbl>
      <w:tblPr>
        <w:tblW w:w="8080" w:type="dxa"/>
        <w:tblInd w:w="899" w:type="dxa"/>
        <w:tblLayout w:type="fixed"/>
        <w:tblCellMar>
          <w:left w:w="0" w:type="dxa"/>
          <w:right w:w="0" w:type="dxa"/>
        </w:tblCellMar>
        <w:tblLook w:val="04A0" w:firstRow="1" w:lastRow="0" w:firstColumn="1" w:lastColumn="0" w:noHBand="0" w:noVBand="1"/>
      </w:tblPr>
      <w:tblGrid>
        <w:gridCol w:w="1346"/>
        <w:gridCol w:w="1347"/>
        <w:gridCol w:w="1347"/>
        <w:gridCol w:w="1346"/>
        <w:gridCol w:w="1347"/>
        <w:gridCol w:w="1347"/>
      </w:tblGrid>
      <w:tr w:rsidR="006C3BDC" w:rsidRPr="00C31D77" w:rsidTr="00610E57">
        <w:trPr>
          <w:trHeight w:val="231"/>
        </w:trPr>
        <w:tc>
          <w:tcPr>
            <w:tcW w:w="1346"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hideMark/>
          </w:tcPr>
          <w:p w:rsidR="006C3BDC" w:rsidRPr="00C31D77" w:rsidRDefault="006C3BDC" w:rsidP="003F053E">
            <w:pPr>
              <w:rPr>
                <w:rFonts w:ascii="Arial" w:hAnsi="Arial" w:cs="Arial"/>
                <w:b/>
                <w:bCs/>
                <w:color w:val="000000"/>
                <w:sz w:val="22"/>
                <w:szCs w:val="22"/>
                <w:lang w:eastAsia="en-GB"/>
              </w:rPr>
            </w:pPr>
            <w:r w:rsidRPr="00C31D77">
              <w:rPr>
                <w:rFonts w:ascii="Arial" w:hAnsi="Arial" w:cs="Arial"/>
                <w:b/>
                <w:bCs/>
                <w:color w:val="000000"/>
                <w:sz w:val="22"/>
                <w:szCs w:val="22"/>
                <w:lang w:eastAsia="en-GB"/>
              </w:rPr>
              <w:t>Year</w:t>
            </w:r>
          </w:p>
        </w:tc>
        <w:tc>
          <w:tcPr>
            <w:tcW w:w="134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C3BDC" w:rsidRPr="00C31D77" w:rsidRDefault="006C3BDC" w:rsidP="003F053E">
            <w:pPr>
              <w:rPr>
                <w:rFonts w:ascii="Arial" w:hAnsi="Arial" w:cs="Arial"/>
                <w:b/>
                <w:bCs/>
                <w:color w:val="000000"/>
                <w:sz w:val="22"/>
                <w:szCs w:val="22"/>
                <w:lang w:eastAsia="en-GB"/>
              </w:rPr>
            </w:pPr>
            <w:r w:rsidRPr="00C31D77">
              <w:rPr>
                <w:rFonts w:ascii="Arial" w:hAnsi="Arial" w:cs="Arial"/>
                <w:b/>
                <w:bCs/>
                <w:color w:val="000000"/>
                <w:sz w:val="22"/>
                <w:szCs w:val="22"/>
                <w:lang w:eastAsia="en-GB"/>
              </w:rPr>
              <w:t>1 bed</w:t>
            </w:r>
          </w:p>
        </w:tc>
        <w:tc>
          <w:tcPr>
            <w:tcW w:w="134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C3BDC" w:rsidRPr="00C31D77" w:rsidRDefault="006C3BDC" w:rsidP="003F053E">
            <w:pPr>
              <w:rPr>
                <w:rFonts w:ascii="Arial" w:hAnsi="Arial" w:cs="Arial"/>
                <w:b/>
                <w:bCs/>
                <w:color w:val="000000"/>
                <w:sz w:val="22"/>
                <w:szCs w:val="22"/>
                <w:lang w:eastAsia="en-GB"/>
              </w:rPr>
            </w:pPr>
            <w:r w:rsidRPr="00C31D77">
              <w:rPr>
                <w:rFonts w:ascii="Arial" w:hAnsi="Arial" w:cs="Arial"/>
                <w:b/>
                <w:bCs/>
                <w:color w:val="000000"/>
                <w:sz w:val="22"/>
                <w:szCs w:val="22"/>
                <w:lang w:eastAsia="en-GB"/>
              </w:rPr>
              <w:t>2 bed</w:t>
            </w:r>
          </w:p>
        </w:tc>
        <w:tc>
          <w:tcPr>
            <w:tcW w:w="134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C3BDC" w:rsidRPr="00C31D77" w:rsidRDefault="006C3BDC" w:rsidP="003F053E">
            <w:pPr>
              <w:rPr>
                <w:rFonts w:ascii="Arial" w:hAnsi="Arial" w:cs="Arial"/>
                <w:b/>
                <w:bCs/>
                <w:color w:val="000000"/>
                <w:sz w:val="22"/>
                <w:szCs w:val="22"/>
                <w:lang w:eastAsia="en-GB"/>
              </w:rPr>
            </w:pPr>
            <w:r w:rsidRPr="00C31D77">
              <w:rPr>
                <w:rFonts w:ascii="Arial" w:hAnsi="Arial" w:cs="Arial"/>
                <w:b/>
                <w:bCs/>
                <w:color w:val="000000"/>
                <w:sz w:val="22"/>
                <w:szCs w:val="22"/>
                <w:lang w:eastAsia="en-GB"/>
              </w:rPr>
              <w:t>3 bed</w:t>
            </w:r>
          </w:p>
        </w:tc>
        <w:tc>
          <w:tcPr>
            <w:tcW w:w="134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C3BDC" w:rsidRPr="00C31D77" w:rsidRDefault="006C3BDC" w:rsidP="003F053E">
            <w:pPr>
              <w:rPr>
                <w:rFonts w:ascii="Arial" w:hAnsi="Arial" w:cs="Arial"/>
                <w:b/>
                <w:bCs/>
                <w:color w:val="000000"/>
                <w:sz w:val="22"/>
                <w:szCs w:val="22"/>
                <w:lang w:eastAsia="en-GB"/>
              </w:rPr>
            </w:pPr>
            <w:r w:rsidRPr="00C31D77">
              <w:rPr>
                <w:rFonts w:ascii="Arial" w:hAnsi="Arial" w:cs="Arial"/>
                <w:b/>
                <w:bCs/>
                <w:color w:val="000000"/>
                <w:sz w:val="22"/>
                <w:szCs w:val="22"/>
                <w:lang w:eastAsia="en-GB"/>
              </w:rPr>
              <w:t>4+ bed</w:t>
            </w:r>
          </w:p>
        </w:tc>
        <w:tc>
          <w:tcPr>
            <w:tcW w:w="134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C3BDC" w:rsidRPr="00C31D77" w:rsidRDefault="006C3BDC" w:rsidP="003F053E">
            <w:pPr>
              <w:rPr>
                <w:rFonts w:ascii="Arial" w:hAnsi="Arial" w:cs="Arial"/>
                <w:b/>
                <w:bCs/>
                <w:color w:val="000000"/>
                <w:sz w:val="22"/>
                <w:szCs w:val="22"/>
                <w:lang w:eastAsia="en-GB"/>
              </w:rPr>
            </w:pPr>
            <w:r w:rsidRPr="00C31D77">
              <w:rPr>
                <w:rFonts w:ascii="Arial" w:hAnsi="Arial" w:cs="Arial"/>
                <w:b/>
                <w:bCs/>
                <w:color w:val="000000"/>
                <w:sz w:val="22"/>
                <w:szCs w:val="22"/>
                <w:lang w:eastAsia="en-GB"/>
              </w:rPr>
              <w:t>Total</w:t>
            </w:r>
          </w:p>
        </w:tc>
      </w:tr>
      <w:tr w:rsidR="006C3BDC" w:rsidRPr="00C31D77" w:rsidTr="00610E57">
        <w:trPr>
          <w:trHeight w:val="300"/>
        </w:trPr>
        <w:tc>
          <w:tcPr>
            <w:tcW w:w="134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2011/12</w:t>
            </w:r>
          </w:p>
        </w:tc>
        <w:tc>
          <w:tcPr>
            <w:tcW w:w="13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333</w:t>
            </w:r>
          </w:p>
        </w:tc>
        <w:tc>
          <w:tcPr>
            <w:tcW w:w="13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546</w:t>
            </w:r>
          </w:p>
        </w:tc>
        <w:tc>
          <w:tcPr>
            <w:tcW w:w="134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278</w:t>
            </w:r>
          </w:p>
        </w:tc>
        <w:tc>
          <w:tcPr>
            <w:tcW w:w="13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327</w:t>
            </w:r>
          </w:p>
        </w:tc>
        <w:tc>
          <w:tcPr>
            <w:tcW w:w="13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1,484</w:t>
            </w:r>
          </w:p>
        </w:tc>
      </w:tr>
      <w:tr w:rsidR="006C3BDC" w:rsidRPr="00C31D77" w:rsidTr="00610E57">
        <w:trPr>
          <w:trHeight w:val="300"/>
        </w:trPr>
        <w:tc>
          <w:tcPr>
            <w:tcW w:w="1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2012/13</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283</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562</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250</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335</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1,430</w:t>
            </w:r>
          </w:p>
        </w:tc>
      </w:tr>
      <w:tr w:rsidR="006C3BDC" w:rsidRPr="00C31D77" w:rsidTr="00610E57">
        <w:trPr>
          <w:trHeight w:val="226"/>
        </w:trPr>
        <w:tc>
          <w:tcPr>
            <w:tcW w:w="1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2013/14</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331</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785</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342</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265</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highlight w:val="yellow"/>
              </w:rPr>
            </w:pPr>
            <w:r w:rsidRPr="00C31D77">
              <w:rPr>
                <w:rFonts w:ascii="Arial" w:hAnsi="Arial" w:cs="Arial"/>
                <w:sz w:val="22"/>
                <w:szCs w:val="22"/>
              </w:rPr>
              <w:t>1,723</w:t>
            </w:r>
          </w:p>
        </w:tc>
      </w:tr>
      <w:tr w:rsidR="006C3BDC" w:rsidRPr="00C31D77" w:rsidTr="00610E57">
        <w:trPr>
          <w:trHeight w:val="226"/>
        </w:trPr>
        <w:tc>
          <w:tcPr>
            <w:tcW w:w="1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2014/15</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367</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721</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529</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449</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2,066</w:t>
            </w:r>
          </w:p>
        </w:tc>
      </w:tr>
      <w:tr w:rsidR="006C3BDC" w:rsidRPr="00C31D77" w:rsidTr="00610E57">
        <w:trPr>
          <w:trHeight w:val="226"/>
        </w:trPr>
        <w:tc>
          <w:tcPr>
            <w:tcW w:w="1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2015/16</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548</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740</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349</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370</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2,007</w:t>
            </w:r>
          </w:p>
        </w:tc>
      </w:tr>
      <w:tr w:rsidR="006C3BDC" w:rsidRPr="00C31D77" w:rsidTr="00610E57">
        <w:trPr>
          <w:trHeight w:val="226"/>
        </w:trPr>
        <w:tc>
          <w:tcPr>
            <w:tcW w:w="1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2016/17</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527</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644</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374</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263</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1,808</w:t>
            </w:r>
          </w:p>
        </w:tc>
      </w:tr>
      <w:tr w:rsidR="006C3BDC" w:rsidRPr="00C31D77" w:rsidTr="00610E57">
        <w:trPr>
          <w:trHeight w:val="226"/>
        </w:trPr>
        <w:tc>
          <w:tcPr>
            <w:tcW w:w="1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2017/18</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991</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1,242</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478</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320</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3,031</w:t>
            </w:r>
          </w:p>
        </w:tc>
      </w:tr>
      <w:tr w:rsidR="006C3BDC" w:rsidRPr="00C31D77" w:rsidTr="00610E57">
        <w:trPr>
          <w:trHeight w:val="226"/>
        </w:trPr>
        <w:tc>
          <w:tcPr>
            <w:tcW w:w="1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sz w:val="22"/>
                <w:szCs w:val="22"/>
                <w:lang w:eastAsia="en-GB"/>
              </w:rPr>
            </w:pPr>
            <w:r w:rsidRPr="00C31D77">
              <w:rPr>
                <w:rFonts w:ascii="Arial" w:hAnsi="Arial" w:cs="Arial"/>
                <w:sz w:val="22"/>
                <w:szCs w:val="22"/>
                <w:lang w:eastAsia="en-GB"/>
              </w:rPr>
              <w:t>2018/19</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1,847</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1,441</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305</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272</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3,865</w:t>
            </w:r>
          </w:p>
        </w:tc>
      </w:tr>
      <w:tr w:rsidR="006C3BDC" w:rsidRPr="00C31D77" w:rsidTr="00610E57">
        <w:trPr>
          <w:trHeight w:val="60"/>
        </w:trPr>
        <w:tc>
          <w:tcPr>
            <w:tcW w:w="1346"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b/>
                <w:sz w:val="22"/>
                <w:szCs w:val="22"/>
                <w:lang w:eastAsia="en-GB"/>
              </w:rPr>
            </w:pPr>
            <w:r w:rsidRPr="00C31D77">
              <w:rPr>
                <w:rFonts w:ascii="Arial" w:hAnsi="Arial" w:cs="Arial"/>
                <w:b/>
                <w:sz w:val="22"/>
                <w:szCs w:val="22"/>
                <w:lang w:eastAsia="en-GB"/>
              </w:rPr>
              <w:t>Total</w:t>
            </w:r>
          </w:p>
        </w:tc>
        <w:tc>
          <w:tcPr>
            <w:tcW w:w="134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5,227</w:t>
            </w:r>
          </w:p>
        </w:tc>
        <w:tc>
          <w:tcPr>
            <w:tcW w:w="134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6,681</w:t>
            </w:r>
          </w:p>
        </w:tc>
        <w:tc>
          <w:tcPr>
            <w:tcW w:w="1346"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2,905</w:t>
            </w:r>
          </w:p>
        </w:tc>
        <w:tc>
          <w:tcPr>
            <w:tcW w:w="134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2,601</w:t>
            </w:r>
          </w:p>
        </w:tc>
        <w:tc>
          <w:tcPr>
            <w:tcW w:w="134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sz w:val="22"/>
                <w:szCs w:val="22"/>
              </w:rPr>
            </w:pPr>
            <w:r w:rsidRPr="00C31D77">
              <w:rPr>
                <w:rFonts w:ascii="Arial" w:hAnsi="Arial" w:cs="Arial"/>
                <w:sz w:val="22"/>
                <w:szCs w:val="22"/>
              </w:rPr>
              <w:t>17,414</w:t>
            </w:r>
          </w:p>
        </w:tc>
      </w:tr>
      <w:tr w:rsidR="006C3BDC" w:rsidRPr="00C31D77" w:rsidTr="00610E57">
        <w:trPr>
          <w:trHeight w:val="311"/>
        </w:trPr>
        <w:tc>
          <w:tcPr>
            <w:tcW w:w="13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C3BDC" w:rsidRPr="00C31D77" w:rsidRDefault="006C3BDC" w:rsidP="003F053E">
            <w:pPr>
              <w:rPr>
                <w:rFonts w:ascii="Arial" w:hAnsi="Arial" w:cs="Arial"/>
                <w:b/>
                <w:sz w:val="22"/>
                <w:szCs w:val="22"/>
                <w:lang w:eastAsia="en-GB"/>
              </w:rPr>
            </w:pPr>
            <w:r w:rsidRPr="00C31D77">
              <w:rPr>
                <w:rFonts w:ascii="Arial" w:hAnsi="Arial" w:cs="Arial"/>
                <w:b/>
                <w:sz w:val="22"/>
                <w:szCs w:val="22"/>
                <w:lang w:eastAsia="en-GB"/>
              </w:rPr>
              <w:t>%</w:t>
            </w:r>
          </w:p>
        </w:tc>
        <w:tc>
          <w:tcPr>
            <w:tcW w:w="13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b/>
                <w:sz w:val="22"/>
                <w:szCs w:val="22"/>
              </w:rPr>
            </w:pPr>
            <w:r w:rsidRPr="00C31D77">
              <w:rPr>
                <w:rFonts w:ascii="Arial" w:hAnsi="Arial" w:cs="Arial"/>
                <w:b/>
                <w:sz w:val="22"/>
                <w:szCs w:val="22"/>
              </w:rPr>
              <w:t>30</w:t>
            </w:r>
          </w:p>
        </w:tc>
        <w:tc>
          <w:tcPr>
            <w:tcW w:w="13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b/>
                <w:sz w:val="22"/>
                <w:szCs w:val="22"/>
              </w:rPr>
            </w:pPr>
            <w:r w:rsidRPr="00C31D77">
              <w:rPr>
                <w:rFonts w:ascii="Arial" w:hAnsi="Arial" w:cs="Arial"/>
                <w:b/>
                <w:sz w:val="22"/>
                <w:szCs w:val="22"/>
              </w:rPr>
              <w:t>38.4</w:t>
            </w:r>
          </w:p>
        </w:tc>
        <w:tc>
          <w:tcPr>
            <w:tcW w:w="13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b/>
                <w:sz w:val="22"/>
                <w:szCs w:val="22"/>
              </w:rPr>
            </w:pPr>
            <w:r w:rsidRPr="00C31D77">
              <w:rPr>
                <w:rFonts w:ascii="Arial" w:hAnsi="Arial" w:cs="Arial"/>
                <w:b/>
                <w:sz w:val="22"/>
                <w:szCs w:val="22"/>
              </w:rPr>
              <w:t>16.7</w:t>
            </w:r>
          </w:p>
        </w:tc>
        <w:tc>
          <w:tcPr>
            <w:tcW w:w="13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b/>
                <w:sz w:val="22"/>
                <w:szCs w:val="22"/>
              </w:rPr>
            </w:pPr>
            <w:r w:rsidRPr="00C31D77">
              <w:rPr>
                <w:rFonts w:ascii="Arial" w:hAnsi="Arial" w:cs="Arial"/>
                <w:b/>
                <w:sz w:val="22"/>
                <w:szCs w:val="22"/>
              </w:rPr>
              <w:t>14.9</w:t>
            </w:r>
          </w:p>
        </w:tc>
        <w:tc>
          <w:tcPr>
            <w:tcW w:w="13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C3BDC" w:rsidRPr="00C31D77" w:rsidRDefault="006C3BDC" w:rsidP="003F053E">
            <w:pPr>
              <w:ind w:right="227"/>
              <w:rPr>
                <w:rFonts w:ascii="Arial" w:hAnsi="Arial" w:cs="Arial"/>
                <w:b/>
                <w:sz w:val="22"/>
                <w:szCs w:val="22"/>
              </w:rPr>
            </w:pPr>
            <w:r w:rsidRPr="00C31D77">
              <w:rPr>
                <w:rFonts w:ascii="Arial" w:hAnsi="Arial" w:cs="Arial"/>
                <w:b/>
                <w:sz w:val="22"/>
                <w:szCs w:val="22"/>
              </w:rPr>
              <w:t>100</w:t>
            </w:r>
          </w:p>
        </w:tc>
      </w:tr>
    </w:tbl>
    <w:p w:rsidR="001D3A17" w:rsidRDefault="006C3BDC" w:rsidP="00610E57">
      <w:pPr>
        <w:jc w:val="both"/>
        <w:rPr>
          <w:rFonts w:ascii="Arial" w:hAnsi="Arial" w:cs="Arial"/>
          <w:sz w:val="20"/>
          <w:szCs w:val="20"/>
        </w:rPr>
      </w:pPr>
      <w:r w:rsidRPr="00C31D77">
        <w:rPr>
          <w:rFonts w:ascii="Arial" w:hAnsi="Arial" w:cs="Arial"/>
          <w:b/>
          <w:sz w:val="20"/>
          <w:szCs w:val="20"/>
        </w:rPr>
        <w:tab/>
      </w:r>
      <w:r w:rsidRPr="00C31D77">
        <w:rPr>
          <w:rFonts w:ascii="Arial" w:hAnsi="Arial" w:cs="Arial"/>
          <w:sz w:val="20"/>
          <w:szCs w:val="20"/>
        </w:rPr>
        <w:t>* Excludes student accommodation, HMOs and conversions</w:t>
      </w:r>
    </w:p>
    <w:p w:rsidR="00610E57" w:rsidRPr="00610E57" w:rsidRDefault="00610E57" w:rsidP="00610E57">
      <w:pPr>
        <w:jc w:val="both"/>
        <w:rPr>
          <w:rFonts w:ascii="Arial" w:hAnsi="Arial" w:cs="Arial"/>
          <w:sz w:val="20"/>
          <w:szCs w:val="20"/>
        </w:rPr>
      </w:pPr>
    </w:p>
    <w:p w:rsidR="001D3A17" w:rsidRPr="00C31D77" w:rsidRDefault="001D3A17" w:rsidP="006C3BDC">
      <w:pPr>
        <w:rPr>
          <w:rFonts w:ascii="Arial" w:hAnsi="Arial" w:cs="Arial"/>
          <w:b/>
          <w:sz w:val="22"/>
          <w:szCs w:val="22"/>
        </w:rPr>
      </w:pPr>
    </w:p>
    <w:p w:rsidR="006C3BDC" w:rsidRPr="0003230A" w:rsidRDefault="006C3BDC" w:rsidP="006C3BDC">
      <w:pPr>
        <w:ind w:firstLine="720"/>
        <w:rPr>
          <w:rFonts w:ascii="Arial" w:hAnsi="Arial" w:cs="Arial"/>
          <w:bCs/>
          <w:sz w:val="22"/>
          <w:szCs w:val="22"/>
        </w:rPr>
      </w:pPr>
      <w:r w:rsidRPr="0003230A">
        <w:rPr>
          <w:rFonts w:ascii="Arial" w:hAnsi="Arial" w:cs="Arial"/>
          <w:bCs/>
          <w:sz w:val="22"/>
          <w:szCs w:val="22"/>
        </w:rPr>
        <w:t xml:space="preserve">Table </w:t>
      </w:r>
      <w:r w:rsidR="00E76CC4">
        <w:rPr>
          <w:rFonts w:ascii="Arial" w:hAnsi="Arial" w:cs="Arial"/>
          <w:bCs/>
          <w:sz w:val="22"/>
          <w:szCs w:val="22"/>
        </w:rPr>
        <w:t>4</w:t>
      </w:r>
      <w:r w:rsidRPr="0003230A">
        <w:rPr>
          <w:rFonts w:ascii="Arial" w:hAnsi="Arial" w:cs="Arial"/>
          <w:bCs/>
          <w:sz w:val="22"/>
          <w:szCs w:val="22"/>
        </w:rPr>
        <w:t>: Completions* by Dwelling Type (Gross)</w:t>
      </w:r>
    </w:p>
    <w:p w:rsidR="006C3BDC" w:rsidRPr="00C31D77" w:rsidRDefault="006C3BDC" w:rsidP="006C3BDC">
      <w:pPr>
        <w:rPr>
          <w:rFonts w:ascii="Arial" w:hAnsi="Arial" w:cs="Arial"/>
          <w:b/>
          <w:sz w:val="22"/>
          <w:szCs w:val="22"/>
        </w:rPr>
      </w:pPr>
    </w:p>
    <w:tbl>
      <w:tblPr>
        <w:tblW w:w="0" w:type="auto"/>
        <w:tblInd w:w="983" w:type="dxa"/>
        <w:tblCellMar>
          <w:left w:w="0" w:type="dxa"/>
          <w:right w:w="0" w:type="dxa"/>
        </w:tblCellMar>
        <w:tblLook w:val="04A0" w:firstRow="1" w:lastRow="0" w:firstColumn="1" w:lastColumn="0" w:noHBand="0" w:noVBand="1"/>
      </w:tblPr>
      <w:tblGrid>
        <w:gridCol w:w="1627"/>
        <w:gridCol w:w="1628"/>
        <w:gridCol w:w="1627"/>
        <w:gridCol w:w="1628"/>
      </w:tblGrid>
      <w:tr w:rsidR="006C3BDC" w:rsidRPr="00C31D77" w:rsidTr="00610E57">
        <w:tc>
          <w:tcPr>
            <w:tcW w:w="16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C3BDC" w:rsidRPr="00C31D77" w:rsidRDefault="006C3BDC" w:rsidP="003F053E">
            <w:pPr>
              <w:jc w:val="center"/>
              <w:rPr>
                <w:rFonts w:ascii="Arial" w:hAnsi="Arial" w:cs="Arial"/>
                <w:b/>
                <w:bCs/>
                <w:sz w:val="22"/>
                <w:szCs w:val="22"/>
              </w:rPr>
            </w:pPr>
            <w:r w:rsidRPr="00C31D77">
              <w:rPr>
                <w:rFonts w:ascii="Arial" w:hAnsi="Arial" w:cs="Arial"/>
                <w:b/>
                <w:bCs/>
                <w:sz w:val="22"/>
                <w:szCs w:val="22"/>
              </w:rPr>
              <w:t>Year</w:t>
            </w:r>
          </w:p>
        </w:tc>
        <w:tc>
          <w:tcPr>
            <w:tcW w:w="16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C3BDC" w:rsidRPr="00C31D77" w:rsidRDefault="006C3BDC" w:rsidP="003F053E">
            <w:pPr>
              <w:jc w:val="center"/>
              <w:rPr>
                <w:rFonts w:ascii="Arial" w:hAnsi="Arial" w:cs="Arial"/>
                <w:b/>
                <w:bCs/>
                <w:sz w:val="22"/>
                <w:szCs w:val="22"/>
              </w:rPr>
            </w:pPr>
            <w:r w:rsidRPr="00C31D77">
              <w:rPr>
                <w:rFonts w:ascii="Arial" w:hAnsi="Arial" w:cs="Arial"/>
                <w:b/>
                <w:bCs/>
                <w:sz w:val="22"/>
                <w:szCs w:val="22"/>
              </w:rPr>
              <w:t>Houses</w:t>
            </w:r>
          </w:p>
        </w:tc>
        <w:tc>
          <w:tcPr>
            <w:tcW w:w="16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C3BDC" w:rsidRPr="00C31D77" w:rsidRDefault="006C3BDC" w:rsidP="003F053E">
            <w:pPr>
              <w:jc w:val="center"/>
              <w:rPr>
                <w:rFonts w:ascii="Arial" w:hAnsi="Arial" w:cs="Arial"/>
                <w:b/>
                <w:bCs/>
                <w:sz w:val="22"/>
                <w:szCs w:val="22"/>
              </w:rPr>
            </w:pPr>
            <w:r w:rsidRPr="00C31D77">
              <w:rPr>
                <w:rFonts w:ascii="Arial" w:hAnsi="Arial" w:cs="Arial"/>
                <w:b/>
                <w:bCs/>
                <w:sz w:val="22"/>
                <w:szCs w:val="22"/>
              </w:rPr>
              <w:t>Apartments</w:t>
            </w:r>
          </w:p>
        </w:tc>
        <w:tc>
          <w:tcPr>
            <w:tcW w:w="16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C3BDC" w:rsidRPr="00C31D77" w:rsidRDefault="006C3BDC" w:rsidP="003F053E">
            <w:pPr>
              <w:jc w:val="center"/>
              <w:rPr>
                <w:rFonts w:ascii="Arial" w:hAnsi="Arial" w:cs="Arial"/>
                <w:b/>
                <w:bCs/>
                <w:sz w:val="22"/>
                <w:szCs w:val="22"/>
              </w:rPr>
            </w:pPr>
            <w:r w:rsidRPr="00C31D77">
              <w:rPr>
                <w:rFonts w:ascii="Arial" w:hAnsi="Arial" w:cs="Arial"/>
                <w:b/>
                <w:bCs/>
                <w:sz w:val="22"/>
                <w:szCs w:val="22"/>
              </w:rPr>
              <w:t>Total</w:t>
            </w:r>
          </w:p>
        </w:tc>
      </w:tr>
      <w:tr w:rsidR="006C3BDC" w:rsidRPr="00C31D77" w:rsidTr="00610E57">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left="284"/>
              <w:rPr>
                <w:rFonts w:ascii="Arial" w:hAnsi="Arial" w:cs="Arial"/>
                <w:sz w:val="22"/>
                <w:szCs w:val="22"/>
              </w:rPr>
            </w:pPr>
            <w:r w:rsidRPr="00C31D77">
              <w:rPr>
                <w:rFonts w:ascii="Arial" w:hAnsi="Arial" w:cs="Arial"/>
                <w:sz w:val="22"/>
                <w:szCs w:val="22"/>
              </w:rPr>
              <w:t>2011/12</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803</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603</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1,406</w:t>
            </w:r>
          </w:p>
        </w:tc>
      </w:tr>
      <w:tr w:rsidR="006C3BDC" w:rsidRPr="00C31D77" w:rsidTr="00610E57">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left="284"/>
              <w:rPr>
                <w:rFonts w:ascii="Arial" w:hAnsi="Arial" w:cs="Arial"/>
                <w:sz w:val="22"/>
                <w:szCs w:val="22"/>
              </w:rPr>
            </w:pPr>
            <w:r w:rsidRPr="00C31D77">
              <w:rPr>
                <w:rFonts w:ascii="Arial" w:hAnsi="Arial" w:cs="Arial"/>
                <w:sz w:val="22"/>
                <w:szCs w:val="22"/>
              </w:rPr>
              <w:t>2012/13</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891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407</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1,298</w:t>
            </w:r>
          </w:p>
        </w:tc>
      </w:tr>
      <w:tr w:rsidR="006C3BDC" w:rsidRPr="00C31D77" w:rsidTr="00610E57">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left="284"/>
              <w:rPr>
                <w:rFonts w:ascii="Arial" w:hAnsi="Arial" w:cs="Arial"/>
                <w:sz w:val="22"/>
                <w:szCs w:val="22"/>
              </w:rPr>
            </w:pPr>
            <w:r w:rsidRPr="00C31D77">
              <w:rPr>
                <w:rFonts w:ascii="Arial" w:hAnsi="Arial" w:cs="Arial"/>
                <w:sz w:val="22"/>
                <w:szCs w:val="22"/>
              </w:rPr>
              <w:t>2013/14</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851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716</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1,567</w:t>
            </w:r>
          </w:p>
        </w:tc>
      </w:tr>
      <w:tr w:rsidR="006C3BDC" w:rsidRPr="00C31D77" w:rsidTr="00610E57">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left="284"/>
              <w:rPr>
                <w:rFonts w:ascii="Arial" w:hAnsi="Arial" w:cs="Arial"/>
                <w:sz w:val="22"/>
                <w:szCs w:val="22"/>
              </w:rPr>
            </w:pPr>
            <w:r w:rsidRPr="00C31D77">
              <w:rPr>
                <w:rFonts w:ascii="Arial" w:hAnsi="Arial" w:cs="Arial"/>
                <w:sz w:val="22"/>
                <w:szCs w:val="22"/>
              </w:rPr>
              <w:t>2014/15</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1,364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438</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1,802</w:t>
            </w:r>
          </w:p>
        </w:tc>
      </w:tr>
      <w:tr w:rsidR="006C3BDC" w:rsidRPr="00C31D77" w:rsidTr="00610E57">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left="284"/>
              <w:rPr>
                <w:rFonts w:ascii="Arial" w:hAnsi="Arial" w:cs="Arial"/>
                <w:sz w:val="22"/>
                <w:szCs w:val="22"/>
              </w:rPr>
            </w:pPr>
            <w:r w:rsidRPr="00C31D77">
              <w:rPr>
                <w:rFonts w:ascii="Arial" w:hAnsi="Arial" w:cs="Arial"/>
                <w:sz w:val="22"/>
                <w:szCs w:val="22"/>
              </w:rPr>
              <w:t>2015/16</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996</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280</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1,276</w:t>
            </w:r>
          </w:p>
        </w:tc>
      </w:tr>
      <w:tr w:rsidR="006C3BDC" w:rsidRPr="00C31D77" w:rsidTr="00610E57">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left="284"/>
              <w:rPr>
                <w:rFonts w:ascii="Arial" w:hAnsi="Arial" w:cs="Arial"/>
                <w:sz w:val="22"/>
                <w:szCs w:val="22"/>
              </w:rPr>
            </w:pPr>
            <w:r w:rsidRPr="00C31D77">
              <w:rPr>
                <w:rFonts w:ascii="Arial" w:hAnsi="Arial" w:cs="Arial"/>
                <w:sz w:val="22"/>
                <w:szCs w:val="22"/>
              </w:rPr>
              <w:t>2016/17</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874</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934</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1,808</w:t>
            </w:r>
          </w:p>
        </w:tc>
      </w:tr>
      <w:tr w:rsidR="006C3BDC" w:rsidRPr="00C31D77" w:rsidTr="00610E57">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left="284"/>
              <w:rPr>
                <w:rFonts w:ascii="Arial" w:hAnsi="Arial" w:cs="Arial"/>
                <w:sz w:val="22"/>
                <w:szCs w:val="22"/>
              </w:rPr>
            </w:pPr>
            <w:r w:rsidRPr="00C31D77">
              <w:rPr>
                <w:rFonts w:ascii="Arial" w:hAnsi="Arial" w:cs="Arial"/>
                <w:sz w:val="22"/>
                <w:szCs w:val="22"/>
              </w:rPr>
              <w:t>2017/18</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1,136</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1,895</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sz w:val="22"/>
                <w:szCs w:val="22"/>
              </w:rPr>
            </w:pPr>
            <w:r w:rsidRPr="00C31D77">
              <w:rPr>
                <w:rFonts w:ascii="Arial" w:hAnsi="Arial" w:cs="Arial"/>
                <w:sz w:val="22"/>
                <w:szCs w:val="22"/>
              </w:rPr>
              <w:t>3,031</w:t>
            </w:r>
          </w:p>
        </w:tc>
      </w:tr>
      <w:tr w:rsidR="006C3BDC" w:rsidRPr="00C31D77" w:rsidTr="00610E57">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left="284"/>
              <w:rPr>
                <w:rFonts w:ascii="Arial" w:hAnsi="Arial" w:cs="Arial"/>
                <w:color w:val="000000"/>
                <w:sz w:val="22"/>
                <w:szCs w:val="22"/>
              </w:rPr>
            </w:pPr>
            <w:r w:rsidRPr="00C31D77">
              <w:rPr>
                <w:rFonts w:ascii="Arial" w:hAnsi="Arial" w:cs="Arial"/>
                <w:color w:val="000000"/>
                <w:sz w:val="22"/>
                <w:szCs w:val="22"/>
              </w:rPr>
              <w:t>2018/19</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color w:val="000000"/>
                <w:sz w:val="22"/>
                <w:szCs w:val="22"/>
              </w:rPr>
            </w:pPr>
            <w:r w:rsidRPr="00C31D77">
              <w:rPr>
                <w:rFonts w:ascii="Arial" w:hAnsi="Arial" w:cs="Arial"/>
                <w:color w:val="000000"/>
                <w:sz w:val="22"/>
                <w:szCs w:val="22"/>
              </w:rPr>
              <w:t>753</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color w:val="000000"/>
                <w:sz w:val="22"/>
                <w:szCs w:val="22"/>
              </w:rPr>
            </w:pPr>
            <w:r w:rsidRPr="00C31D77">
              <w:rPr>
                <w:rFonts w:ascii="Arial" w:hAnsi="Arial" w:cs="Arial"/>
                <w:color w:val="000000"/>
                <w:sz w:val="22"/>
                <w:szCs w:val="22"/>
              </w:rPr>
              <w:t>3,112</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color w:val="000000"/>
                <w:sz w:val="22"/>
                <w:szCs w:val="22"/>
              </w:rPr>
            </w:pPr>
            <w:r w:rsidRPr="00C31D77">
              <w:rPr>
                <w:rFonts w:ascii="Arial" w:hAnsi="Arial" w:cs="Arial"/>
                <w:color w:val="000000"/>
                <w:sz w:val="22"/>
                <w:szCs w:val="22"/>
              </w:rPr>
              <w:t>3,865</w:t>
            </w:r>
          </w:p>
        </w:tc>
      </w:tr>
      <w:tr w:rsidR="006C3BDC" w:rsidRPr="00C31D77" w:rsidTr="00610E57">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left="284"/>
              <w:rPr>
                <w:rFonts w:ascii="Arial" w:hAnsi="Arial" w:cs="Arial"/>
                <w:b/>
                <w:bCs/>
                <w:color w:val="000000"/>
                <w:sz w:val="22"/>
                <w:szCs w:val="22"/>
              </w:rPr>
            </w:pPr>
            <w:r w:rsidRPr="00C31D77">
              <w:rPr>
                <w:rFonts w:ascii="Arial" w:hAnsi="Arial" w:cs="Arial"/>
                <w:b/>
                <w:bCs/>
                <w:color w:val="000000"/>
                <w:sz w:val="22"/>
                <w:szCs w:val="22"/>
              </w:rPr>
              <w:t>Total</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b/>
                <w:bCs/>
                <w:color w:val="000000"/>
                <w:sz w:val="22"/>
                <w:szCs w:val="22"/>
              </w:rPr>
            </w:pPr>
            <w:r w:rsidRPr="00C31D77">
              <w:rPr>
                <w:rFonts w:ascii="Arial" w:hAnsi="Arial" w:cs="Arial"/>
                <w:b/>
                <w:bCs/>
                <w:color w:val="000000"/>
                <w:sz w:val="22"/>
                <w:szCs w:val="22"/>
              </w:rPr>
              <w:t>7,668</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right"/>
              <w:rPr>
                <w:rFonts w:ascii="Arial" w:hAnsi="Arial" w:cs="Arial"/>
                <w:b/>
                <w:bCs/>
                <w:color w:val="000000"/>
                <w:sz w:val="22"/>
                <w:szCs w:val="22"/>
              </w:rPr>
            </w:pPr>
            <w:r w:rsidRPr="00C31D77">
              <w:rPr>
                <w:rFonts w:ascii="Arial" w:hAnsi="Arial" w:cs="Arial"/>
                <w:b/>
                <w:bCs/>
                <w:color w:val="000000"/>
                <w:sz w:val="22"/>
                <w:szCs w:val="22"/>
              </w:rPr>
              <w:t>8,387</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C3BDC" w:rsidRPr="00C31D77" w:rsidRDefault="006C3BDC" w:rsidP="003F053E">
            <w:pPr>
              <w:ind w:right="397"/>
              <w:jc w:val="center"/>
              <w:rPr>
                <w:rFonts w:ascii="Arial" w:hAnsi="Arial" w:cs="Arial"/>
                <w:b/>
                <w:bCs/>
                <w:color w:val="000000"/>
                <w:sz w:val="22"/>
                <w:szCs w:val="22"/>
              </w:rPr>
            </w:pPr>
            <w:r w:rsidRPr="00C31D77">
              <w:rPr>
                <w:rFonts w:ascii="Arial" w:hAnsi="Arial" w:cs="Arial"/>
                <w:b/>
                <w:bCs/>
                <w:color w:val="000000"/>
                <w:sz w:val="22"/>
                <w:szCs w:val="22"/>
              </w:rPr>
              <w:t>16,055</w:t>
            </w:r>
          </w:p>
        </w:tc>
      </w:tr>
    </w:tbl>
    <w:p w:rsidR="006C3BDC" w:rsidRPr="003E2C0A" w:rsidRDefault="006C3BDC" w:rsidP="006C3BDC">
      <w:pPr>
        <w:ind w:firstLine="720"/>
        <w:jc w:val="both"/>
        <w:rPr>
          <w:rFonts w:ascii="Arial" w:hAnsi="Arial" w:cs="Arial"/>
          <w:sz w:val="20"/>
          <w:szCs w:val="20"/>
        </w:rPr>
      </w:pPr>
      <w:r w:rsidRPr="003E2C0A">
        <w:rPr>
          <w:rFonts w:ascii="Arial" w:hAnsi="Arial" w:cs="Arial"/>
          <w:sz w:val="20"/>
          <w:szCs w:val="20"/>
        </w:rPr>
        <w:t>* Excludes student accommodation, HMOs and conversions</w:t>
      </w:r>
    </w:p>
    <w:p w:rsidR="006C3BDC" w:rsidRDefault="006C3BDC" w:rsidP="006C3BDC">
      <w:pPr>
        <w:spacing w:line="300" w:lineRule="atLeast"/>
        <w:rPr>
          <w:rFonts w:ascii="Arial" w:hAnsi="Arial" w:cs="Arial"/>
          <w:sz w:val="22"/>
          <w:szCs w:val="22"/>
        </w:rPr>
      </w:pPr>
    </w:p>
    <w:p w:rsidR="00610E57" w:rsidRDefault="00610E57" w:rsidP="006C3BDC">
      <w:pPr>
        <w:spacing w:line="300" w:lineRule="atLeast"/>
        <w:rPr>
          <w:rFonts w:ascii="Arial" w:hAnsi="Arial" w:cs="Arial"/>
          <w:sz w:val="22"/>
          <w:szCs w:val="22"/>
        </w:rPr>
      </w:pPr>
    </w:p>
    <w:p w:rsidR="006C3BDC" w:rsidRPr="00890737" w:rsidRDefault="006C3BDC" w:rsidP="006C3BDC">
      <w:pPr>
        <w:tabs>
          <w:tab w:val="left" w:pos="7455"/>
        </w:tabs>
        <w:rPr>
          <w:rFonts w:ascii="Arial" w:hAnsi="Arial" w:cs="Arial"/>
          <w:bCs/>
          <w:sz w:val="22"/>
          <w:szCs w:val="22"/>
        </w:rPr>
      </w:pPr>
      <w:r w:rsidRPr="00890737">
        <w:rPr>
          <w:rFonts w:ascii="Arial" w:hAnsi="Arial" w:cs="Arial"/>
          <w:bCs/>
          <w:sz w:val="22"/>
          <w:szCs w:val="22"/>
        </w:rPr>
        <w:t xml:space="preserve">Table </w:t>
      </w:r>
      <w:r w:rsidR="00E76CC4">
        <w:rPr>
          <w:rFonts w:ascii="Arial" w:hAnsi="Arial" w:cs="Arial"/>
          <w:bCs/>
          <w:sz w:val="22"/>
          <w:szCs w:val="22"/>
        </w:rPr>
        <w:t>5</w:t>
      </w:r>
      <w:r w:rsidRPr="00890737">
        <w:rPr>
          <w:rFonts w:ascii="Arial" w:hAnsi="Arial" w:cs="Arial"/>
          <w:bCs/>
          <w:sz w:val="22"/>
          <w:szCs w:val="22"/>
        </w:rPr>
        <w:t>: Status by Distribution</w:t>
      </w:r>
    </w:p>
    <w:p w:rsidR="006C3BDC" w:rsidRPr="00890737" w:rsidRDefault="006C3BDC" w:rsidP="006C3BDC">
      <w:pPr>
        <w:tabs>
          <w:tab w:val="left" w:pos="7455"/>
        </w:tabs>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002"/>
        <w:gridCol w:w="1042"/>
        <w:gridCol w:w="1041"/>
        <w:gridCol w:w="1042"/>
        <w:gridCol w:w="1430"/>
      </w:tblGrid>
      <w:tr w:rsidR="006C3BDC" w:rsidRPr="00890737" w:rsidTr="00610E57">
        <w:tc>
          <w:tcPr>
            <w:tcW w:w="4077" w:type="dxa"/>
            <w:tcBorders>
              <w:bottom w:val="nil"/>
            </w:tcBorders>
            <w:shd w:val="clear" w:color="auto" w:fill="E6E6E6"/>
          </w:tcPr>
          <w:p w:rsidR="006C3BDC" w:rsidRPr="00890737" w:rsidRDefault="006C3BDC" w:rsidP="003F053E">
            <w:pPr>
              <w:rPr>
                <w:rFonts w:ascii="Arial" w:hAnsi="Arial" w:cs="Arial"/>
                <w:b/>
                <w:bCs/>
                <w:sz w:val="22"/>
                <w:szCs w:val="22"/>
              </w:rPr>
            </w:pPr>
            <w:r w:rsidRPr="00890737">
              <w:rPr>
                <w:rFonts w:ascii="Arial" w:hAnsi="Arial" w:cs="Arial"/>
                <w:b/>
                <w:bCs/>
                <w:sz w:val="22"/>
                <w:szCs w:val="22"/>
              </w:rPr>
              <w:t>Status</w:t>
            </w:r>
          </w:p>
        </w:tc>
        <w:tc>
          <w:tcPr>
            <w:tcW w:w="5557" w:type="dxa"/>
            <w:gridSpan w:val="5"/>
            <w:shd w:val="clear" w:color="auto" w:fill="E6E6E6"/>
          </w:tcPr>
          <w:p w:rsidR="006C3BDC" w:rsidRPr="00890737" w:rsidRDefault="006C3BDC" w:rsidP="003F053E">
            <w:pPr>
              <w:jc w:val="center"/>
              <w:rPr>
                <w:rFonts w:ascii="Arial" w:hAnsi="Arial" w:cs="Arial"/>
                <w:b/>
                <w:bCs/>
                <w:sz w:val="22"/>
                <w:szCs w:val="22"/>
              </w:rPr>
            </w:pPr>
            <w:r w:rsidRPr="00890737">
              <w:rPr>
                <w:rFonts w:ascii="Arial" w:hAnsi="Arial" w:cs="Arial"/>
                <w:b/>
                <w:bCs/>
                <w:sz w:val="22"/>
                <w:szCs w:val="22"/>
              </w:rPr>
              <w:t>Location</w:t>
            </w:r>
            <w:r w:rsidRPr="00890737">
              <w:rPr>
                <w:rStyle w:val="FootnoteReference"/>
                <w:rFonts w:ascii="Arial" w:hAnsi="Arial" w:cs="Arial"/>
                <w:b/>
                <w:bCs/>
                <w:sz w:val="22"/>
                <w:szCs w:val="22"/>
              </w:rPr>
              <w:footnoteReference w:id="6"/>
            </w:r>
          </w:p>
        </w:tc>
      </w:tr>
      <w:tr w:rsidR="006C3BDC" w:rsidRPr="00890737" w:rsidTr="00610E57">
        <w:tc>
          <w:tcPr>
            <w:tcW w:w="4077" w:type="dxa"/>
            <w:tcBorders>
              <w:top w:val="nil"/>
            </w:tcBorders>
            <w:shd w:val="clear" w:color="auto" w:fill="E6E6E6"/>
          </w:tcPr>
          <w:p w:rsidR="006C3BDC" w:rsidRPr="00890737" w:rsidRDefault="006C3BDC" w:rsidP="003F053E">
            <w:pPr>
              <w:jc w:val="center"/>
              <w:rPr>
                <w:rFonts w:ascii="Arial" w:hAnsi="Arial" w:cs="Arial"/>
                <w:b/>
                <w:bCs/>
                <w:sz w:val="22"/>
                <w:szCs w:val="22"/>
              </w:rPr>
            </w:pPr>
          </w:p>
        </w:tc>
        <w:tc>
          <w:tcPr>
            <w:tcW w:w="1002" w:type="dxa"/>
            <w:shd w:val="clear" w:color="auto" w:fill="E6E6E6"/>
          </w:tcPr>
          <w:p w:rsidR="006C3BDC" w:rsidRPr="00890737" w:rsidRDefault="006C3BDC" w:rsidP="003F053E">
            <w:pPr>
              <w:jc w:val="center"/>
              <w:rPr>
                <w:rFonts w:ascii="Arial" w:hAnsi="Arial" w:cs="Arial"/>
                <w:b/>
                <w:bCs/>
                <w:sz w:val="22"/>
                <w:szCs w:val="22"/>
              </w:rPr>
            </w:pPr>
            <w:r w:rsidRPr="00890737">
              <w:rPr>
                <w:rFonts w:ascii="Arial" w:hAnsi="Arial" w:cs="Arial"/>
                <w:b/>
                <w:bCs/>
                <w:sz w:val="22"/>
                <w:szCs w:val="22"/>
              </w:rPr>
              <w:t>North</w:t>
            </w:r>
          </w:p>
          <w:p w:rsidR="006C3BDC" w:rsidRPr="00890737" w:rsidRDefault="006C3BDC" w:rsidP="003F053E">
            <w:pPr>
              <w:jc w:val="center"/>
              <w:rPr>
                <w:rFonts w:ascii="Arial" w:hAnsi="Arial" w:cs="Arial"/>
                <w:b/>
                <w:bCs/>
                <w:sz w:val="22"/>
                <w:szCs w:val="22"/>
              </w:rPr>
            </w:pPr>
            <w:r w:rsidRPr="00890737">
              <w:rPr>
                <w:rFonts w:ascii="Arial" w:hAnsi="Arial" w:cs="Arial"/>
                <w:b/>
                <w:bCs/>
                <w:sz w:val="22"/>
                <w:szCs w:val="22"/>
              </w:rPr>
              <w:t>West</w:t>
            </w:r>
          </w:p>
        </w:tc>
        <w:tc>
          <w:tcPr>
            <w:tcW w:w="1042" w:type="dxa"/>
            <w:shd w:val="clear" w:color="auto" w:fill="E6E6E6"/>
          </w:tcPr>
          <w:p w:rsidR="006C3BDC" w:rsidRPr="00890737" w:rsidRDefault="006C3BDC" w:rsidP="003F053E">
            <w:pPr>
              <w:jc w:val="center"/>
              <w:rPr>
                <w:rFonts w:ascii="Arial" w:hAnsi="Arial" w:cs="Arial"/>
                <w:b/>
                <w:bCs/>
                <w:sz w:val="22"/>
                <w:szCs w:val="22"/>
              </w:rPr>
            </w:pPr>
            <w:r w:rsidRPr="00890737">
              <w:rPr>
                <w:rFonts w:ascii="Arial" w:hAnsi="Arial" w:cs="Arial"/>
                <w:b/>
                <w:bCs/>
                <w:sz w:val="22"/>
                <w:szCs w:val="22"/>
              </w:rPr>
              <w:t>East</w:t>
            </w:r>
          </w:p>
        </w:tc>
        <w:tc>
          <w:tcPr>
            <w:tcW w:w="1041" w:type="dxa"/>
            <w:shd w:val="clear" w:color="auto" w:fill="E6E6E6"/>
          </w:tcPr>
          <w:p w:rsidR="006C3BDC" w:rsidRPr="00890737" w:rsidRDefault="006C3BDC" w:rsidP="003F053E">
            <w:pPr>
              <w:jc w:val="center"/>
              <w:rPr>
                <w:rFonts w:ascii="Arial" w:hAnsi="Arial" w:cs="Arial"/>
                <w:b/>
                <w:bCs/>
                <w:sz w:val="22"/>
                <w:szCs w:val="22"/>
              </w:rPr>
            </w:pPr>
            <w:r w:rsidRPr="00890737">
              <w:rPr>
                <w:rFonts w:ascii="Arial" w:hAnsi="Arial" w:cs="Arial"/>
                <w:b/>
                <w:bCs/>
                <w:sz w:val="22"/>
                <w:szCs w:val="22"/>
              </w:rPr>
              <w:t>South</w:t>
            </w:r>
          </w:p>
        </w:tc>
        <w:tc>
          <w:tcPr>
            <w:tcW w:w="1042" w:type="dxa"/>
            <w:shd w:val="clear" w:color="auto" w:fill="E6E6E6"/>
          </w:tcPr>
          <w:p w:rsidR="006C3BDC" w:rsidRPr="00890737" w:rsidRDefault="006C3BDC" w:rsidP="003F053E">
            <w:pPr>
              <w:jc w:val="center"/>
              <w:rPr>
                <w:rFonts w:ascii="Arial" w:hAnsi="Arial" w:cs="Arial"/>
                <w:b/>
                <w:bCs/>
                <w:sz w:val="22"/>
                <w:szCs w:val="22"/>
              </w:rPr>
            </w:pPr>
            <w:r w:rsidRPr="00890737">
              <w:rPr>
                <w:rFonts w:ascii="Arial" w:hAnsi="Arial" w:cs="Arial"/>
                <w:b/>
                <w:bCs/>
                <w:sz w:val="22"/>
                <w:szCs w:val="22"/>
              </w:rPr>
              <w:t>City Centre</w:t>
            </w:r>
          </w:p>
        </w:tc>
        <w:tc>
          <w:tcPr>
            <w:tcW w:w="1430" w:type="dxa"/>
            <w:shd w:val="clear" w:color="auto" w:fill="E6E6E6"/>
          </w:tcPr>
          <w:p w:rsidR="006C3BDC" w:rsidRPr="00890737" w:rsidRDefault="006C3BDC" w:rsidP="003F053E">
            <w:pPr>
              <w:jc w:val="center"/>
              <w:rPr>
                <w:rFonts w:ascii="Arial" w:hAnsi="Arial" w:cs="Arial"/>
                <w:b/>
                <w:bCs/>
                <w:sz w:val="22"/>
                <w:szCs w:val="22"/>
              </w:rPr>
            </w:pPr>
            <w:r w:rsidRPr="00890737">
              <w:rPr>
                <w:rFonts w:ascii="Arial" w:hAnsi="Arial" w:cs="Arial"/>
                <w:b/>
                <w:bCs/>
                <w:sz w:val="22"/>
                <w:szCs w:val="22"/>
              </w:rPr>
              <w:t>Total</w:t>
            </w:r>
          </w:p>
        </w:tc>
      </w:tr>
      <w:tr w:rsidR="006C3BDC" w:rsidRPr="00890737" w:rsidTr="00610E57">
        <w:tc>
          <w:tcPr>
            <w:tcW w:w="4077" w:type="dxa"/>
            <w:shd w:val="clear" w:color="auto" w:fill="auto"/>
          </w:tcPr>
          <w:p w:rsidR="006C3BDC" w:rsidRPr="003365A7" w:rsidRDefault="006C3BDC" w:rsidP="003F053E">
            <w:pPr>
              <w:rPr>
                <w:rFonts w:ascii="Arial" w:hAnsi="Arial" w:cs="Arial"/>
                <w:sz w:val="22"/>
                <w:szCs w:val="22"/>
              </w:rPr>
            </w:pPr>
            <w:r w:rsidRPr="003365A7">
              <w:rPr>
                <w:rFonts w:ascii="Arial" w:hAnsi="Arial" w:cs="Arial"/>
                <w:sz w:val="22"/>
                <w:szCs w:val="22"/>
              </w:rPr>
              <w:t>Under Construction</w:t>
            </w:r>
          </w:p>
        </w:tc>
        <w:tc>
          <w:tcPr>
            <w:tcW w:w="100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516</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1</w:t>
            </w:r>
            <w:r w:rsidR="001D3A17">
              <w:rPr>
                <w:rFonts w:ascii="Arial" w:hAnsi="Arial" w:cs="Arial"/>
                <w:color w:val="000000"/>
                <w:sz w:val="22"/>
                <w:szCs w:val="22"/>
              </w:rPr>
              <w:t>,</w:t>
            </w:r>
            <w:r w:rsidRPr="003365A7">
              <w:rPr>
                <w:rFonts w:ascii="Arial" w:hAnsi="Arial" w:cs="Arial"/>
                <w:color w:val="000000"/>
                <w:sz w:val="22"/>
                <w:szCs w:val="22"/>
              </w:rPr>
              <w:t>037</w:t>
            </w:r>
          </w:p>
        </w:tc>
        <w:tc>
          <w:tcPr>
            <w:tcW w:w="1041"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2</w:t>
            </w:r>
            <w:r w:rsidR="001D3A17">
              <w:rPr>
                <w:rFonts w:ascii="Arial" w:hAnsi="Arial" w:cs="Arial"/>
                <w:color w:val="000000"/>
                <w:sz w:val="22"/>
                <w:szCs w:val="22"/>
              </w:rPr>
              <w:t>,</w:t>
            </w:r>
            <w:r w:rsidRPr="003365A7">
              <w:rPr>
                <w:rFonts w:ascii="Arial" w:hAnsi="Arial" w:cs="Arial"/>
                <w:color w:val="000000"/>
                <w:sz w:val="22"/>
                <w:szCs w:val="22"/>
              </w:rPr>
              <w:t>090</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6</w:t>
            </w:r>
            <w:r w:rsidR="001D3A17">
              <w:rPr>
                <w:rFonts w:ascii="Arial" w:hAnsi="Arial" w:cs="Arial"/>
                <w:color w:val="000000"/>
                <w:sz w:val="22"/>
                <w:szCs w:val="22"/>
              </w:rPr>
              <w:t>,</w:t>
            </w:r>
            <w:r w:rsidRPr="003365A7">
              <w:rPr>
                <w:rFonts w:ascii="Arial" w:hAnsi="Arial" w:cs="Arial"/>
                <w:color w:val="000000"/>
                <w:sz w:val="22"/>
                <w:szCs w:val="22"/>
              </w:rPr>
              <w:t>760</w:t>
            </w:r>
          </w:p>
        </w:tc>
        <w:tc>
          <w:tcPr>
            <w:tcW w:w="1430" w:type="dxa"/>
            <w:shd w:val="clear" w:color="auto" w:fill="auto"/>
            <w:vAlign w:val="bottom"/>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10</w:t>
            </w:r>
            <w:r w:rsidR="001D3A17">
              <w:rPr>
                <w:rFonts w:ascii="Arial" w:hAnsi="Arial" w:cs="Arial"/>
                <w:color w:val="000000"/>
                <w:sz w:val="22"/>
                <w:szCs w:val="22"/>
              </w:rPr>
              <w:t>,</w:t>
            </w:r>
            <w:r w:rsidRPr="003365A7">
              <w:rPr>
                <w:rFonts w:ascii="Arial" w:hAnsi="Arial" w:cs="Arial"/>
                <w:color w:val="000000"/>
                <w:sz w:val="22"/>
                <w:szCs w:val="22"/>
              </w:rPr>
              <w:t>403</w:t>
            </w:r>
          </w:p>
        </w:tc>
      </w:tr>
      <w:tr w:rsidR="006C3BDC" w:rsidRPr="00890737" w:rsidTr="00610E57">
        <w:tc>
          <w:tcPr>
            <w:tcW w:w="4077" w:type="dxa"/>
            <w:shd w:val="clear" w:color="auto" w:fill="auto"/>
          </w:tcPr>
          <w:p w:rsidR="006C3BDC" w:rsidRPr="003365A7" w:rsidRDefault="006C3BDC" w:rsidP="003F053E">
            <w:pPr>
              <w:rPr>
                <w:rFonts w:ascii="Arial" w:hAnsi="Arial" w:cs="Arial"/>
                <w:sz w:val="22"/>
                <w:szCs w:val="22"/>
              </w:rPr>
            </w:pPr>
            <w:r w:rsidRPr="003365A7">
              <w:rPr>
                <w:rFonts w:ascii="Arial" w:hAnsi="Arial" w:cs="Arial"/>
                <w:sz w:val="22"/>
                <w:szCs w:val="22"/>
              </w:rPr>
              <w:t>Detailed PP</w:t>
            </w:r>
          </w:p>
        </w:tc>
        <w:tc>
          <w:tcPr>
            <w:tcW w:w="100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2</w:t>
            </w:r>
            <w:r w:rsidR="001D3A17">
              <w:rPr>
                <w:rFonts w:ascii="Arial" w:hAnsi="Arial" w:cs="Arial"/>
                <w:color w:val="000000"/>
                <w:sz w:val="22"/>
                <w:szCs w:val="22"/>
              </w:rPr>
              <w:t>,</w:t>
            </w:r>
            <w:r w:rsidRPr="003365A7">
              <w:rPr>
                <w:rFonts w:ascii="Arial" w:hAnsi="Arial" w:cs="Arial"/>
                <w:color w:val="000000"/>
                <w:sz w:val="22"/>
                <w:szCs w:val="22"/>
              </w:rPr>
              <w:t>267</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588</w:t>
            </w:r>
          </w:p>
        </w:tc>
        <w:tc>
          <w:tcPr>
            <w:tcW w:w="1041"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710</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4</w:t>
            </w:r>
            <w:r w:rsidR="001D3A17">
              <w:rPr>
                <w:rFonts w:ascii="Arial" w:hAnsi="Arial" w:cs="Arial"/>
                <w:color w:val="000000"/>
                <w:sz w:val="22"/>
                <w:szCs w:val="22"/>
              </w:rPr>
              <w:t>,</w:t>
            </w:r>
            <w:r w:rsidRPr="003365A7">
              <w:rPr>
                <w:rFonts w:ascii="Arial" w:hAnsi="Arial" w:cs="Arial"/>
                <w:color w:val="000000"/>
                <w:sz w:val="22"/>
                <w:szCs w:val="22"/>
              </w:rPr>
              <w:t>503</w:t>
            </w:r>
          </w:p>
        </w:tc>
        <w:tc>
          <w:tcPr>
            <w:tcW w:w="1430" w:type="dxa"/>
            <w:shd w:val="clear" w:color="auto" w:fill="auto"/>
            <w:vAlign w:val="bottom"/>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8</w:t>
            </w:r>
            <w:r w:rsidR="001D3A17">
              <w:rPr>
                <w:rFonts w:ascii="Arial" w:hAnsi="Arial" w:cs="Arial"/>
                <w:color w:val="000000"/>
                <w:sz w:val="22"/>
                <w:szCs w:val="22"/>
              </w:rPr>
              <w:t>,</w:t>
            </w:r>
            <w:r w:rsidRPr="003365A7">
              <w:rPr>
                <w:rFonts w:ascii="Arial" w:hAnsi="Arial" w:cs="Arial"/>
                <w:color w:val="000000"/>
                <w:sz w:val="22"/>
                <w:szCs w:val="22"/>
              </w:rPr>
              <w:t>068</w:t>
            </w:r>
          </w:p>
        </w:tc>
      </w:tr>
      <w:tr w:rsidR="006C3BDC" w:rsidRPr="00890737" w:rsidTr="00610E57">
        <w:tc>
          <w:tcPr>
            <w:tcW w:w="4077" w:type="dxa"/>
            <w:shd w:val="clear" w:color="auto" w:fill="auto"/>
          </w:tcPr>
          <w:p w:rsidR="006C3BDC" w:rsidRPr="003365A7" w:rsidRDefault="006C3BDC" w:rsidP="003F053E">
            <w:pPr>
              <w:rPr>
                <w:rFonts w:ascii="Arial" w:hAnsi="Arial" w:cs="Arial"/>
                <w:sz w:val="22"/>
                <w:szCs w:val="22"/>
              </w:rPr>
            </w:pPr>
            <w:r w:rsidRPr="003365A7">
              <w:rPr>
                <w:rFonts w:ascii="Arial" w:hAnsi="Arial" w:cs="Arial"/>
                <w:sz w:val="22"/>
                <w:szCs w:val="22"/>
              </w:rPr>
              <w:t>Outline PP</w:t>
            </w:r>
          </w:p>
        </w:tc>
        <w:tc>
          <w:tcPr>
            <w:tcW w:w="100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1</w:t>
            </w:r>
            <w:r w:rsidR="001D3A17">
              <w:rPr>
                <w:rFonts w:ascii="Arial" w:hAnsi="Arial" w:cs="Arial"/>
                <w:color w:val="000000"/>
                <w:sz w:val="22"/>
                <w:szCs w:val="22"/>
              </w:rPr>
              <w:t>,</w:t>
            </w:r>
            <w:r w:rsidRPr="003365A7">
              <w:rPr>
                <w:rFonts w:ascii="Arial" w:hAnsi="Arial" w:cs="Arial"/>
                <w:color w:val="000000"/>
                <w:sz w:val="22"/>
                <w:szCs w:val="22"/>
              </w:rPr>
              <w:t>008</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297</w:t>
            </w:r>
          </w:p>
        </w:tc>
        <w:tc>
          <w:tcPr>
            <w:tcW w:w="1041"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260</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500</w:t>
            </w:r>
          </w:p>
        </w:tc>
        <w:tc>
          <w:tcPr>
            <w:tcW w:w="1430" w:type="dxa"/>
            <w:shd w:val="clear" w:color="auto" w:fill="auto"/>
            <w:vAlign w:val="bottom"/>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2</w:t>
            </w:r>
            <w:r w:rsidR="001D3A17">
              <w:rPr>
                <w:rFonts w:ascii="Arial" w:hAnsi="Arial" w:cs="Arial"/>
                <w:color w:val="000000"/>
                <w:sz w:val="22"/>
                <w:szCs w:val="22"/>
              </w:rPr>
              <w:t>,</w:t>
            </w:r>
            <w:r w:rsidRPr="003365A7">
              <w:rPr>
                <w:rFonts w:ascii="Arial" w:hAnsi="Arial" w:cs="Arial"/>
                <w:color w:val="000000"/>
                <w:sz w:val="22"/>
                <w:szCs w:val="22"/>
              </w:rPr>
              <w:t>065</w:t>
            </w:r>
          </w:p>
        </w:tc>
      </w:tr>
      <w:tr w:rsidR="006C3BDC" w:rsidRPr="00890737" w:rsidTr="00610E57">
        <w:tc>
          <w:tcPr>
            <w:tcW w:w="4077" w:type="dxa"/>
            <w:shd w:val="clear" w:color="auto" w:fill="auto"/>
          </w:tcPr>
          <w:p w:rsidR="006C3BDC" w:rsidRPr="003365A7" w:rsidRDefault="006C3BDC" w:rsidP="003F053E">
            <w:pPr>
              <w:rPr>
                <w:rFonts w:ascii="Arial" w:hAnsi="Arial" w:cs="Arial"/>
                <w:sz w:val="22"/>
                <w:szCs w:val="22"/>
              </w:rPr>
            </w:pPr>
            <w:r w:rsidRPr="003365A7">
              <w:rPr>
                <w:rFonts w:ascii="Arial" w:hAnsi="Arial" w:cs="Arial"/>
                <w:sz w:val="22"/>
                <w:szCs w:val="22"/>
              </w:rPr>
              <w:t>Permitted Development</w:t>
            </w:r>
          </w:p>
        </w:tc>
        <w:tc>
          <w:tcPr>
            <w:tcW w:w="100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10</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314</w:t>
            </w:r>
          </w:p>
        </w:tc>
        <w:tc>
          <w:tcPr>
            <w:tcW w:w="1041"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115</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330</w:t>
            </w:r>
          </w:p>
        </w:tc>
        <w:tc>
          <w:tcPr>
            <w:tcW w:w="1430" w:type="dxa"/>
            <w:shd w:val="clear" w:color="auto" w:fill="auto"/>
            <w:vAlign w:val="bottom"/>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769</w:t>
            </w:r>
          </w:p>
        </w:tc>
      </w:tr>
      <w:tr w:rsidR="006C3BDC" w:rsidRPr="00890737" w:rsidTr="00610E57">
        <w:tc>
          <w:tcPr>
            <w:tcW w:w="4077" w:type="dxa"/>
            <w:shd w:val="clear" w:color="auto" w:fill="auto"/>
          </w:tcPr>
          <w:p w:rsidR="006C3BDC" w:rsidRPr="003365A7" w:rsidRDefault="006C3BDC" w:rsidP="003F053E">
            <w:pPr>
              <w:rPr>
                <w:rFonts w:ascii="Arial" w:hAnsi="Arial" w:cs="Arial"/>
                <w:sz w:val="22"/>
                <w:szCs w:val="22"/>
              </w:rPr>
            </w:pPr>
            <w:r w:rsidRPr="003365A7">
              <w:rPr>
                <w:rFonts w:ascii="Arial" w:hAnsi="Arial" w:cs="Arial"/>
                <w:sz w:val="22"/>
                <w:szCs w:val="22"/>
              </w:rPr>
              <w:t>Allocation in adopted plan</w:t>
            </w:r>
          </w:p>
        </w:tc>
        <w:tc>
          <w:tcPr>
            <w:tcW w:w="100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5</w:t>
            </w:r>
            <w:r w:rsidR="001D3A17">
              <w:rPr>
                <w:rFonts w:ascii="Arial" w:hAnsi="Arial" w:cs="Arial"/>
                <w:color w:val="000000"/>
                <w:sz w:val="22"/>
                <w:szCs w:val="22"/>
              </w:rPr>
              <w:t>,</w:t>
            </w:r>
            <w:r w:rsidRPr="003365A7">
              <w:rPr>
                <w:rFonts w:ascii="Arial" w:hAnsi="Arial" w:cs="Arial"/>
                <w:color w:val="000000"/>
                <w:sz w:val="22"/>
                <w:szCs w:val="22"/>
              </w:rPr>
              <w:t>154</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621</w:t>
            </w:r>
          </w:p>
        </w:tc>
        <w:tc>
          <w:tcPr>
            <w:tcW w:w="1041"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390</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1</w:t>
            </w:r>
            <w:r w:rsidR="001D3A17">
              <w:rPr>
                <w:rFonts w:ascii="Arial" w:hAnsi="Arial" w:cs="Arial"/>
                <w:color w:val="000000"/>
                <w:sz w:val="22"/>
                <w:szCs w:val="22"/>
              </w:rPr>
              <w:t>,</w:t>
            </w:r>
            <w:r w:rsidRPr="003365A7">
              <w:rPr>
                <w:rFonts w:ascii="Arial" w:hAnsi="Arial" w:cs="Arial"/>
                <w:color w:val="000000"/>
                <w:sz w:val="22"/>
                <w:szCs w:val="22"/>
              </w:rPr>
              <w:t>672</w:t>
            </w:r>
          </w:p>
        </w:tc>
        <w:tc>
          <w:tcPr>
            <w:tcW w:w="1430" w:type="dxa"/>
            <w:shd w:val="clear" w:color="auto" w:fill="auto"/>
            <w:vAlign w:val="bottom"/>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7</w:t>
            </w:r>
            <w:r w:rsidR="001D3A17">
              <w:rPr>
                <w:rFonts w:ascii="Arial" w:hAnsi="Arial" w:cs="Arial"/>
                <w:color w:val="000000"/>
                <w:sz w:val="22"/>
                <w:szCs w:val="22"/>
              </w:rPr>
              <w:t>,</w:t>
            </w:r>
            <w:r w:rsidRPr="003365A7">
              <w:rPr>
                <w:rFonts w:ascii="Arial" w:hAnsi="Arial" w:cs="Arial"/>
                <w:color w:val="000000"/>
                <w:sz w:val="22"/>
                <w:szCs w:val="22"/>
              </w:rPr>
              <w:t>837</w:t>
            </w:r>
          </w:p>
        </w:tc>
      </w:tr>
      <w:tr w:rsidR="006C3BDC" w:rsidRPr="00890737" w:rsidTr="00610E57">
        <w:tc>
          <w:tcPr>
            <w:tcW w:w="4077" w:type="dxa"/>
            <w:shd w:val="clear" w:color="auto" w:fill="auto"/>
          </w:tcPr>
          <w:p w:rsidR="006C3BDC" w:rsidRPr="003365A7" w:rsidRDefault="006C3BDC" w:rsidP="003F053E">
            <w:pPr>
              <w:rPr>
                <w:rFonts w:ascii="Arial" w:hAnsi="Arial" w:cs="Arial"/>
                <w:sz w:val="22"/>
                <w:szCs w:val="22"/>
              </w:rPr>
            </w:pPr>
            <w:r w:rsidRPr="003365A7">
              <w:rPr>
                <w:rFonts w:ascii="Arial" w:hAnsi="Arial" w:cs="Arial"/>
                <w:sz w:val="22"/>
                <w:szCs w:val="22"/>
              </w:rPr>
              <w:t>Allocation in draft plan</w:t>
            </w:r>
          </w:p>
        </w:tc>
        <w:tc>
          <w:tcPr>
            <w:tcW w:w="100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0</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251</w:t>
            </w:r>
          </w:p>
        </w:tc>
        <w:tc>
          <w:tcPr>
            <w:tcW w:w="1041"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0</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0</w:t>
            </w:r>
          </w:p>
        </w:tc>
        <w:tc>
          <w:tcPr>
            <w:tcW w:w="1430" w:type="dxa"/>
            <w:shd w:val="clear" w:color="auto" w:fill="auto"/>
            <w:vAlign w:val="bottom"/>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251</w:t>
            </w:r>
          </w:p>
        </w:tc>
      </w:tr>
      <w:tr w:rsidR="006C3BDC" w:rsidRPr="00890737" w:rsidTr="00610E57">
        <w:tc>
          <w:tcPr>
            <w:tcW w:w="4077" w:type="dxa"/>
            <w:shd w:val="clear" w:color="auto" w:fill="auto"/>
          </w:tcPr>
          <w:p w:rsidR="006C3BDC" w:rsidRPr="003365A7" w:rsidRDefault="006C3BDC" w:rsidP="003F053E">
            <w:pPr>
              <w:rPr>
                <w:rFonts w:ascii="Arial" w:hAnsi="Arial" w:cs="Arial"/>
                <w:sz w:val="22"/>
                <w:szCs w:val="22"/>
              </w:rPr>
            </w:pPr>
            <w:r w:rsidRPr="003365A7">
              <w:rPr>
                <w:rFonts w:ascii="Arial" w:hAnsi="Arial" w:cs="Arial"/>
                <w:sz w:val="22"/>
                <w:szCs w:val="22"/>
              </w:rPr>
              <w:t>Other Opportunity in BDP Growth Area</w:t>
            </w:r>
          </w:p>
        </w:tc>
        <w:tc>
          <w:tcPr>
            <w:tcW w:w="100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2</w:t>
            </w:r>
            <w:r w:rsidR="001D3A17">
              <w:rPr>
                <w:rFonts w:ascii="Arial" w:hAnsi="Arial" w:cs="Arial"/>
                <w:color w:val="000000"/>
                <w:sz w:val="22"/>
                <w:szCs w:val="22"/>
              </w:rPr>
              <w:t>,</w:t>
            </w:r>
            <w:r w:rsidRPr="003365A7">
              <w:rPr>
                <w:rFonts w:ascii="Arial" w:hAnsi="Arial" w:cs="Arial"/>
                <w:color w:val="000000"/>
                <w:sz w:val="22"/>
                <w:szCs w:val="22"/>
              </w:rPr>
              <w:t>095</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272</w:t>
            </w:r>
          </w:p>
        </w:tc>
        <w:tc>
          <w:tcPr>
            <w:tcW w:w="1041"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5</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4</w:t>
            </w:r>
            <w:r w:rsidR="001D3A17">
              <w:rPr>
                <w:rFonts w:ascii="Arial" w:hAnsi="Arial" w:cs="Arial"/>
                <w:color w:val="000000"/>
                <w:sz w:val="22"/>
                <w:szCs w:val="22"/>
              </w:rPr>
              <w:t>,</w:t>
            </w:r>
            <w:r w:rsidRPr="003365A7">
              <w:rPr>
                <w:rFonts w:ascii="Arial" w:hAnsi="Arial" w:cs="Arial"/>
                <w:color w:val="000000"/>
                <w:sz w:val="22"/>
                <w:szCs w:val="22"/>
              </w:rPr>
              <w:t>840</w:t>
            </w:r>
          </w:p>
        </w:tc>
        <w:tc>
          <w:tcPr>
            <w:tcW w:w="1430" w:type="dxa"/>
            <w:shd w:val="clear" w:color="auto" w:fill="auto"/>
            <w:vAlign w:val="bottom"/>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7</w:t>
            </w:r>
            <w:r w:rsidR="001D3A17">
              <w:rPr>
                <w:rFonts w:ascii="Arial" w:hAnsi="Arial" w:cs="Arial"/>
                <w:color w:val="000000"/>
                <w:sz w:val="22"/>
                <w:szCs w:val="22"/>
              </w:rPr>
              <w:t>,</w:t>
            </w:r>
            <w:r w:rsidRPr="003365A7">
              <w:rPr>
                <w:rFonts w:ascii="Arial" w:hAnsi="Arial" w:cs="Arial"/>
                <w:color w:val="000000"/>
                <w:sz w:val="22"/>
                <w:szCs w:val="22"/>
              </w:rPr>
              <w:t>212</w:t>
            </w:r>
          </w:p>
        </w:tc>
      </w:tr>
      <w:tr w:rsidR="006C3BDC" w:rsidRPr="00890737" w:rsidTr="00610E57">
        <w:tc>
          <w:tcPr>
            <w:tcW w:w="4077" w:type="dxa"/>
            <w:shd w:val="clear" w:color="auto" w:fill="auto"/>
          </w:tcPr>
          <w:p w:rsidR="006C3BDC" w:rsidRPr="003365A7" w:rsidRDefault="006C3BDC" w:rsidP="003F053E">
            <w:pPr>
              <w:rPr>
                <w:rFonts w:ascii="Arial" w:hAnsi="Arial" w:cs="Arial"/>
                <w:sz w:val="22"/>
                <w:szCs w:val="22"/>
              </w:rPr>
            </w:pPr>
            <w:r w:rsidRPr="003365A7">
              <w:rPr>
                <w:rFonts w:ascii="Arial" w:hAnsi="Arial" w:cs="Arial"/>
                <w:sz w:val="22"/>
                <w:szCs w:val="22"/>
              </w:rPr>
              <w:t>Other Opportunity not in BDP Growth Area</w:t>
            </w:r>
          </w:p>
        </w:tc>
        <w:tc>
          <w:tcPr>
            <w:tcW w:w="100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761</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2</w:t>
            </w:r>
            <w:r w:rsidR="001D3A17">
              <w:rPr>
                <w:rFonts w:ascii="Arial" w:hAnsi="Arial" w:cs="Arial"/>
                <w:color w:val="000000"/>
                <w:sz w:val="22"/>
                <w:szCs w:val="22"/>
              </w:rPr>
              <w:t>,</w:t>
            </w:r>
            <w:r w:rsidRPr="003365A7">
              <w:rPr>
                <w:rFonts w:ascii="Arial" w:hAnsi="Arial" w:cs="Arial"/>
                <w:color w:val="000000"/>
                <w:sz w:val="22"/>
                <w:szCs w:val="22"/>
              </w:rPr>
              <w:t>634</w:t>
            </w:r>
          </w:p>
        </w:tc>
        <w:tc>
          <w:tcPr>
            <w:tcW w:w="1041"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2</w:t>
            </w:r>
            <w:r w:rsidR="001D3A17">
              <w:rPr>
                <w:rFonts w:ascii="Arial" w:hAnsi="Arial" w:cs="Arial"/>
                <w:color w:val="000000"/>
                <w:sz w:val="22"/>
                <w:szCs w:val="22"/>
              </w:rPr>
              <w:t>,</w:t>
            </w:r>
            <w:r w:rsidRPr="003365A7">
              <w:rPr>
                <w:rFonts w:ascii="Arial" w:hAnsi="Arial" w:cs="Arial"/>
                <w:color w:val="000000"/>
                <w:sz w:val="22"/>
                <w:szCs w:val="22"/>
              </w:rPr>
              <w:t>316</w:t>
            </w:r>
          </w:p>
        </w:tc>
        <w:tc>
          <w:tcPr>
            <w:tcW w:w="1042" w:type="dxa"/>
            <w:shd w:val="clear" w:color="auto" w:fill="auto"/>
            <w:vAlign w:val="center"/>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0</w:t>
            </w:r>
          </w:p>
        </w:tc>
        <w:tc>
          <w:tcPr>
            <w:tcW w:w="1430" w:type="dxa"/>
            <w:shd w:val="clear" w:color="auto" w:fill="auto"/>
            <w:vAlign w:val="bottom"/>
          </w:tcPr>
          <w:p w:rsidR="006C3BDC" w:rsidRPr="003365A7" w:rsidRDefault="006C3BDC" w:rsidP="003F053E">
            <w:pPr>
              <w:jc w:val="right"/>
              <w:rPr>
                <w:rFonts w:ascii="Arial" w:hAnsi="Arial" w:cs="Arial"/>
                <w:color w:val="000000"/>
                <w:sz w:val="22"/>
                <w:szCs w:val="22"/>
              </w:rPr>
            </w:pPr>
            <w:r w:rsidRPr="003365A7">
              <w:rPr>
                <w:rFonts w:ascii="Arial" w:hAnsi="Arial" w:cs="Arial"/>
                <w:color w:val="000000"/>
                <w:sz w:val="22"/>
                <w:szCs w:val="22"/>
              </w:rPr>
              <w:t>5</w:t>
            </w:r>
            <w:r w:rsidR="001D3A17">
              <w:rPr>
                <w:rFonts w:ascii="Arial" w:hAnsi="Arial" w:cs="Arial"/>
                <w:color w:val="000000"/>
                <w:sz w:val="22"/>
                <w:szCs w:val="22"/>
              </w:rPr>
              <w:t>,</w:t>
            </w:r>
            <w:r w:rsidRPr="003365A7">
              <w:rPr>
                <w:rFonts w:ascii="Arial" w:hAnsi="Arial" w:cs="Arial"/>
                <w:color w:val="000000"/>
                <w:sz w:val="22"/>
                <w:szCs w:val="22"/>
              </w:rPr>
              <w:t>711</w:t>
            </w:r>
          </w:p>
        </w:tc>
      </w:tr>
      <w:tr w:rsidR="006C3BDC" w:rsidRPr="00890737" w:rsidTr="00610E57">
        <w:tc>
          <w:tcPr>
            <w:tcW w:w="4077" w:type="dxa"/>
            <w:shd w:val="clear" w:color="auto" w:fill="auto"/>
          </w:tcPr>
          <w:p w:rsidR="006C3BDC" w:rsidRPr="003365A7" w:rsidRDefault="006C3BDC" w:rsidP="003F053E">
            <w:pPr>
              <w:rPr>
                <w:rFonts w:ascii="Arial" w:hAnsi="Arial" w:cs="Arial"/>
                <w:b/>
                <w:sz w:val="22"/>
                <w:szCs w:val="22"/>
              </w:rPr>
            </w:pPr>
            <w:r w:rsidRPr="003365A7">
              <w:rPr>
                <w:rFonts w:ascii="Arial" w:hAnsi="Arial" w:cs="Arial"/>
                <w:b/>
                <w:sz w:val="22"/>
                <w:szCs w:val="22"/>
              </w:rPr>
              <w:t>Total</w:t>
            </w:r>
          </w:p>
        </w:tc>
        <w:tc>
          <w:tcPr>
            <w:tcW w:w="1002" w:type="dxa"/>
            <w:shd w:val="clear" w:color="auto" w:fill="auto"/>
            <w:vAlign w:val="bottom"/>
          </w:tcPr>
          <w:p w:rsidR="006C3BDC" w:rsidRPr="003365A7" w:rsidRDefault="006C3BDC" w:rsidP="003F053E">
            <w:pPr>
              <w:jc w:val="right"/>
              <w:rPr>
                <w:rFonts w:ascii="Arial" w:hAnsi="Arial" w:cs="Arial"/>
                <w:b/>
                <w:color w:val="000000"/>
                <w:sz w:val="22"/>
                <w:szCs w:val="22"/>
              </w:rPr>
            </w:pPr>
            <w:r w:rsidRPr="003365A7">
              <w:rPr>
                <w:rFonts w:ascii="Arial" w:hAnsi="Arial" w:cs="Arial"/>
                <w:b/>
                <w:color w:val="000000"/>
                <w:sz w:val="22"/>
                <w:szCs w:val="22"/>
              </w:rPr>
              <w:t>11</w:t>
            </w:r>
            <w:r w:rsidR="001D3A17">
              <w:rPr>
                <w:rFonts w:ascii="Arial" w:hAnsi="Arial" w:cs="Arial"/>
                <w:b/>
                <w:color w:val="000000"/>
                <w:sz w:val="22"/>
                <w:szCs w:val="22"/>
              </w:rPr>
              <w:t>,</w:t>
            </w:r>
            <w:r w:rsidRPr="003365A7">
              <w:rPr>
                <w:rFonts w:ascii="Arial" w:hAnsi="Arial" w:cs="Arial"/>
                <w:b/>
                <w:color w:val="000000"/>
                <w:sz w:val="22"/>
                <w:szCs w:val="22"/>
              </w:rPr>
              <w:t>811</w:t>
            </w:r>
          </w:p>
        </w:tc>
        <w:tc>
          <w:tcPr>
            <w:tcW w:w="1042" w:type="dxa"/>
            <w:shd w:val="clear" w:color="auto" w:fill="auto"/>
            <w:vAlign w:val="bottom"/>
          </w:tcPr>
          <w:p w:rsidR="006C3BDC" w:rsidRPr="003365A7" w:rsidRDefault="006C3BDC" w:rsidP="003F053E">
            <w:pPr>
              <w:jc w:val="right"/>
              <w:rPr>
                <w:rFonts w:ascii="Arial" w:hAnsi="Arial" w:cs="Arial"/>
                <w:b/>
                <w:color w:val="000000"/>
                <w:sz w:val="22"/>
                <w:szCs w:val="22"/>
              </w:rPr>
            </w:pPr>
            <w:r w:rsidRPr="003365A7">
              <w:rPr>
                <w:rFonts w:ascii="Arial" w:hAnsi="Arial" w:cs="Arial"/>
                <w:b/>
                <w:color w:val="000000"/>
                <w:sz w:val="22"/>
                <w:szCs w:val="22"/>
              </w:rPr>
              <w:t>6</w:t>
            </w:r>
            <w:r w:rsidR="001D3A17">
              <w:rPr>
                <w:rFonts w:ascii="Arial" w:hAnsi="Arial" w:cs="Arial"/>
                <w:b/>
                <w:color w:val="000000"/>
                <w:sz w:val="22"/>
                <w:szCs w:val="22"/>
              </w:rPr>
              <w:t>,</w:t>
            </w:r>
            <w:r w:rsidRPr="003365A7">
              <w:rPr>
                <w:rFonts w:ascii="Arial" w:hAnsi="Arial" w:cs="Arial"/>
                <w:b/>
                <w:color w:val="000000"/>
                <w:sz w:val="22"/>
                <w:szCs w:val="22"/>
              </w:rPr>
              <w:t>014</w:t>
            </w:r>
          </w:p>
        </w:tc>
        <w:tc>
          <w:tcPr>
            <w:tcW w:w="1041" w:type="dxa"/>
            <w:shd w:val="clear" w:color="auto" w:fill="auto"/>
            <w:vAlign w:val="bottom"/>
          </w:tcPr>
          <w:p w:rsidR="006C3BDC" w:rsidRPr="003365A7" w:rsidRDefault="006C3BDC" w:rsidP="003F053E">
            <w:pPr>
              <w:jc w:val="right"/>
              <w:rPr>
                <w:rFonts w:ascii="Arial" w:hAnsi="Arial" w:cs="Arial"/>
                <w:b/>
                <w:color w:val="000000"/>
                <w:sz w:val="22"/>
                <w:szCs w:val="22"/>
              </w:rPr>
            </w:pPr>
            <w:r w:rsidRPr="003365A7">
              <w:rPr>
                <w:rFonts w:ascii="Arial" w:hAnsi="Arial" w:cs="Arial"/>
                <w:b/>
                <w:color w:val="000000"/>
                <w:sz w:val="22"/>
                <w:szCs w:val="22"/>
              </w:rPr>
              <w:t>5</w:t>
            </w:r>
            <w:r w:rsidR="001D3A17">
              <w:rPr>
                <w:rFonts w:ascii="Arial" w:hAnsi="Arial" w:cs="Arial"/>
                <w:b/>
                <w:color w:val="000000"/>
                <w:sz w:val="22"/>
                <w:szCs w:val="22"/>
              </w:rPr>
              <w:t>,</w:t>
            </w:r>
            <w:r w:rsidRPr="003365A7">
              <w:rPr>
                <w:rFonts w:ascii="Arial" w:hAnsi="Arial" w:cs="Arial"/>
                <w:b/>
                <w:color w:val="000000"/>
                <w:sz w:val="22"/>
                <w:szCs w:val="22"/>
              </w:rPr>
              <w:t>886</w:t>
            </w:r>
          </w:p>
        </w:tc>
        <w:tc>
          <w:tcPr>
            <w:tcW w:w="1042" w:type="dxa"/>
            <w:shd w:val="clear" w:color="auto" w:fill="auto"/>
            <w:vAlign w:val="bottom"/>
          </w:tcPr>
          <w:p w:rsidR="006C3BDC" w:rsidRPr="003365A7" w:rsidRDefault="006C3BDC" w:rsidP="003F053E">
            <w:pPr>
              <w:jc w:val="right"/>
              <w:rPr>
                <w:rFonts w:ascii="Arial" w:hAnsi="Arial" w:cs="Arial"/>
                <w:b/>
                <w:color w:val="000000"/>
                <w:sz w:val="22"/>
                <w:szCs w:val="22"/>
              </w:rPr>
            </w:pPr>
            <w:r w:rsidRPr="003365A7">
              <w:rPr>
                <w:rFonts w:ascii="Arial" w:hAnsi="Arial" w:cs="Arial"/>
                <w:b/>
                <w:color w:val="000000"/>
                <w:sz w:val="22"/>
                <w:szCs w:val="22"/>
              </w:rPr>
              <w:t>18</w:t>
            </w:r>
            <w:r w:rsidR="001D3A17">
              <w:rPr>
                <w:rFonts w:ascii="Arial" w:hAnsi="Arial" w:cs="Arial"/>
                <w:b/>
                <w:color w:val="000000"/>
                <w:sz w:val="22"/>
                <w:szCs w:val="22"/>
              </w:rPr>
              <w:t>,</w:t>
            </w:r>
            <w:r w:rsidRPr="003365A7">
              <w:rPr>
                <w:rFonts w:ascii="Arial" w:hAnsi="Arial" w:cs="Arial"/>
                <w:b/>
                <w:color w:val="000000"/>
                <w:sz w:val="22"/>
                <w:szCs w:val="22"/>
              </w:rPr>
              <w:t>605</w:t>
            </w:r>
          </w:p>
        </w:tc>
        <w:tc>
          <w:tcPr>
            <w:tcW w:w="1430" w:type="dxa"/>
            <w:shd w:val="clear" w:color="auto" w:fill="auto"/>
            <w:vAlign w:val="bottom"/>
          </w:tcPr>
          <w:p w:rsidR="006C3BDC" w:rsidRPr="003365A7" w:rsidRDefault="006C3BDC" w:rsidP="003F053E">
            <w:pPr>
              <w:jc w:val="right"/>
              <w:rPr>
                <w:rFonts w:ascii="Arial" w:hAnsi="Arial" w:cs="Arial"/>
                <w:b/>
                <w:color w:val="000000"/>
                <w:sz w:val="22"/>
                <w:szCs w:val="22"/>
              </w:rPr>
            </w:pPr>
            <w:r w:rsidRPr="003365A7">
              <w:rPr>
                <w:rFonts w:ascii="Arial" w:hAnsi="Arial" w:cs="Arial"/>
                <w:b/>
                <w:color w:val="000000"/>
                <w:sz w:val="22"/>
                <w:szCs w:val="22"/>
              </w:rPr>
              <w:t>42</w:t>
            </w:r>
            <w:r w:rsidR="001D3A17">
              <w:rPr>
                <w:rFonts w:ascii="Arial" w:hAnsi="Arial" w:cs="Arial"/>
                <w:b/>
                <w:color w:val="000000"/>
                <w:sz w:val="22"/>
                <w:szCs w:val="22"/>
              </w:rPr>
              <w:t>,</w:t>
            </w:r>
            <w:r w:rsidRPr="003365A7">
              <w:rPr>
                <w:rFonts w:ascii="Arial" w:hAnsi="Arial" w:cs="Arial"/>
                <w:b/>
                <w:color w:val="000000"/>
                <w:sz w:val="22"/>
                <w:szCs w:val="22"/>
              </w:rPr>
              <w:t>316</w:t>
            </w:r>
          </w:p>
        </w:tc>
      </w:tr>
    </w:tbl>
    <w:p w:rsidR="006C3BDC" w:rsidRDefault="006C3BDC" w:rsidP="006C3BDC">
      <w:pPr>
        <w:tabs>
          <w:tab w:val="left" w:pos="7455"/>
        </w:tabs>
        <w:rPr>
          <w:rFonts w:ascii="Arial" w:hAnsi="Arial" w:cs="Arial"/>
          <w:bCs/>
          <w:sz w:val="22"/>
          <w:szCs w:val="22"/>
        </w:rPr>
      </w:pPr>
    </w:p>
    <w:p w:rsidR="006C3BDC" w:rsidRDefault="006C3BDC" w:rsidP="006C3BDC">
      <w:pPr>
        <w:tabs>
          <w:tab w:val="left" w:pos="7455"/>
        </w:tabs>
        <w:rPr>
          <w:rFonts w:ascii="Arial" w:hAnsi="Arial" w:cs="Arial"/>
          <w:bCs/>
          <w:sz w:val="22"/>
          <w:szCs w:val="22"/>
        </w:rPr>
      </w:pPr>
    </w:p>
    <w:p w:rsidR="00610E57" w:rsidRDefault="00610E57" w:rsidP="006C3BDC">
      <w:pPr>
        <w:tabs>
          <w:tab w:val="left" w:pos="7455"/>
        </w:tabs>
        <w:rPr>
          <w:rFonts w:ascii="Arial" w:hAnsi="Arial" w:cs="Arial"/>
          <w:bCs/>
          <w:sz w:val="22"/>
          <w:szCs w:val="22"/>
        </w:rPr>
      </w:pPr>
    </w:p>
    <w:p w:rsidR="006C3BDC" w:rsidRPr="00890737" w:rsidRDefault="00610E57" w:rsidP="006C3BDC">
      <w:pPr>
        <w:tabs>
          <w:tab w:val="left" w:pos="7455"/>
        </w:tabs>
        <w:rPr>
          <w:rFonts w:ascii="Arial" w:hAnsi="Arial" w:cs="Arial"/>
          <w:bCs/>
          <w:sz w:val="22"/>
          <w:szCs w:val="22"/>
        </w:rPr>
      </w:pPr>
      <w:r>
        <w:rPr>
          <w:rFonts w:ascii="Arial" w:hAnsi="Arial" w:cs="Arial"/>
          <w:bCs/>
          <w:sz w:val="22"/>
          <w:szCs w:val="22"/>
        </w:rPr>
        <w:lastRenderedPageBreak/>
        <w:t xml:space="preserve">           </w:t>
      </w:r>
      <w:r w:rsidR="006C3BDC" w:rsidRPr="00890737">
        <w:rPr>
          <w:rFonts w:ascii="Arial" w:hAnsi="Arial" w:cs="Arial"/>
          <w:bCs/>
          <w:sz w:val="22"/>
          <w:szCs w:val="22"/>
        </w:rPr>
        <w:t xml:space="preserve">Table </w:t>
      </w:r>
      <w:r w:rsidR="00E76CC4">
        <w:rPr>
          <w:rFonts w:ascii="Arial" w:hAnsi="Arial" w:cs="Arial"/>
          <w:bCs/>
          <w:sz w:val="22"/>
          <w:szCs w:val="22"/>
        </w:rPr>
        <w:t>6</w:t>
      </w:r>
      <w:r w:rsidR="006C3BDC" w:rsidRPr="00890737">
        <w:rPr>
          <w:rFonts w:ascii="Arial" w:hAnsi="Arial" w:cs="Arial"/>
          <w:bCs/>
          <w:sz w:val="22"/>
          <w:szCs w:val="22"/>
        </w:rPr>
        <w:t>: Time Period by Distribution</w:t>
      </w:r>
    </w:p>
    <w:p w:rsidR="006C3BDC" w:rsidRPr="00890737" w:rsidRDefault="006C3BDC" w:rsidP="006C3BDC">
      <w:pPr>
        <w:tabs>
          <w:tab w:val="left" w:pos="7455"/>
        </w:tabs>
        <w:rPr>
          <w:rFonts w:ascii="Arial" w:hAnsi="Arial" w:cs="Arial"/>
          <w:b/>
          <w:sz w:val="22"/>
          <w:szCs w:val="22"/>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3"/>
        <w:gridCol w:w="993"/>
        <w:gridCol w:w="992"/>
        <w:gridCol w:w="1134"/>
        <w:gridCol w:w="992"/>
        <w:gridCol w:w="1134"/>
      </w:tblGrid>
      <w:tr w:rsidR="006C3BDC" w:rsidRPr="00890737" w:rsidTr="00610E57">
        <w:tc>
          <w:tcPr>
            <w:tcW w:w="3373" w:type="dxa"/>
            <w:tcBorders>
              <w:bottom w:val="nil"/>
            </w:tcBorders>
            <w:shd w:val="clear" w:color="auto" w:fill="E6E6E6"/>
          </w:tcPr>
          <w:p w:rsidR="006C3BDC" w:rsidRPr="00890737" w:rsidRDefault="006C3BDC" w:rsidP="003F053E">
            <w:pPr>
              <w:rPr>
                <w:rFonts w:ascii="Arial" w:hAnsi="Arial" w:cs="Arial"/>
                <w:b/>
                <w:bCs/>
                <w:sz w:val="22"/>
                <w:szCs w:val="22"/>
              </w:rPr>
            </w:pPr>
            <w:r w:rsidRPr="00890737">
              <w:rPr>
                <w:rFonts w:ascii="Arial" w:hAnsi="Arial" w:cs="Arial"/>
                <w:b/>
                <w:bCs/>
                <w:sz w:val="22"/>
                <w:szCs w:val="22"/>
              </w:rPr>
              <w:t>Time Period</w:t>
            </w:r>
          </w:p>
        </w:tc>
        <w:tc>
          <w:tcPr>
            <w:tcW w:w="5245" w:type="dxa"/>
            <w:gridSpan w:val="5"/>
            <w:shd w:val="clear" w:color="auto" w:fill="E6E6E6"/>
          </w:tcPr>
          <w:p w:rsidR="006C3BDC" w:rsidRPr="00890737" w:rsidRDefault="006C3BDC" w:rsidP="003F053E">
            <w:pPr>
              <w:jc w:val="center"/>
              <w:rPr>
                <w:rFonts w:ascii="Arial" w:hAnsi="Arial" w:cs="Arial"/>
                <w:b/>
                <w:bCs/>
                <w:sz w:val="22"/>
                <w:szCs w:val="22"/>
              </w:rPr>
            </w:pPr>
            <w:r w:rsidRPr="00890737">
              <w:rPr>
                <w:rFonts w:ascii="Arial" w:hAnsi="Arial" w:cs="Arial"/>
                <w:b/>
                <w:bCs/>
                <w:sz w:val="22"/>
                <w:szCs w:val="22"/>
              </w:rPr>
              <w:t>Location</w:t>
            </w:r>
          </w:p>
        </w:tc>
      </w:tr>
      <w:tr w:rsidR="006C3BDC" w:rsidRPr="00890737" w:rsidTr="00610E57">
        <w:tc>
          <w:tcPr>
            <w:tcW w:w="3373" w:type="dxa"/>
            <w:tcBorders>
              <w:top w:val="nil"/>
            </w:tcBorders>
            <w:shd w:val="clear" w:color="auto" w:fill="E6E6E6"/>
          </w:tcPr>
          <w:p w:rsidR="006C3BDC" w:rsidRPr="00890737" w:rsidRDefault="006C3BDC" w:rsidP="003F053E">
            <w:pPr>
              <w:rPr>
                <w:rFonts w:ascii="Arial" w:hAnsi="Arial" w:cs="Arial"/>
                <w:b/>
                <w:bCs/>
                <w:sz w:val="22"/>
                <w:szCs w:val="22"/>
              </w:rPr>
            </w:pPr>
          </w:p>
        </w:tc>
        <w:tc>
          <w:tcPr>
            <w:tcW w:w="993" w:type="dxa"/>
            <w:shd w:val="clear" w:color="auto" w:fill="E6E6E6"/>
          </w:tcPr>
          <w:p w:rsidR="006C3BDC" w:rsidRPr="00890737" w:rsidRDefault="006C3BDC" w:rsidP="003F053E">
            <w:pPr>
              <w:jc w:val="center"/>
              <w:rPr>
                <w:rFonts w:ascii="Arial" w:hAnsi="Arial" w:cs="Arial"/>
                <w:b/>
                <w:bCs/>
                <w:sz w:val="22"/>
                <w:szCs w:val="22"/>
              </w:rPr>
            </w:pPr>
            <w:r w:rsidRPr="00890737">
              <w:rPr>
                <w:rFonts w:ascii="Arial" w:hAnsi="Arial" w:cs="Arial"/>
                <w:b/>
                <w:bCs/>
                <w:sz w:val="22"/>
                <w:szCs w:val="22"/>
              </w:rPr>
              <w:t>North west</w:t>
            </w:r>
          </w:p>
        </w:tc>
        <w:tc>
          <w:tcPr>
            <w:tcW w:w="992" w:type="dxa"/>
            <w:shd w:val="clear" w:color="auto" w:fill="E6E6E6"/>
          </w:tcPr>
          <w:p w:rsidR="006C3BDC" w:rsidRPr="00890737" w:rsidRDefault="006C3BDC" w:rsidP="003F053E">
            <w:pPr>
              <w:jc w:val="center"/>
              <w:rPr>
                <w:rFonts w:ascii="Arial" w:hAnsi="Arial" w:cs="Arial"/>
                <w:b/>
                <w:bCs/>
                <w:sz w:val="22"/>
                <w:szCs w:val="22"/>
              </w:rPr>
            </w:pPr>
            <w:r w:rsidRPr="00890737">
              <w:rPr>
                <w:rFonts w:ascii="Arial" w:hAnsi="Arial" w:cs="Arial"/>
                <w:b/>
                <w:bCs/>
                <w:sz w:val="22"/>
                <w:szCs w:val="22"/>
              </w:rPr>
              <w:t>East</w:t>
            </w:r>
          </w:p>
        </w:tc>
        <w:tc>
          <w:tcPr>
            <w:tcW w:w="1134" w:type="dxa"/>
            <w:shd w:val="clear" w:color="auto" w:fill="E6E6E6"/>
          </w:tcPr>
          <w:p w:rsidR="006C3BDC" w:rsidRPr="00890737" w:rsidRDefault="006C3BDC" w:rsidP="003F053E">
            <w:pPr>
              <w:jc w:val="center"/>
              <w:rPr>
                <w:rFonts w:ascii="Arial" w:hAnsi="Arial" w:cs="Arial"/>
                <w:b/>
                <w:bCs/>
                <w:sz w:val="22"/>
                <w:szCs w:val="22"/>
              </w:rPr>
            </w:pPr>
            <w:r w:rsidRPr="00890737">
              <w:rPr>
                <w:rFonts w:ascii="Arial" w:hAnsi="Arial" w:cs="Arial"/>
                <w:b/>
                <w:bCs/>
                <w:sz w:val="22"/>
                <w:szCs w:val="22"/>
              </w:rPr>
              <w:t>South</w:t>
            </w:r>
          </w:p>
        </w:tc>
        <w:tc>
          <w:tcPr>
            <w:tcW w:w="992" w:type="dxa"/>
            <w:shd w:val="clear" w:color="auto" w:fill="E6E6E6"/>
          </w:tcPr>
          <w:p w:rsidR="006C3BDC" w:rsidRPr="00890737" w:rsidRDefault="006C3BDC" w:rsidP="003F053E">
            <w:pPr>
              <w:jc w:val="center"/>
              <w:rPr>
                <w:rFonts w:ascii="Arial" w:hAnsi="Arial" w:cs="Arial"/>
                <w:b/>
                <w:bCs/>
                <w:sz w:val="22"/>
                <w:szCs w:val="22"/>
              </w:rPr>
            </w:pPr>
            <w:r w:rsidRPr="00890737">
              <w:rPr>
                <w:rFonts w:ascii="Arial" w:hAnsi="Arial" w:cs="Arial"/>
                <w:b/>
                <w:bCs/>
                <w:sz w:val="22"/>
                <w:szCs w:val="22"/>
              </w:rPr>
              <w:t>City Centre</w:t>
            </w:r>
          </w:p>
        </w:tc>
        <w:tc>
          <w:tcPr>
            <w:tcW w:w="1134" w:type="dxa"/>
            <w:shd w:val="clear" w:color="auto" w:fill="E6E6E6"/>
          </w:tcPr>
          <w:p w:rsidR="006C3BDC" w:rsidRPr="00890737" w:rsidRDefault="006C3BDC" w:rsidP="003F053E">
            <w:pPr>
              <w:jc w:val="center"/>
              <w:rPr>
                <w:rFonts w:ascii="Arial" w:hAnsi="Arial" w:cs="Arial"/>
                <w:b/>
                <w:bCs/>
                <w:sz w:val="22"/>
                <w:szCs w:val="22"/>
              </w:rPr>
            </w:pPr>
            <w:r w:rsidRPr="00890737">
              <w:rPr>
                <w:rFonts w:ascii="Arial" w:hAnsi="Arial" w:cs="Arial"/>
                <w:b/>
                <w:bCs/>
                <w:sz w:val="22"/>
                <w:szCs w:val="22"/>
              </w:rPr>
              <w:t>Total</w:t>
            </w:r>
          </w:p>
        </w:tc>
      </w:tr>
      <w:tr w:rsidR="006C3BDC" w:rsidRPr="00890737" w:rsidTr="00610E57">
        <w:tc>
          <w:tcPr>
            <w:tcW w:w="3373" w:type="dxa"/>
            <w:shd w:val="clear" w:color="auto" w:fill="auto"/>
          </w:tcPr>
          <w:p w:rsidR="006C3BDC" w:rsidRPr="00890737" w:rsidRDefault="006C3BDC" w:rsidP="003F053E">
            <w:pPr>
              <w:rPr>
                <w:rFonts w:ascii="Arial" w:hAnsi="Arial" w:cs="Arial"/>
                <w:sz w:val="22"/>
                <w:szCs w:val="22"/>
              </w:rPr>
            </w:pPr>
            <w:r w:rsidRPr="00890737">
              <w:rPr>
                <w:rFonts w:ascii="Arial" w:hAnsi="Arial" w:cs="Arial"/>
                <w:sz w:val="22"/>
                <w:szCs w:val="22"/>
              </w:rPr>
              <w:t>Within 5 years</w:t>
            </w:r>
          </w:p>
        </w:tc>
        <w:tc>
          <w:tcPr>
            <w:tcW w:w="993" w:type="dxa"/>
            <w:shd w:val="clear" w:color="auto" w:fill="auto"/>
            <w:vAlign w:val="center"/>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2813</w:t>
            </w:r>
          </w:p>
        </w:tc>
        <w:tc>
          <w:tcPr>
            <w:tcW w:w="992" w:type="dxa"/>
            <w:shd w:val="clear" w:color="auto" w:fill="auto"/>
            <w:vAlign w:val="center"/>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1873</w:t>
            </w:r>
          </w:p>
        </w:tc>
        <w:tc>
          <w:tcPr>
            <w:tcW w:w="1134" w:type="dxa"/>
            <w:shd w:val="clear" w:color="auto" w:fill="auto"/>
            <w:vAlign w:val="center"/>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2916</w:t>
            </w:r>
          </w:p>
        </w:tc>
        <w:tc>
          <w:tcPr>
            <w:tcW w:w="992" w:type="dxa"/>
            <w:shd w:val="clear" w:color="auto" w:fill="auto"/>
            <w:vAlign w:val="center"/>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10835</w:t>
            </w:r>
          </w:p>
        </w:tc>
        <w:tc>
          <w:tcPr>
            <w:tcW w:w="1134" w:type="dxa"/>
            <w:shd w:val="clear" w:color="auto" w:fill="auto"/>
            <w:vAlign w:val="bottom"/>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18437</w:t>
            </w:r>
          </w:p>
        </w:tc>
      </w:tr>
      <w:tr w:rsidR="006C3BDC" w:rsidRPr="00890737" w:rsidTr="00610E57">
        <w:tc>
          <w:tcPr>
            <w:tcW w:w="3373" w:type="dxa"/>
            <w:shd w:val="clear" w:color="auto" w:fill="auto"/>
          </w:tcPr>
          <w:p w:rsidR="006C3BDC" w:rsidRPr="00890737" w:rsidRDefault="006C3BDC" w:rsidP="003F053E">
            <w:pPr>
              <w:rPr>
                <w:rFonts w:ascii="Arial" w:hAnsi="Arial" w:cs="Arial"/>
                <w:sz w:val="22"/>
                <w:szCs w:val="22"/>
              </w:rPr>
            </w:pPr>
            <w:r w:rsidRPr="00890737">
              <w:rPr>
                <w:rFonts w:ascii="Arial" w:hAnsi="Arial" w:cs="Arial"/>
                <w:sz w:val="22"/>
                <w:szCs w:val="22"/>
              </w:rPr>
              <w:t>6 to 10 years</w:t>
            </w:r>
          </w:p>
        </w:tc>
        <w:tc>
          <w:tcPr>
            <w:tcW w:w="993" w:type="dxa"/>
            <w:shd w:val="clear" w:color="auto" w:fill="auto"/>
            <w:vAlign w:val="center"/>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5592</w:t>
            </w:r>
          </w:p>
        </w:tc>
        <w:tc>
          <w:tcPr>
            <w:tcW w:w="992" w:type="dxa"/>
            <w:shd w:val="clear" w:color="auto" w:fill="auto"/>
            <w:vAlign w:val="center"/>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3398</w:t>
            </w:r>
          </w:p>
        </w:tc>
        <w:tc>
          <w:tcPr>
            <w:tcW w:w="1134" w:type="dxa"/>
            <w:shd w:val="clear" w:color="auto" w:fill="auto"/>
            <w:vAlign w:val="center"/>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2586</w:t>
            </w:r>
          </w:p>
        </w:tc>
        <w:tc>
          <w:tcPr>
            <w:tcW w:w="992" w:type="dxa"/>
            <w:shd w:val="clear" w:color="auto" w:fill="auto"/>
            <w:vAlign w:val="center"/>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4170</w:t>
            </w:r>
          </w:p>
        </w:tc>
        <w:tc>
          <w:tcPr>
            <w:tcW w:w="1134" w:type="dxa"/>
            <w:shd w:val="clear" w:color="auto" w:fill="auto"/>
            <w:vAlign w:val="bottom"/>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15746</w:t>
            </w:r>
          </w:p>
        </w:tc>
      </w:tr>
      <w:tr w:rsidR="006C3BDC" w:rsidRPr="00890737" w:rsidTr="00610E57">
        <w:tc>
          <w:tcPr>
            <w:tcW w:w="3373" w:type="dxa"/>
            <w:shd w:val="clear" w:color="auto" w:fill="auto"/>
          </w:tcPr>
          <w:p w:rsidR="006C3BDC" w:rsidRPr="00890737" w:rsidRDefault="006C3BDC" w:rsidP="003F053E">
            <w:pPr>
              <w:rPr>
                <w:rFonts w:ascii="Arial" w:hAnsi="Arial" w:cs="Arial"/>
                <w:sz w:val="22"/>
                <w:szCs w:val="22"/>
              </w:rPr>
            </w:pPr>
            <w:r w:rsidRPr="00890737">
              <w:rPr>
                <w:rFonts w:ascii="Arial" w:hAnsi="Arial" w:cs="Arial"/>
                <w:sz w:val="22"/>
                <w:szCs w:val="22"/>
              </w:rPr>
              <w:t>Beyond 10 years</w:t>
            </w:r>
          </w:p>
        </w:tc>
        <w:tc>
          <w:tcPr>
            <w:tcW w:w="993" w:type="dxa"/>
            <w:shd w:val="clear" w:color="auto" w:fill="auto"/>
            <w:vAlign w:val="center"/>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3406</w:t>
            </w:r>
          </w:p>
        </w:tc>
        <w:tc>
          <w:tcPr>
            <w:tcW w:w="992" w:type="dxa"/>
            <w:shd w:val="clear" w:color="auto" w:fill="auto"/>
            <w:vAlign w:val="center"/>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743</w:t>
            </w:r>
          </w:p>
        </w:tc>
        <w:tc>
          <w:tcPr>
            <w:tcW w:w="1134" w:type="dxa"/>
            <w:shd w:val="clear" w:color="auto" w:fill="auto"/>
            <w:vAlign w:val="center"/>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384</w:t>
            </w:r>
          </w:p>
        </w:tc>
        <w:tc>
          <w:tcPr>
            <w:tcW w:w="992" w:type="dxa"/>
            <w:shd w:val="clear" w:color="auto" w:fill="auto"/>
            <w:vAlign w:val="center"/>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3600</w:t>
            </w:r>
          </w:p>
        </w:tc>
        <w:tc>
          <w:tcPr>
            <w:tcW w:w="1134" w:type="dxa"/>
            <w:shd w:val="clear" w:color="auto" w:fill="auto"/>
            <w:vAlign w:val="bottom"/>
          </w:tcPr>
          <w:p w:rsidR="006C3BDC" w:rsidRPr="00890737" w:rsidRDefault="006C3BDC" w:rsidP="003F053E">
            <w:pPr>
              <w:jc w:val="right"/>
              <w:rPr>
                <w:rFonts w:ascii="Arial" w:hAnsi="Arial" w:cs="Arial"/>
                <w:color w:val="000000"/>
                <w:sz w:val="22"/>
                <w:szCs w:val="22"/>
              </w:rPr>
            </w:pPr>
            <w:r w:rsidRPr="00890737">
              <w:rPr>
                <w:rFonts w:ascii="Arial" w:hAnsi="Arial" w:cs="Arial"/>
                <w:color w:val="000000"/>
                <w:sz w:val="22"/>
                <w:szCs w:val="22"/>
              </w:rPr>
              <w:t>8133</w:t>
            </w:r>
          </w:p>
        </w:tc>
      </w:tr>
      <w:tr w:rsidR="006C3BDC" w:rsidRPr="00890737" w:rsidTr="00610E57">
        <w:tc>
          <w:tcPr>
            <w:tcW w:w="3373" w:type="dxa"/>
            <w:shd w:val="clear" w:color="auto" w:fill="auto"/>
          </w:tcPr>
          <w:p w:rsidR="006C3BDC" w:rsidRPr="00890737" w:rsidRDefault="006C3BDC" w:rsidP="003F053E">
            <w:pPr>
              <w:rPr>
                <w:rFonts w:ascii="Arial" w:hAnsi="Arial" w:cs="Arial"/>
                <w:b/>
                <w:sz w:val="22"/>
                <w:szCs w:val="22"/>
              </w:rPr>
            </w:pPr>
            <w:r w:rsidRPr="00890737">
              <w:rPr>
                <w:rFonts w:ascii="Arial" w:hAnsi="Arial" w:cs="Arial"/>
                <w:b/>
                <w:sz w:val="22"/>
                <w:szCs w:val="22"/>
              </w:rPr>
              <w:t>Total</w:t>
            </w:r>
          </w:p>
        </w:tc>
        <w:tc>
          <w:tcPr>
            <w:tcW w:w="993" w:type="dxa"/>
            <w:shd w:val="clear" w:color="auto" w:fill="auto"/>
            <w:vAlign w:val="bottom"/>
          </w:tcPr>
          <w:p w:rsidR="006C3BDC" w:rsidRPr="00890737" w:rsidRDefault="006C3BDC" w:rsidP="003F053E">
            <w:pPr>
              <w:jc w:val="right"/>
              <w:rPr>
                <w:rFonts w:ascii="Arial" w:hAnsi="Arial" w:cs="Arial"/>
                <w:b/>
                <w:color w:val="000000"/>
                <w:sz w:val="22"/>
                <w:szCs w:val="22"/>
              </w:rPr>
            </w:pPr>
            <w:r w:rsidRPr="00890737">
              <w:rPr>
                <w:rFonts w:ascii="Arial" w:hAnsi="Arial" w:cs="Arial"/>
                <w:b/>
                <w:color w:val="000000"/>
                <w:sz w:val="22"/>
                <w:szCs w:val="22"/>
              </w:rPr>
              <w:t>11811</w:t>
            </w:r>
          </w:p>
        </w:tc>
        <w:tc>
          <w:tcPr>
            <w:tcW w:w="992" w:type="dxa"/>
            <w:shd w:val="clear" w:color="auto" w:fill="auto"/>
            <w:vAlign w:val="bottom"/>
          </w:tcPr>
          <w:p w:rsidR="006C3BDC" w:rsidRPr="00890737" w:rsidRDefault="006C3BDC" w:rsidP="003F053E">
            <w:pPr>
              <w:jc w:val="right"/>
              <w:rPr>
                <w:rFonts w:ascii="Arial" w:hAnsi="Arial" w:cs="Arial"/>
                <w:b/>
                <w:color w:val="000000"/>
                <w:sz w:val="22"/>
                <w:szCs w:val="22"/>
              </w:rPr>
            </w:pPr>
            <w:r w:rsidRPr="00890737">
              <w:rPr>
                <w:rFonts w:ascii="Arial" w:hAnsi="Arial" w:cs="Arial"/>
                <w:b/>
                <w:color w:val="000000"/>
                <w:sz w:val="22"/>
                <w:szCs w:val="22"/>
              </w:rPr>
              <w:t>6014</w:t>
            </w:r>
          </w:p>
        </w:tc>
        <w:tc>
          <w:tcPr>
            <w:tcW w:w="1134" w:type="dxa"/>
            <w:shd w:val="clear" w:color="auto" w:fill="auto"/>
            <w:vAlign w:val="bottom"/>
          </w:tcPr>
          <w:p w:rsidR="006C3BDC" w:rsidRPr="00890737" w:rsidRDefault="006C3BDC" w:rsidP="003F053E">
            <w:pPr>
              <w:jc w:val="right"/>
              <w:rPr>
                <w:rFonts w:ascii="Arial" w:hAnsi="Arial" w:cs="Arial"/>
                <w:b/>
                <w:color w:val="000000"/>
                <w:sz w:val="22"/>
                <w:szCs w:val="22"/>
              </w:rPr>
            </w:pPr>
            <w:r w:rsidRPr="00890737">
              <w:rPr>
                <w:rFonts w:ascii="Arial" w:hAnsi="Arial" w:cs="Arial"/>
                <w:b/>
                <w:color w:val="000000"/>
                <w:sz w:val="22"/>
                <w:szCs w:val="22"/>
              </w:rPr>
              <w:t>5886</w:t>
            </w:r>
          </w:p>
        </w:tc>
        <w:tc>
          <w:tcPr>
            <w:tcW w:w="992" w:type="dxa"/>
            <w:shd w:val="clear" w:color="auto" w:fill="auto"/>
            <w:vAlign w:val="bottom"/>
          </w:tcPr>
          <w:p w:rsidR="006C3BDC" w:rsidRPr="00890737" w:rsidRDefault="006C3BDC" w:rsidP="003F053E">
            <w:pPr>
              <w:jc w:val="right"/>
              <w:rPr>
                <w:rFonts w:ascii="Arial" w:hAnsi="Arial" w:cs="Arial"/>
                <w:b/>
                <w:color w:val="000000"/>
                <w:sz w:val="22"/>
                <w:szCs w:val="22"/>
              </w:rPr>
            </w:pPr>
            <w:r w:rsidRPr="00890737">
              <w:rPr>
                <w:rFonts w:ascii="Arial" w:hAnsi="Arial" w:cs="Arial"/>
                <w:b/>
                <w:color w:val="000000"/>
                <w:sz w:val="22"/>
                <w:szCs w:val="22"/>
              </w:rPr>
              <w:t>18605</w:t>
            </w:r>
          </w:p>
        </w:tc>
        <w:tc>
          <w:tcPr>
            <w:tcW w:w="1134" w:type="dxa"/>
            <w:shd w:val="clear" w:color="auto" w:fill="auto"/>
            <w:vAlign w:val="bottom"/>
          </w:tcPr>
          <w:p w:rsidR="006C3BDC" w:rsidRPr="00890737" w:rsidRDefault="006C3BDC" w:rsidP="003F053E">
            <w:pPr>
              <w:jc w:val="right"/>
              <w:rPr>
                <w:rFonts w:ascii="Arial" w:hAnsi="Arial" w:cs="Arial"/>
                <w:b/>
                <w:color w:val="000000"/>
                <w:sz w:val="22"/>
                <w:szCs w:val="22"/>
              </w:rPr>
            </w:pPr>
            <w:r w:rsidRPr="00890737">
              <w:rPr>
                <w:rFonts w:ascii="Arial" w:hAnsi="Arial" w:cs="Arial"/>
                <w:b/>
                <w:color w:val="000000"/>
                <w:sz w:val="22"/>
                <w:szCs w:val="22"/>
              </w:rPr>
              <w:t>42316</w:t>
            </w:r>
          </w:p>
        </w:tc>
      </w:tr>
    </w:tbl>
    <w:p w:rsidR="006C3BDC" w:rsidRDefault="006C3BDC" w:rsidP="00610E57">
      <w:pPr>
        <w:spacing w:line="300" w:lineRule="atLeast"/>
        <w:rPr>
          <w:rFonts w:ascii="Arial" w:hAnsi="Arial" w:cs="Arial"/>
          <w:sz w:val="22"/>
          <w:szCs w:val="22"/>
        </w:rPr>
      </w:pPr>
    </w:p>
    <w:p w:rsidR="006C3BDC" w:rsidRDefault="001D3A17" w:rsidP="006C3BDC">
      <w:pPr>
        <w:spacing w:line="300" w:lineRule="atLeast"/>
        <w:ind w:left="709" w:hanging="709"/>
        <w:rPr>
          <w:rFonts w:ascii="Arial" w:hAnsi="Arial" w:cs="Arial"/>
          <w:sz w:val="22"/>
          <w:szCs w:val="22"/>
        </w:rPr>
      </w:pPr>
      <w:r>
        <w:rPr>
          <w:rFonts w:ascii="Arial" w:hAnsi="Arial" w:cs="Arial"/>
          <w:sz w:val="22"/>
          <w:szCs w:val="22"/>
        </w:rPr>
        <w:t>3.1</w:t>
      </w:r>
      <w:r w:rsidR="008A4229">
        <w:rPr>
          <w:rFonts w:ascii="Arial" w:hAnsi="Arial" w:cs="Arial"/>
          <w:sz w:val="22"/>
          <w:szCs w:val="22"/>
        </w:rPr>
        <w:t>3</w:t>
      </w:r>
      <w:r w:rsidR="006C3BDC">
        <w:rPr>
          <w:rFonts w:ascii="Arial" w:hAnsi="Arial" w:cs="Arial"/>
          <w:sz w:val="22"/>
          <w:szCs w:val="22"/>
        </w:rPr>
        <w:tab/>
        <w:t>Given the current development trend in the city for 1 and 2 bedroom flats, the sites that are expected to come forward over the plan period (SHLAA 2019) and the findings above which sho</w:t>
      </w:r>
      <w:r>
        <w:rPr>
          <w:rFonts w:ascii="Arial" w:hAnsi="Arial" w:cs="Arial"/>
          <w:sz w:val="22"/>
          <w:szCs w:val="22"/>
        </w:rPr>
        <w:t>ws a varied level of compliance across the dwellings types</w:t>
      </w:r>
      <w:r w:rsidR="006C3BDC">
        <w:rPr>
          <w:rFonts w:ascii="Arial" w:hAnsi="Arial" w:cs="Arial"/>
          <w:sz w:val="22"/>
          <w:szCs w:val="22"/>
        </w:rPr>
        <w:t xml:space="preserve">, the City Council believes there is a strong case for adopting the NDSS to ensure that </w:t>
      </w:r>
      <w:r>
        <w:rPr>
          <w:rFonts w:ascii="Arial" w:hAnsi="Arial" w:cs="Arial"/>
          <w:sz w:val="22"/>
          <w:szCs w:val="22"/>
        </w:rPr>
        <w:t>all</w:t>
      </w:r>
      <w:r w:rsidR="006C3BDC">
        <w:rPr>
          <w:rFonts w:ascii="Arial" w:hAnsi="Arial" w:cs="Arial"/>
          <w:sz w:val="22"/>
          <w:szCs w:val="22"/>
        </w:rPr>
        <w:t xml:space="preserve"> new dwellings will provide an </w:t>
      </w:r>
      <w:r>
        <w:rPr>
          <w:rFonts w:ascii="Arial" w:hAnsi="Arial" w:cs="Arial"/>
          <w:sz w:val="22"/>
          <w:szCs w:val="22"/>
        </w:rPr>
        <w:t xml:space="preserve">appropriate amount of space </w:t>
      </w:r>
      <w:r w:rsidR="006C3BDC">
        <w:rPr>
          <w:rFonts w:ascii="Arial" w:hAnsi="Arial" w:cs="Arial"/>
          <w:sz w:val="22"/>
          <w:szCs w:val="22"/>
        </w:rPr>
        <w:t xml:space="preserve">to help contribute to health and welling. </w:t>
      </w:r>
    </w:p>
    <w:p w:rsidR="006C3BDC" w:rsidRDefault="006C3BDC" w:rsidP="006C3BDC">
      <w:pPr>
        <w:spacing w:line="300" w:lineRule="atLeast"/>
        <w:ind w:left="709" w:hanging="709"/>
        <w:rPr>
          <w:rFonts w:ascii="Arial" w:hAnsi="Arial" w:cs="Arial"/>
          <w:sz w:val="22"/>
          <w:szCs w:val="22"/>
        </w:rPr>
      </w:pPr>
    </w:p>
    <w:p w:rsidR="00EB4C94" w:rsidRDefault="001D3A17" w:rsidP="008E1A3D">
      <w:pPr>
        <w:spacing w:line="300" w:lineRule="atLeast"/>
        <w:ind w:left="709" w:hanging="709"/>
        <w:rPr>
          <w:rFonts w:ascii="Arial" w:hAnsi="Arial" w:cs="Arial"/>
          <w:sz w:val="22"/>
          <w:szCs w:val="22"/>
        </w:rPr>
      </w:pPr>
      <w:r>
        <w:rPr>
          <w:rFonts w:ascii="Arial" w:hAnsi="Arial" w:cs="Arial"/>
          <w:sz w:val="22"/>
          <w:szCs w:val="22"/>
        </w:rPr>
        <w:t>3.1</w:t>
      </w:r>
      <w:r w:rsidR="008A4229">
        <w:rPr>
          <w:rFonts w:ascii="Arial" w:hAnsi="Arial" w:cs="Arial"/>
          <w:sz w:val="22"/>
          <w:szCs w:val="22"/>
        </w:rPr>
        <w:t>4</w:t>
      </w:r>
      <w:r w:rsidR="006C3BDC">
        <w:rPr>
          <w:rFonts w:ascii="Arial" w:hAnsi="Arial" w:cs="Arial"/>
          <w:sz w:val="22"/>
          <w:szCs w:val="22"/>
        </w:rPr>
        <w:tab/>
        <w:t>While the majority (71</w:t>
      </w:r>
      <w:r>
        <w:rPr>
          <w:rFonts w:ascii="Arial" w:hAnsi="Arial" w:cs="Arial"/>
          <w:sz w:val="22"/>
          <w:szCs w:val="22"/>
        </w:rPr>
        <w:t>.8</w:t>
      </w:r>
      <w:r w:rsidR="006C3BDC">
        <w:rPr>
          <w:rFonts w:ascii="Arial" w:hAnsi="Arial" w:cs="Arial"/>
          <w:sz w:val="22"/>
          <w:szCs w:val="22"/>
        </w:rPr>
        <w:t xml:space="preserve">%) of units are already being designed to accord with the space standards, </w:t>
      </w:r>
      <w:r>
        <w:rPr>
          <w:rFonts w:ascii="Arial" w:hAnsi="Arial" w:cs="Arial"/>
          <w:sz w:val="22"/>
          <w:szCs w:val="22"/>
        </w:rPr>
        <w:t>27</w:t>
      </w:r>
      <w:r w:rsidR="006C3BDC">
        <w:rPr>
          <w:rFonts w:ascii="Arial" w:hAnsi="Arial" w:cs="Arial"/>
          <w:sz w:val="22"/>
          <w:szCs w:val="22"/>
        </w:rPr>
        <w:t xml:space="preserve">% of units </w:t>
      </w:r>
      <w:r w:rsidR="00EB4C94">
        <w:rPr>
          <w:rFonts w:ascii="Arial" w:hAnsi="Arial" w:cs="Arial"/>
          <w:sz w:val="22"/>
          <w:szCs w:val="22"/>
        </w:rPr>
        <w:t>(1,040 dwellings) fell</w:t>
      </w:r>
      <w:r w:rsidR="006C3BDC">
        <w:rPr>
          <w:rFonts w:ascii="Arial" w:hAnsi="Arial" w:cs="Arial"/>
          <w:sz w:val="22"/>
          <w:szCs w:val="22"/>
        </w:rPr>
        <w:t xml:space="preserve"> below the standard</w:t>
      </w:r>
      <w:r w:rsidR="00EB4C94">
        <w:rPr>
          <w:rFonts w:ascii="Arial" w:hAnsi="Arial" w:cs="Arial"/>
          <w:sz w:val="22"/>
          <w:szCs w:val="22"/>
        </w:rPr>
        <w:t xml:space="preserve">. Of this number, 41.3% </w:t>
      </w:r>
      <w:r w:rsidR="006C3BDC">
        <w:rPr>
          <w:rFonts w:ascii="Arial" w:hAnsi="Arial" w:cs="Arial"/>
          <w:sz w:val="22"/>
          <w:szCs w:val="22"/>
        </w:rPr>
        <w:t xml:space="preserve">fell more than 10% below the standard. </w:t>
      </w:r>
      <w:r w:rsidR="008E1A3D">
        <w:rPr>
          <w:rFonts w:ascii="Arial" w:hAnsi="Arial" w:cs="Arial"/>
          <w:sz w:val="22"/>
          <w:szCs w:val="22"/>
        </w:rPr>
        <w:t xml:space="preserve">This may be due to the lack of policy in relation to space standards currently or other </w:t>
      </w:r>
      <w:r w:rsidR="008E1A3D" w:rsidRPr="008D4D42">
        <w:rPr>
          <w:rFonts w:ascii="Arial" w:hAnsi="Arial" w:cs="Arial"/>
          <w:sz w:val="22"/>
          <w:szCs w:val="22"/>
        </w:rPr>
        <w:t>site-specific</w:t>
      </w:r>
      <w:r w:rsidR="008E1A3D" w:rsidRPr="00E07D17">
        <w:rPr>
          <w:rFonts w:ascii="Arial" w:hAnsi="Arial" w:cs="Arial"/>
          <w:color w:val="FF0000"/>
          <w:sz w:val="22"/>
          <w:szCs w:val="22"/>
        </w:rPr>
        <w:t xml:space="preserve"> </w:t>
      </w:r>
      <w:r w:rsidR="008E1A3D" w:rsidRPr="008D4D42">
        <w:rPr>
          <w:rFonts w:ascii="Arial" w:hAnsi="Arial" w:cs="Arial"/>
          <w:sz w:val="22"/>
          <w:szCs w:val="22"/>
        </w:rPr>
        <w:t>reasons.</w:t>
      </w:r>
      <w:r w:rsidR="008E1A3D">
        <w:rPr>
          <w:rFonts w:ascii="Arial" w:hAnsi="Arial" w:cs="Arial"/>
          <w:sz w:val="22"/>
          <w:szCs w:val="22"/>
        </w:rPr>
        <w:t xml:space="preserve"> It is considered that Policy DM10 provides </w:t>
      </w:r>
      <w:proofErr w:type="gramStart"/>
      <w:r w:rsidR="008E1A3D">
        <w:rPr>
          <w:rFonts w:ascii="Arial" w:hAnsi="Arial" w:cs="Arial"/>
          <w:sz w:val="22"/>
          <w:szCs w:val="22"/>
        </w:rPr>
        <w:t>sufficient</w:t>
      </w:r>
      <w:proofErr w:type="gramEnd"/>
      <w:r w:rsidR="008E1A3D">
        <w:rPr>
          <w:rFonts w:ascii="Arial" w:hAnsi="Arial" w:cs="Arial"/>
          <w:sz w:val="22"/>
          <w:szCs w:val="22"/>
        </w:rPr>
        <w:t xml:space="preserve"> flexibility to allow for exceptions to be considered. </w:t>
      </w:r>
    </w:p>
    <w:p w:rsidR="00EB4C94" w:rsidRDefault="00EB4C94" w:rsidP="006C3BDC">
      <w:pPr>
        <w:spacing w:line="300" w:lineRule="atLeast"/>
        <w:ind w:left="709" w:hanging="709"/>
        <w:rPr>
          <w:rFonts w:ascii="Arial" w:hAnsi="Arial" w:cs="Arial"/>
          <w:sz w:val="22"/>
          <w:szCs w:val="22"/>
        </w:rPr>
      </w:pPr>
    </w:p>
    <w:p w:rsidR="00AD35B1" w:rsidRDefault="00AD35B1" w:rsidP="00AD35B1">
      <w:pPr>
        <w:spacing w:line="300" w:lineRule="atLeast"/>
        <w:ind w:left="709" w:hanging="709"/>
        <w:rPr>
          <w:rFonts w:ascii="Arial" w:hAnsi="Arial" w:cs="Arial"/>
          <w:sz w:val="22"/>
          <w:szCs w:val="22"/>
        </w:rPr>
      </w:pPr>
      <w:r>
        <w:rPr>
          <w:rFonts w:ascii="Arial" w:hAnsi="Arial" w:cs="Arial"/>
          <w:sz w:val="22"/>
          <w:szCs w:val="22"/>
        </w:rPr>
        <w:t>3.1</w:t>
      </w:r>
      <w:r w:rsidR="008A4229">
        <w:rPr>
          <w:rFonts w:ascii="Arial" w:hAnsi="Arial" w:cs="Arial"/>
          <w:sz w:val="22"/>
          <w:szCs w:val="22"/>
        </w:rPr>
        <w:t>5</w:t>
      </w:r>
      <w:r>
        <w:rPr>
          <w:rFonts w:ascii="Arial" w:hAnsi="Arial" w:cs="Arial"/>
          <w:sz w:val="22"/>
          <w:szCs w:val="22"/>
        </w:rPr>
        <w:tab/>
      </w:r>
      <w:r w:rsidRPr="007B484D">
        <w:rPr>
          <w:rFonts w:ascii="Arial" w:hAnsi="Arial" w:cs="Arial"/>
          <w:sz w:val="22"/>
          <w:szCs w:val="22"/>
        </w:rPr>
        <w:t>Given that at least 51,100 new dwellings will be delivered in Birmingham,</w:t>
      </w:r>
      <w:r>
        <w:rPr>
          <w:rFonts w:ascii="Arial" w:hAnsi="Arial" w:cs="Arial"/>
          <w:sz w:val="22"/>
          <w:szCs w:val="22"/>
        </w:rPr>
        <w:t xml:space="preserve"> over the plan period,</w:t>
      </w:r>
      <w:r w:rsidRPr="007B484D">
        <w:rPr>
          <w:rFonts w:ascii="Arial" w:hAnsi="Arial" w:cs="Arial"/>
          <w:sz w:val="22"/>
          <w:szCs w:val="22"/>
        </w:rPr>
        <w:t xml:space="preserve"> </w:t>
      </w:r>
      <w:r>
        <w:rPr>
          <w:rFonts w:ascii="Arial" w:hAnsi="Arial" w:cs="Arial"/>
          <w:sz w:val="22"/>
          <w:szCs w:val="22"/>
        </w:rPr>
        <w:t>this pattern could result in around 13,700 non-NDSS compliant dwellings being delivered. Adoption of the NDSS</w:t>
      </w:r>
      <w:r w:rsidRPr="007B484D">
        <w:rPr>
          <w:rFonts w:ascii="Arial" w:hAnsi="Arial" w:cs="Arial"/>
          <w:sz w:val="22"/>
          <w:szCs w:val="22"/>
        </w:rPr>
        <w:t xml:space="preserve"> will help to ensure that new development is of </w:t>
      </w:r>
      <w:proofErr w:type="gramStart"/>
      <w:r w:rsidRPr="007B484D">
        <w:rPr>
          <w:rFonts w:ascii="Arial" w:hAnsi="Arial" w:cs="Arial"/>
          <w:sz w:val="22"/>
          <w:szCs w:val="22"/>
        </w:rPr>
        <w:t>sufficient</w:t>
      </w:r>
      <w:proofErr w:type="gramEnd"/>
      <w:r w:rsidRPr="007B484D">
        <w:rPr>
          <w:rFonts w:ascii="Arial" w:hAnsi="Arial" w:cs="Arial"/>
          <w:sz w:val="22"/>
          <w:szCs w:val="22"/>
        </w:rPr>
        <w:t xml:space="preserve"> size</w:t>
      </w:r>
      <w:r>
        <w:rPr>
          <w:rFonts w:ascii="Arial" w:hAnsi="Arial" w:cs="Arial"/>
          <w:sz w:val="22"/>
          <w:szCs w:val="22"/>
        </w:rPr>
        <w:t xml:space="preserve"> and make a positive contribution to the health and wellbeing of residents. </w:t>
      </w:r>
    </w:p>
    <w:p w:rsidR="006C3BDC" w:rsidRDefault="006C3BDC" w:rsidP="006C3BDC">
      <w:pPr>
        <w:spacing w:line="300" w:lineRule="atLeast"/>
        <w:rPr>
          <w:rFonts w:ascii="Arial" w:hAnsi="Arial" w:cs="Arial"/>
          <w:sz w:val="22"/>
          <w:szCs w:val="22"/>
        </w:rPr>
      </w:pPr>
    </w:p>
    <w:p w:rsidR="006C3BDC" w:rsidRDefault="0066370E" w:rsidP="006C3BDC">
      <w:pPr>
        <w:spacing w:line="300" w:lineRule="atLeast"/>
        <w:ind w:left="709" w:hanging="709"/>
        <w:rPr>
          <w:rFonts w:ascii="Arial" w:hAnsi="Arial" w:cs="Arial"/>
          <w:sz w:val="22"/>
          <w:szCs w:val="22"/>
        </w:rPr>
      </w:pPr>
      <w:r>
        <w:rPr>
          <w:rFonts w:ascii="Arial" w:hAnsi="Arial" w:cs="Arial"/>
          <w:sz w:val="22"/>
          <w:szCs w:val="22"/>
        </w:rPr>
        <w:t>3.1</w:t>
      </w:r>
      <w:r w:rsidR="008A4229">
        <w:rPr>
          <w:rFonts w:ascii="Arial" w:hAnsi="Arial" w:cs="Arial"/>
          <w:sz w:val="22"/>
          <w:szCs w:val="22"/>
        </w:rPr>
        <w:t>6</w:t>
      </w:r>
      <w:r w:rsidR="006C3BDC">
        <w:rPr>
          <w:rFonts w:ascii="Arial" w:hAnsi="Arial" w:cs="Arial"/>
          <w:sz w:val="22"/>
          <w:szCs w:val="22"/>
        </w:rPr>
        <w:tab/>
      </w:r>
      <w:r w:rsidR="006C3BDC" w:rsidRPr="0080196F">
        <w:rPr>
          <w:rFonts w:ascii="Arial" w:hAnsi="Arial" w:cs="Arial"/>
          <w:sz w:val="22"/>
          <w:szCs w:val="22"/>
        </w:rPr>
        <w:t>Beyond the specifics of the size and type of dwelling</w:t>
      </w:r>
      <w:r>
        <w:rPr>
          <w:rFonts w:ascii="Arial" w:hAnsi="Arial" w:cs="Arial"/>
          <w:sz w:val="22"/>
          <w:szCs w:val="22"/>
        </w:rPr>
        <w:t>s</w:t>
      </w:r>
      <w:r w:rsidR="006C3BDC" w:rsidRPr="0080196F">
        <w:rPr>
          <w:rFonts w:ascii="Arial" w:hAnsi="Arial" w:cs="Arial"/>
          <w:sz w:val="22"/>
          <w:szCs w:val="22"/>
        </w:rPr>
        <w:t xml:space="preserve"> currently being built in the area, </w:t>
      </w:r>
      <w:r>
        <w:rPr>
          <w:rFonts w:ascii="Arial" w:hAnsi="Arial" w:cs="Arial"/>
          <w:sz w:val="22"/>
          <w:szCs w:val="22"/>
        </w:rPr>
        <w:t xml:space="preserve">the </w:t>
      </w:r>
      <w:r w:rsidR="006C3BDC" w:rsidRPr="0080196F">
        <w:rPr>
          <w:rFonts w:ascii="Arial" w:hAnsi="Arial" w:cs="Arial"/>
          <w:sz w:val="22"/>
          <w:szCs w:val="22"/>
        </w:rPr>
        <w:t xml:space="preserve">social benefits of </w:t>
      </w:r>
      <w:r>
        <w:rPr>
          <w:rFonts w:ascii="Arial" w:hAnsi="Arial" w:cs="Arial"/>
          <w:sz w:val="22"/>
          <w:szCs w:val="22"/>
        </w:rPr>
        <w:t>adopting the NDSS were outlined in the H</w:t>
      </w:r>
      <w:r w:rsidR="006C3BDC" w:rsidRPr="0080196F">
        <w:rPr>
          <w:rFonts w:ascii="Arial" w:hAnsi="Arial" w:cs="Arial"/>
          <w:sz w:val="22"/>
          <w:szCs w:val="22"/>
        </w:rPr>
        <w:t>ousing Standards Review Final Implementation Impact Assessment (March 2015):</w:t>
      </w:r>
    </w:p>
    <w:p w:rsidR="006C3BDC" w:rsidRDefault="006C3BDC" w:rsidP="006C3BDC">
      <w:pPr>
        <w:spacing w:line="300" w:lineRule="atLeast"/>
        <w:ind w:left="709" w:hanging="709"/>
        <w:rPr>
          <w:rFonts w:ascii="Arial" w:hAnsi="Arial" w:cs="Arial"/>
          <w:sz w:val="22"/>
          <w:szCs w:val="22"/>
        </w:rPr>
      </w:pPr>
    </w:p>
    <w:p w:rsidR="006C3BDC" w:rsidRDefault="006C3BDC" w:rsidP="00071525">
      <w:pPr>
        <w:pStyle w:val="ListParagraph"/>
        <w:numPr>
          <w:ilvl w:val="0"/>
          <w:numId w:val="10"/>
        </w:numPr>
        <w:spacing w:line="300" w:lineRule="atLeast"/>
        <w:rPr>
          <w:rFonts w:ascii="Arial" w:hAnsi="Arial" w:cs="Arial"/>
          <w:sz w:val="22"/>
          <w:szCs w:val="22"/>
        </w:rPr>
      </w:pPr>
      <w:r w:rsidRPr="0080196F">
        <w:rPr>
          <w:rFonts w:ascii="Arial" w:hAnsi="Arial" w:cs="Arial"/>
          <w:sz w:val="22"/>
          <w:szCs w:val="22"/>
        </w:rPr>
        <w:t>Improved cohesion within family units</w:t>
      </w:r>
      <w:r>
        <w:rPr>
          <w:rFonts w:ascii="Arial" w:hAnsi="Arial" w:cs="Arial"/>
          <w:sz w:val="22"/>
          <w:szCs w:val="22"/>
        </w:rPr>
        <w:t xml:space="preserve"> - e</w:t>
      </w:r>
      <w:r w:rsidRPr="0080196F">
        <w:rPr>
          <w:rFonts w:ascii="Arial" w:hAnsi="Arial" w:cs="Arial"/>
          <w:sz w:val="22"/>
          <w:szCs w:val="22"/>
        </w:rPr>
        <w:t xml:space="preserve">vidence gathered in support of the London Plan requirement for space standards identifies a range of benefits that families derive from good standards of space in the home. These include better ability to </w:t>
      </w:r>
      <w:proofErr w:type="spellStart"/>
      <w:r w:rsidRPr="0080196F">
        <w:rPr>
          <w:rFonts w:ascii="Arial" w:hAnsi="Arial" w:cs="Arial"/>
          <w:sz w:val="22"/>
          <w:szCs w:val="22"/>
        </w:rPr>
        <w:t>socialise</w:t>
      </w:r>
      <w:proofErr w:type="spellEnd"/>
      <w:r w:rsidRPr="0080196F">
        <w:rPr>
          <w:rFonts w:ascii="Arial" w:hAnsi="Arial" w:cs="Arial"/>
          <w:sz w:val="22"/>
          <w:szCs w:val="22"/>
        </w:rPr>
        <w:t xml:space="preserve"> with family members and guests; improved storage; improved space for solitary activities; greater flexibility in arranging rooms to meet different preferences; the ability to work from home; more space for managing waste and recycling and improved day light and ventilation.</w:t>
      </w:r>
    </w:p>
    <w:p w:rsidR="006C3BDC" w:rsidRDefault="006C3BDC" w:rsidP="00071525">
      <w:pPr>
        <w:pStyle w:val="ListParagraph"/>
        <w:numPr>
          <w:ilvl w:val="0"/>
          <w:numId w:val="10"/>
        </w:numPr>
        <w:spacing w:line="300" w:lineRule="atLeast"/>
        <w:rPr>
          <w:rFonts w:ascii="Arial" w:hAnsi="Arial" w:cs="Arial"/>
          <w:sz w:val="22"/>
          <w:szCs w:val="22"/>
        </w:rPr>
      </w:pPr>
      <w:r w:rsidRPr="0080196F">
        <w:rPr>
          <w:rFonts w:ascii="Arial" w:hAnsi="Arial" w:cs="Arial"/>
          <w:sz w:val="22"/>
          <w:szCs w:val="22"/>
        </w:rPr>
        <w:t>General Health and Wellbeing</w:t>
      </w:r>
      <w:r>
        <w:rPr>
          <w:rFonts w:ascii="Arial" w:hAnsi="Arial" w:cs="Arial"/>
          <w:sz w:val="22"/>
          <w:szCs w:val="22"/>
        </w:rPr>
        <w:t xml:space="preserve"> - s</w:t>
      </w:r>
      <w:r w:rsidRPr="0080196F">
        <w:rPr>
          <w:rFonts w:ascii="Arial" w:hAnsi="Arial" w:cs="Arial"/>
          <w:sz w:val="22"/>
          <w:szCs w:val="22"/>
        </w:rPr>
        <w:t>pace standards help to mitigate impacts from overcrowding, particularly relating to mental health (reducing depression)</w:t>
      </w:r>
      <w:r>
        <w:rPr>
          <w:rFonts w:ascii="Arial" w:hAnsi="Arial" w:cs="Arial"/>
          <w:sz w:val="22"/>
          <w:szCs w:val="22"/>
        </w:rPr>
        <w:t>,</w:t>
      </w:r>
      <w:r w:rsidRPr="0080196F">
        <w:rPr>
          <w:rFonts w:ascii="Arial" w:hAnsi="Arial" w:cs="Arial"/>
          <w:sz w:val="22"/>
          <w:szCs w:val="22"/>
        </w:rPr>
        <w:t xml:space="preserve"> giving children room to play within the home and helping to ensure a good night’s sleep.</w:t>
      </w:r>
    </w:p>
    <w:p w:rsidR="006C3BDC" w:rsidRDefault="006C3BDC" w:rsidP="00071525">
      <w:pPr>
        <w:pStyle w:val="ListParagraph"/>
        <w:numPr>
          <w:ilvl w:val="0"/>
          <w:numId w:val="10"/>
        </w:numPr>
        <w:spacing w:line="300" w:lineRule="atLeast"/>
        <w:rPr>
          <w:rFonts w:ascii="Arial" w:hAnsi="Arial" w:cs="Arial"/>
          <w:sz w:val="22"/>
          <w:szCs w:val="22"/>
        </w:rPr>
      </w:pPr>
      <w:r w:rsidRPr="0080196F">
        <w:rPr>
          <w:rFonts w:ascii="Arial" w:hAnsi="Arial" w:cs="Arial"/>
          <w:sz w:val="22"/>
          <w:szCs w:val="22"/>
        </w:rPr>
        <w:t>Reducing the risk of market failure</w:t>
      </w:r>
      <w:r>
        <w:rPr>
          <w:rFonts w:ascii="Arial" w:hAnsi="Arial" w:cs="Arial"/>
          <w:sz w:val="22"/>
          <w:szCs w:val="22"/>
        </w:rPr>
        <w:t xml:space="preserve"> -t</w:t>
      </w:r>
      <w:r w:rsidRPr="0080196F">
        <w:rPr>
          <w:rFonts w:ascii="Arial" w:hAnsi="Arial" w:cs="Arial"/>
          <w:sz w:val="22"/>
          <w:szCs w:val="22"/>
        </w:rPr>
        <w:t xml:space="preserve">he UK builds some of the smallest homes in Europe, and there is a </w:t>
      </w:r>
      <w:r w:rsidR="0066370E" w:rsidRPr="0080196F">
        <w:rPr>
          <w:rFonts w:ascii="Arial" w:hAnsi="Arial" w:cs="Arial"/>
          <w:sz w:val="22"/>
          <w:szCs w:val="22"/>
        </w:rPr>
        <w:t>long-term</w:t>
      </w:r>
      <w:r w:rsidRPr="0080196F">
        <w:rPr>
          <w:rFonts w:ascii="Arial" w:hAnsi="Arial" w:cs="Arial"/>
          <w:sz w:val="22"/>
          <w:szCs w:val="22"/>
        </w:rPr>
        <w:t xml:space="preserve"> downward trend in the size of new homes in the UK. There are concerns as to the longevity of smaller housing where these are crammed on to sites and address only a narrow segment of the </w:t>
      </w:r>
      <w:r w:rsidR="0066370E" w:rsidRPr="0080196F">
        <w:rPr>
          <w:rFonts w:ascii="Arial" w:hAnsi="Arial" w:cs="Arial"/>
          <w:sz w:val="22"/>
          <w:szCs w:val="22"/>
        </w:rPr>
        <w:t>marketplace</w:t>
      </w:r>
      <w:r w:rsidRPr="0080196F">
        <w:rPr>
          <w:rFonts w:ascii="Arial" w:hAnsi="Arial" w:cs="Arial"/>
          <w:sz w:val="22"/>
          <w:szCs w:val="22"/>
        </w:rPr>
        <w:t>, because having a narrow market appeal increases the risk that these homes will be less desirable in the longer term. Space Standards provide one approach to offsetting these risks.</w:t>
      </w:r>
    </w:p>
    <w:p w:rsidR="006C3BDC" w:rsidRDefault="006C3BDC" w:rsidP="00071525">
      <w:pPr>
        <w:pStyle w:val="ListParagraph"/>
        <w:numPr>
          <w:ilvl w:val="0"/>
          <w:numId w:val="10"/>
        </w:numPr>
        <w:spacing w:line="300" w:lineRule="atLeast"/>
        <w:rPr>
          <w:rFonts w:ascii="Arial" w:hAnsi="Arial" w:cs="Arial"/>
          <w:sz w:val="22"/>
          <w:szCs w:val="22"/>
        </w:rPr>
      </w:pPr>
      <w:r w:rsidRPr="0080196F">
        <w:rPr>
          <w:rFonts w:ascii="Arial" w:hAnsi="Arial" w:cs="Arial"/>
          <w:sz w:val="22"/>
          <w:szCs w:val="22"/>
        </w:rPr>
        <w:lastRenderedPageBreak/>
        <w:t xml:space="preserve">Reducing Anti-Social </w:t>
      </w:r>
      <w:proofErr w:type="spellStart"/>
      <w:r w:rsidRPr="0080196F">
        <w:rPr>
          <w:rFonts w:ascii="Arial" w:hAnsi="Arial" w:cs="Arial"/>
          <w:sz w:val="22"/>
          <w:szCs w:val="22"/>
        </w:rPr>
        <w:t>Behaviour</w:t>
      </w:r>
      <w:proofErr w:type="spellEnd"/>
      <w:r>
        <w:rPr>
          <w:rFonts w:ascii="Arial" w:hAnsi="Arial" w:cs="Arial"/>
          <w:sz w:val="22"/>
          <w:szCs w:val="22"/>
        </w:rPr>
        <w:t xml:space="preserve"> - p</w:t>
      </w:r>
      <w:r w:rsidRPr="0080196F">
        <w:rPr>
          <w:rFonts w:ascii="Arial" w:hAnsi="Arial" w:cs="Arial"/>
          <w:sz w:val="22"/>
          <w:szCs w:val="22"/>
        </w:rPr>
        <w:t xml:space="preserve">oor internal space is linked to poorer health and lower educational attainment. It is also suggested that where there is insufficient space for adults and younger family members to inhabit a property comfortably, there are increased risks of children and young adults being displaced into the external environment where they are more vulnerable to falling into patterns of anti-social </w:t>
      </w:r>
      <w:proofErr w:type="spellStart"/>
      <w:r w:rsidRPr="0080196F">
        <w:rPr>
          <w:rFonts w:ascii="Arial" w:hAnsi="Arial" w:cs="Arial"/>
          <w:sz w:val="22"/>
          <w:szCs w:val="22"/>
        </w:rPr>
        <w:t>behaviour</w:t>
      </w:r>
      <w:proofErr w:type="spellEnd"/>
      <w:r w:rsidRPr="0080196F">
        <w:rPr>
          <w:rFonts w:ascii="Arial" w:hAnsi="Arial" w:cs="Arial"/>
          <w:sz w:val="22"/>
          <w:szCs w:val="22"/>
        </w:rPr>
        <w:t>.</w:t>
      </w:r>
    </w:p>
    <w:p w:rsidR="006C3BDC" w:rsidRPr="001D463A" w:rsidRDefault="006C3BDC" w:rsidP="00071525">
      <w:pPr>
        <w:pStyle w:val="ListParagraph"/>
        <w:numPr>
          <w:ilvl w:val="0"/>
          <w:numId w:val="10"/>
        </w:numPr>
        <w:spacing w:line="300" w:lineRule="atLeast"/>
        <w:rPr>
          <w:rFonts w:ascii="Arial" w:hAnsi="Arial" w:cs="Arial"/>
          <w:sz w:val="22"/>
          <w:szCs w:val="22"/>
        </w:rPr>
      </w:pPr>
      <w:r w:rsidRPr="001D463A">
        <w:rPr>
          <w:rFonts w:ascii="Arial" w:hAnsi="Arial" w:cs="Arial"/>
          <w:sz w:val="22"/>
          <w:szCs w:val="22"/>
        </w:rPr>
        <w:t>Adaptability and Inclusion</w:t>
      </w:r>
      <w:r>
        <w:rPr>
          <w:rFonts w:ascii="Arial" w:hAnsi="Arial" w:cs="Arial"/>
          <w:sz w:val="22"/>
          <w:szCs w:val="22"/>
        </w:rPr>
        <w:t xml:space="preserve"> - i</w:t>
      </w:r>
      <w:r w:rsidRPr="001D463A">
        <w:rPr>
          <w:rFonts w:ascii="Arial" w:hAnsi="Arial" w:cs="Arial"/>
          <w:sz w:val="22"/>
          <w:szCs w:val="22"/>
        </w:rPr>
        <w:t xml:space="preserve">nternal space is a key criterion in relation to how accessible a home is, and how capable it will be to adapt to a range of changing household </w:t>
      </w:r>
      <w:r w:rsidRPr="008D4D42">
        <w:rPr>
          <w:rFonts w:ascii="Arial" w:hAnsi="Arial" w:cs="Arial"/>
          <w:sz w:val="22"/>
          <w:szCs w:val="22"/>
        </w:rPr>
        <w:t>needs</w:t>
      </w:r>
      <w:r>
        <w:rPr>
          <w:rFonts w:ascii="Arial" w:hAnsi="Arial" w:cs="Arial"/>
          <w:color w:val="FF0000"/>
          <w:sz w:val="22"/>
          <w:szCs w:val="22"/>
        </w:rPr>
        <w:t xml:space="preserve"> </w:t>
      </w:r>
      <w:r w:rsidRPr="001D463A">
        <w:rPr>
          <w:rFonts w:ascii="Arial" w:hAnsi="Arial" w:cs="Arial"/>
          <w:sz w:val="22"/>
          <w:szCs w:val="22"/>
        </w:rPr>
        <w:t>over time. Where people suffer permanent or temporary impaired mobility, larger floor plates offer inherently greater potential for adaptation to meet specific needs.</w:t>
      </w:r>
    </w:p>
    <w:p w:rsidR="006C3BDC" w:rsidRDefault="006C3BDC" w:rsidP="006C3BDC">
      <w:pPr>
        <w:spacing w:line="300" w:lineRule="atLeast"/>
        <w:rPr>
          <w:rFonts w:ascii="Arial" w:hAnsi="Arial" w:cs="Arial"/>
          <w:sz w:val="22"/>
          <w:szCs w:val="22"/>
        </w:rPr>
      </w:pPr>
    </w:p>
    <w:p w:rsidR="006C3BDC" w:rsidRDefault="008E2778" w:rsidP="006C3BDC">
      <w:pPr>
        <w:spacing w:line="300" w:lineRule="atLeast"/>
        <w:ind w:left="720" w:hanging="720"/>
        <w:rPr>
          <w:rFonts w:ascii="Arial" w:hAnsi="Arial" w:cs="Arial"/>
          <w:sz w:val="22"/>
          <w:szCs w:val="22"/>
        </w:rPr>
      </w:pPr>
      <w:r>
        <w:rPr>
          <w:rFonts w:ascii="Arial" w:hAnsi="Arial" w:cs="Arial"/>
          <w:sz w:val="22"/>
          <w:szCs w:val="22"/>
        </w:rPr>
        <w:t>3.1</w:t>
      </w:r>
      <w:r w:rsidR="008A4229">
        <w:rPr>
          <w:rFonts w:ascii="Arial" w:hAnsi="Arial" w:cs="Arial"/>
          <w:sz w:val="22"/>
          <w:szCs w:val="22"/>
        </w:rPr>
        <w:t>7</w:t>
      </w:r>
      <w:r w:rsidR="006C3BDC">
        <w:rPr>
          <w:rFonts w:ascii="Arial" w:hAnsi="Arial" w:cs="Arial"/>
          <w:sz w:val="22"/>
          <w:szCs w:val="22"/>
        </w:rPr>
        <w:tab/>
      </w:r>
      <w:r w:rsidR="006C3BDC" w:rsidRPr="0015700B">
        <w:rPr>
          <w:rFonts w:ascii="Arial" w:hAnsi="Arial" w:cs="Arial"/>
          <w:sz w:val="22"/>
          <w:szCs w:val="22"/>
        </w:rPr>
        <w:t>Further to th</w:t>
      </w:r>
      <w:r>
        <w:rPr>
          <w:rFonts w:ascii="Arial" w:hAnsi="Arial" w:cs="Arial"/>
          <w:sz w:val="22"/>
          <w:szCs w:val="22"/>
        </w:rPr>
        <w:t>is</w:t>
      </w:r>
      <w:r w:rsidR="006C3BDC" w:rsidRPr="0015700B">
        <w:rPr>
          <w:rFonts w:ascii="Arial" w:hAnsi="Arial" w:cs="Arial"/>
          <w:sz w:val="22"/>
          <w:szCs w:val="22"/>
        </w:rPr>
        <w:t xml:space="preserve"> </w:t>
      </w:r>
      <w:r>
        <w:rPr>
          <w:rFonts w:ascii="Arial" w:hAnsi="Arial" w:cs="Arial"/>
          <w:sz w:val="22"/>
          <w:szCs w:val="22"/>
        </w:rPr>
        <w:t>a</w:t>
      </w:r>
      <w:r w:rsidR="006C3BDC" w:rsidRPr="0015700B">
        <w:rPr>
          <w:rFonts w:ascii="Arial" w:hAnsi="Arial" w:cs="Arial"/>
          <w:sz w:val="22"/>
          <w:szCs w:val="22"/>
        </w:rPr>
        <w:t xml:space="preserve"> recent appeal decision</w:t>
      </w:r>
      <w:r>
        <w:rPr>
          <w:rFonts w:ascii="Arial" w:hAnsi="Arial" w:cs="Arial"/>
          <w:sz w:val="22"/>
          <w:szCs w:val="22"/>
        </w:rPr>
        <w:t xml:space="preserve"> indicates that</w:t>
      </w:r>
      <w:r w:rsidR="006C3BDC" w:rsidRPr="0015700B">
        <w:rPr>
          <w:rFonts w:ascii="Arial" w:hAnsi="Arial" w:cs="Arial"/>
          <w:sz w:val="22"/>
          <w:szCs w:val="22"/>
        </w:rPr>
        <w:t xml:space="preserve"> the authority would benefit from the introduction </w:t>
      </w:r>
      <w:r>
        <w:rPr>
          <w:rFonts w:ascii="Arial" w:hAnsi="Arial" w:cs="Arial"/>
          <w:sz w:val="22"/>
          <w:szCs w:val="22"/>
        </w:rPr>
        <w:t>of the NDSS</w:t>
      </w:r>
      <w:r w:rsidR="006C3BDC" w:rsidRPr="0015700B">
        <w:rPr>
          <w:rFonts w:ascii="Arial" w:hAnsi="Arial" w:cs="Arial"/>
          <w:sz w:val="22"/>
          <w:szCs w:val="22"/>
        </w:rPr>
        <w:t xml:space="preserve">, both in terms of achieving a good standard of living and avoiding the unnecessary costs associated with the appeal process </w:t>
      </w:r>
      <w:proofErr w:type="gramStart"/>
      <w:r w:rsidR="006C3BDC" w:rsidRPr="0015700B">
        <w:rPr>
          <w:rFonts w:ascii="Arial" w:hAnsi="Arial" w:cs="Arial"/>
          <w:sz w:val="22"/>
          <w:szCs w:val="22"/>
        </w:rPr>
        <w:t>on the basis of</w:t>
      </w:r>
      <w:proofErr w:type="gramEnd"/>
      <w:r w:rsidR="006C3BDC" w:rsidRPr="0015700B">
        <w:rPr>
          <w:rFonts w:ascii="Arial" w:hAnsi="Arial" w:cs="Arial"/>
          <w:sz w:val="22"/>
          <w:szCs w:val="22"/>
        </w:rPr>
        <w:t xml:space="preserve"> ambiguous interpretations of policy.</w:t>
      </w:r>
    </w:p>
    <w:p w:rsidR="006C3BDC" w:rsidRDefault="006C3BDC" w:rsidP="006C3BDC">
      <w:pPr>
        <w:spacing w:line="300" w:lineRule="atLeast"/>
        <w:ind w:left="720" w:hanging="720"/>
        <w:rPr>
          <w:rFonts w:ascii="Arial" w:hAnsi="Arial" w:cs="Arial"/>
          <w:sz w:val="22"/>
          <w:szCs w:val="22"/>
        </w:rPr>
      </w:pPr>
    </w:p>
    <w:p w:rsidR="006C3BDC" w:rsidRDefault="008E2778" w:rsidP="006C3BDC">
      <w:pPr>
        <w:spacing w:line="300" w:lineRule="atLeast"/>
        <w:ind w:left="720" w:hanging="720"/>
        <w:rPr>
          <w:rFonts w:ascii="Arial" w:hAnsi="Arial" w:cs="Arial"/>
          <w:sz w:val="22"/>
          <w:szCs w:val="22"/>
        </w:rPr>
      </w:pPr>
      <w:r>
        <w:rPr>
          <w:rFonts w:ascii="Arial" w:hAnsi="Arial" w:cs="Arial"/>
          <w:sz w:val="22"/>
          <w:szCs w:val="22"/>
        </w:rPr>
        <w:t>3.1</w:t>
      </w:r>
      <w:r w:rsidR="00E66E32">
        <w:rPr>
          <w:rFonts w:ascii="Arial" w:hAnsi="Arial" w:cs="Arial"/>
          <w:sz w:val="22"/>
          <w:szCs w:val="22"/>
        </w:rPr>
        <w:t>8</w:t>
      </w:r>
      <w:r w:rsidR="006C3BDC">
        <w:rPr>
          <w:rFonts w:ascii="Arial" w:hAnsi="Arial" w:cs="Arial"/>
          <w:sz w:val="22"/>
          <w:szCs w:val="22"/>
        </w:rPr>
        <w:tab/>
      </w:r>
      <w:r>
        <w:rPr>
          <w:rFonts w:ascii="Arial" w:hAnsi="Arial" w:cs="Arial"/>
          <w:sz w:val="22"/>
          <w:szCs w:val="22"/>
        </w:rPr>
        <w:t xml:space="preserve">While this appeal decision relates to a change of use </w:t>
      </w:r>
      <w:r w:rsidR="006C3BDC">
        <w:rPr>
          <w:rFonts w:ascii="Arial" w:hAnsi="Arial" w:cs="Arial"/>
          <w:sz w:val="22"/>
          <w:szCs w:val="22"/>
        </w:rPr>
        <w:t xml:space="preserve">(APP/P4605/W/19/3222566) from B1 (offices to) to 13 no.1 bed affordable housing flats (C3 residential) at </w:t>
      </w:r>
      <w:r w:rsidR="006C3BDC" w:rsidRPr="0000232E">
        <w:rPr>
          <w:rFonts w:ascii="Arial" w:hAnsi="Arial" w:cs="Arial"/>
          <w:sz w:val="22"/>
          <w:szCs w:val="22"/>
        </w:rPr>
        <w:t xml:space="preserve">87 </w:t>
      </w:r>
      <w:proofErr w:type="spellStart"/>
      <w:r w:rsidR="006C3BDC" w:rsidRPr="0000232E">
        <w:rPr>
          <w:rFonts w:ascii="Arial" w:hAnsi="Arial" w:cs="Arial"/>
          <w:sz w:val="22"/>
          <w:szCs w:val="22"/>
        </w:rPr>
        <w:t>Bracebridge</w:t>
      </w:r>
      <w:proofErr w:type="spellEnd"/>
      <w:r w:rsidR="006C3BDC" w:rsidRPr="0000232E">
        <w:rPr>
          <w:rFonts w:ascii="Arial" w:hAnsi="Arial" w:cs="Arial"/>
          <w:sz w:val="22"/>
          <w:szCs w:val="22"/>
        </w:rPr>
        <w:t xml:space="preserve"> Street, Birmingham, B6 4PJ</w:t>
      </w:r>
      <w:r w:rsidR="006C3BDC">
        <w:rPr>
          <w:rFonts w:ascii="Arial" w:hAnsi="Arial" w:cs="Arial"/>
          <w:sz w:val="22"/>
          <w:szCs w:val="22"/>
        </w:rPr>
        <w:t>. The inspector noted that:</w:t>
      </w:r>
    </w:p>
    <w:p w:rsidR="006C3BDC" w:rsidRDefault="006C3BDC" w:rsidP="006C3BDC">
      <w:pPr>
        <w:spacing w:line="300" w:lineRule="atLeast"/>
        <w:ind w:left="720" w:hanging="720"/>
        <w:rPr>
          <w:rFonts w:ascii="Arial" w:hAnsi="Arial" w:cs="Arial"/>
          <w:sz w:val="22"/>
          <w:szCs w:val="22"/>
        </w:rPr>
      </w:pPr>
      <w:r>
        <w:rPr>
          <w:rFonts w:ascii="Arial" w:hAnsi="Arial" w:cs="Arial"/>
          <w:sz w:val="22"/>
          <w:szCs w:val="22"/>
        </w:rPr>
        <w:tab/>
      </w:r>
    </w:p>
    <w:p w:rsidR="006C3BDC" w:rsidRDefault="006C3BDC" w:rsidP="006C3BDC">
      <w:pPr>
        <w:spacing w:line="300" w:lineRule="atLeast"/>
        <w:ind w:left="720" w:hanging="720"/>
        <w:rPr>
          <w:rFonts w:ascii="Arial" w:hAnsi="Arial" w:cs="Arial"/>
          <w:i/>
          <w:sz w:val="22"/>
          <w:szCs w:val="22"/>
        </w:rPr>
      </w:pPr>
      <w:r>
        <w:rPr>
          <w:rFonts w:ascii="Arial" w:hAnsi="Arial" w:cs="Arial"/>
          <w:sz w:val="22"/>
          <w:szCs w:val="22"/>
        </w:rPr>
        <w:tab/>
      </w:r>
      <w:r w:rsidRPr="0000232E">
        <w:rPr>
          <w:rFonts w:ascii="Arial" w:hAnsi="Arial" w:cs="Arial"/>
          <w:i/>
          <w:sz w:val="22"/>
          <w:szCs w:val="22"/>
        </w:rPr>
        <w:t>“</w:t>
      </w:r>
      <w:r>
        <w:rPr>
          <w:rFonts w:ascii="Arial" w:hAnsi="Arial" w:cs="Arial"/>
          <w:i/>
          <w:sz w:val="22"/>
          <w:szCs w:val="22"/>
        </w:rPr>
        <w:t xml:space="preserve">8. </w:t>
      </w:r>
      <w:r w:rsidRPr="0000232E">
        <w:rPr>
          <w:rFonts w:ascii="Arial" w:hAnsi="Arial" w:cs="Arial"/>
          <w:i/>
          <w:sz w:val="22"/>
          <w:szCs w:val="22"/>
        </w:rPr>
        <w:t xml:space="preserve">Birmingham City Council has not adopted the Technical housing standards – nationally described space standard (the NDSS). However, the NDSS indicates that for one bedroomed </w:t>
      </w:r>
      <w:proofErr w:type="gramStart"/>
      <w:r w:rsidRPr="0000232E">
        <w:rPr>
          <w:rFonts w:ascii="Arial" w:hAnsi="Arial" w:cs="Arial"/>
          <w:i/>
          <w:sz w:val="22"/>
          <w:szCs w:val="22"/>
        </w:rPr>
        <w:t>flats</w:t>
      </w:r>
      <w:proofErr w:type="gramEnd"/>
      <w:r w:rsidRPr="0000232E">
        <w:rPr>
          <w:rFonts w:ascii="Arial" w:hAnsi="Arial" w:cs="Arial"/>
          <w:i/>
          <w:sz w:val="22"/>
          <w:szCs w:val="22"/>
        </w:rPr>
        <w:t xml:space="preserve"> there should be a minimum of 37 sqm of gross internal floor area and storage. There is no standard set out for studio flats. I do though attach significant weight to the NDSS as a guide.</w:t>
      </w:r>
    </w:p>
    <w:p w:rsidR="006C3BDC" w:rsidRDefault="006C3BDC" w:rsidP="006C3BDC">
      <w:pPr>
        <w:spacing w:line="300" w:lineRule="atLeast"/>
        <w:ind w:left="720" w:hanging="720"/>
        <w:rPr>
          <w:rFonts w:ascii="Arial" w:hAnsi="Arial" w:cs="Arial"/>
          <w:i/>
          <w:sz w:val="22"/>
          <w:szCs w:val="22"/>
        </w:rPr>
      </w:pPr>
    </w:p>
    <w:p w:rsidR="006C3BDC" w:rsidRPr="0000232E" w:rsidRDefault="006C3BDC" w:rsidP="006C3BDC">
      <w:pPr>
        <w:spacing w:line="300" w:lineRule="atLeast"/>
        <w:ind w:left="720"/>
        <w:rPr>
          <w:rFonts w:ascii="Arial" w:hAnsi="Arial" w:cs="Arial"/>
          <w:i/>
          <w:sz w:val="22"/>
          <w:szCs w:val="22"/>
        </w:rPr>
      </w:pPr>
      <w:r>
        <w:rPr>
          <w:rFonts w:ascii="Arial" w:hAnsi="Arial" w:cs="Arial"/>
          <w:i/>
          <w:sz w:val="22"/>
          <w:szCs w:val="22"/>
        </w:rPr>
        <w:t xml:space="preserve">9. </w:t>
      </w:r>
      <w:r w:rsidRPr="0000232E">
        <w:rPr>
          <w:rFonts w:ascii="Arial" w:hAnsi="Arial" w:cs="Arial"/>
          <w:i/>
          <w:sz w:val="22"/>
          <w:szCs w:val="22"/>
        </w:rPr>
        <w:t>The flats are very small and less than half the minimum space standard for a</w:t>
      </w:r>
    </w:p>
    <w:p w:rsidR="006C3BDC" w:rsidRPr="0000232E" w:rsidRDefault="006C3BDC" w:rsidP="006C3BDC">
      <w:pPr>
        <w:spacing w:line="300" w:lineRule="atLeast"/>
        <w:ind w:left="720"/>
        <w:rPr>
          <w:rFonts w:ascii="Arial" w:hAnsi="Arial" w:cs="Arial"/>
          <w:i/>
          <w:sz w:val="22"/>
          <w:szCs w:val="22"/>
        </w:rPr>
      </w:pPr>
      <w:r w:rsidRPr="0000232E">
        <w:rPr>
          <w:rFonts w:ascii="Arial" w:hAnsi="Arial" w:cs="Arial"/>
          <w:i/>
          <w:sz w:val="22"/>
          <w:szCs w:val="22"/>
        </w:rPr>
        <w:t>one bedroomed flat set out in the NDSS. From my observations, the flats were</w:t>
      </w:r>
    </w:p>
    <w:p w:rsidR="006C3BDC" w:rsidRPr="0000232E" w:rsidRDefault="006C3BDC" w:rsidP="006C3BDC">
      <w:pPr>
        <w:spacing w:line="300" w:lineRule="atLeast"/>
        <w:ind w:left="720"/>
        <w:rPr>
          <w:rFonts w:ascii="Arial" w:hAnsi="Arial" w:cs="Arial"/>
          <w:i/>
          <w:sz w:val="22"/>
          <w:szCs w:val="22"/>
        </w:rPr>
      </w:pPr>
      <w:r w:rsidRPr="0000232E">
        <w:rPr>
          <w:rFonts w:ascii="Arial" w:hAnsi="Arial" w:cs="Arial"/>
          <w:i/>
          <w:sz w:val="22"/>
          <w:szCs w:val="22"/>
        </w:rPr>
        <w:t>extremely cramped with little room for storage, cooking and preparing food and</w:t>
      </w:r>
    </w:p>
    <w:p w:rsidR="006C3BDC" w:rsidRPr="0000232E" w:rsidRDefault="006C3BDC" w:rsidP="006C3BDC">
      <w:pPr>
        <w:spacing w:line="300" w:lineRule="atLeast"/>
        <w:ind w:left="720"/>
        <w:rPr>
          <w:rFonts w:ascii="Arial" w:hAnsi="Arial" w:cs="Arial"/>
          <w:i/>
          <w:sz w:val="22"/>
          <w:szCs w:val="22"/>
        </w:rPr>
      </w:pPr>
      <w:r w:rsidRPr="0000232E">
        <w:rPr>
          <w:rFonts w:ascii="Arial" w:hAnsi="Arial" w:cs="Arial"/>
          <w:i/>
          <w:sz w:val="22"/>
          <w:szCs w:val="22"/>
        </w:rPr>
        <w:t>for sitting. The space required for opening the door of the flat, severely</w:t>
      </w:r>
    </w:p>
    <w:p w:rsidR="006C3BDC" w:rsidRPr="00F03EC5" w:rsidRDefault="006C3BDC" w:rsidP="006C3BDC">
      <w:pPr>
        <w:spacing w:line="300" w:lineRule="atLeast"/>
        <w:ind w:left="720" w:hanging="11"/>
        <w:rPr>
          <w:rFonts w:ascii="Arial" w:hAnsi="Arial" w:cs="Arial"/>
          <w:i/>
          <w:sz w:val="22"/>
          <w:szCs w:val="22"/>
        </w:rPr>
      </w:pPr>
      <w:r w:rsidRPr="0000232E">
        <w:rPr>
          <w:rFonts w:ascii="Arial" w:hAnsi="Arial" w:cs="Arial"/>
          <w:i/>
          <w:sz w:val="22"/>
          <w:szCs w:val="22"/>
        </w:rPr>
        <w:t>constrains the usability of the internal floor space.”</w:t>
      </w:r>
    </w:p>
    <w:p w:rsidR="008E1A3D" w:rsidRPr="00D0276B" w:rsidRDefault="008E1A3D" w:rsidP="007C1BF4">
      <w:pPr>
        <w:spacing w:line="300" w:lineRule="atLeast"/>
        <w:rPr>
          <w:rFonts w:ascii="Arial" w:hAnsi="Arial" w:cs="Arial"/>
          <w:sz w:val="22"/>
          <w:szCs w:val="22"/>
        </w:rPr>
      </w:pPr>
    </w:p>
    <w:p w:rsidR="006C3BDC" w:rsidRPr="008E1A3D" w:rsidRDefault="006C3BDC" w:rsidP="006C3BDC">
      <w:pPr>
        <w:pStyle w:val="ListParagraph"/>
        <w:spacing w:line="300" w:lineRule="atLeast"/>
        <w:ind w:left="709"/>
        <w:rPr>
          <w:rFonts w:ascii="Arial" w:hAnsi="Arial" w:cs="Arial"/>
          <w:b/>
          <w:bCs/>
          <w:iCs/>
          <w:sz w:val="22"/>
          <w:szCs w:val="22"/>
        </w:rPr>
      </w:pPr>
      <w:r w:rsidRPr="008E1A3D">
        <w:rPr>
          <w:rFonts w:ascii="Arial" w:hAnsi="Arial" w:cs="Arial"/>
          <w:b/>
          <w:bCs/>
          <w:iCs/>
          <w:sz w:val="22"/>
          <w:szCs w:val="22"/>
        </w:rPr>
        <w:t>Viability</w:t>
      </w:r>
    </w:p>
    <w:p w:rsidR="006C3BDC" w:rsidRPr="006A6B9F" w:rsidRDefault="006C3BDC" w:rsidP="006C3BDC">
      <w:pPr>
        <w:pStyle w:val="ListParagraph"/>
        <w:spacing w:line="300" w:lineRule="atLeast"/>
        <w:ind w:left="709"/>
        <w:rPr>
          <w:rFonts w:ascii="Arial" w:hAnsi="Arial" w:cs="Arial"/>
          <w:sz w:val="22"/>
          <w:szCs w:val="22"/>
        </w:rPr>
      </w:pPr>
    </w:p>
    <w:p w:rsidR="006C3BDC" w:rsidRPr="007C1BF4" w:rsidRDefault="006C3BDC" w:rsidP="007C1BF4">
      <w:pPr>
        <w:pStyle w:val="ListParagraph"/>
        <w:numPr>
          <w:ilvl w:val="1"/>
          <w:numId w:val="25"/>
        </w:numPr>
        <w:spacing w:line="300" w:lineRule="atLeast"/>
        <w:rPr>
          <w:rFonts w:ascii="Arial" w:hAnsi="Arial" w:cs="Arial"/>
          <w:sz w:val="22"/>
          <w:szCs w:val="22"/>
        </w:rPr>
      </w:pPr>
      <w:r w:rsidRPr="007C1BF4">
        <w:rPr>
          <w:rFonts w:ascii="Arial" w:hAnsi="Arial" w:cs="Arial"/>
          <w:sz w:val="22"/>
          <w:szCs w:val="22"/>
        </w:rPr>
        <w:t>The PPG states that ‘</w:t>
      </w:r>
      <w:r w:rsidRPr="007C1BF4">
        <w:rPr>
          <w:rFonts w:ascii="Arial" w:hAnsi="Arial" w:cs="Arial"/>
          <w:i/>
          <w:sz w:val="22"/>
          <w:szCs w:val="22"/>
        </w:rPr>
        <w:t>the impact of adopting the space standard should be considered as a</w:t>
      </w:r>
    </w:p>
    <w:p w:rsidR="006C3BDC" w:rsidRPr="00D0276B" w:rsidRDefault="006C3BDC" w:rsidP="006C3BDC">
      <w:pPr>
        <w:pStyle w:val="ListParagraph"/>
        <w:spacing w:line="300" w:lineRule="atLeast"/>
        <w:ind w:left="709"/>
        <w:rPr>
          <w:rFonts w:ascii="Arial" w:hAnsi="Arial" w:cs="Arial"/>
          <w:sz w:val="22"/>
          <w:szCs w:val="22"/>
        </w:rPr>
      </w:pPr>
      <w:r w:rsidRPr="00D0276B">
        <w:rPr>
          <w:rFonts w:ascii="Arial" w:hAnsi="Arial" w:cs="Arial"/>
          <w:i/>
          <w:sz w:val="22"/>
          <w:szCs w:val="22"/>
        </w:rPr>
        <w:t>part of the plan’s viability assessment with account taken of the impact of potentially larger dwellings on land supply. Local planning authorities will also need to consider impacts on affordability where a space standard is to be adopted’</w:t>
      </w:r>
      <w:r w:rsidRPr="00D0276B">
        <w:rPr>
          <w:rFonts w:ascii="Arial" w:hAnsi="Arial" w:cs="Arial"/>
          <w:sz w:val="22"/>
          <w:szCs w:val="22"/>
        </w:rPr>
        <w:t>.</w:t>
      </w:r>
    </w:p>
    <w:p w:rsidR="006C3BDC" w:rsidRPr="006A6B9F" w:rsidRDefault="006C3BDC" w:rsidP="006C3BDC">
      <w:pPr>
        <w:spacing w:line="300" w:lineRule="atLeast"/>
        <w:rPr>
          <w:rFonts w:ascii="Arial" w:hAnsi="Arial" w:cs="Arial"/>
          <w:sz w:val="22"/>
          <w:szCs w:val="22"/>
        </w:rPr>
      </w:pPr>
    </w:p>
    <w:p w:rsidR="008E1A3D" w:rsidRPr="007C1BF4" w:rsidRDefault="008E1A3D" w:rsidP="007C1BF4">
      <w:pPr>
        <w:pStyle w:val="ListParagraph"/>
        <w:numPr>
          <w:ilvl w:val="1"/>
          <w:numId w:val="25"/>
        </w:numPr>
        <w:spacing w:line="300" w:lineRule="atLeast"/>
        <w:rPr>
          <w:rFonts w:ascii="Arial" w:hAnsi="Arial" w:cs="Arial"/>
          <w:sz w:val="22"/>
          <w:szCs w:val="22"/>
        </w:rPr>
      </w:pPr>
      <w:r w:rsidRPr="007C1BF4">
        <w:rPr>
          <w:rFonts w:ascii="Arial" w:hAnsi="Arial" w:cs="Arial"/>
          <w:sz w:val="22"/>
          <w:szCs w:val="22"/>
        </w:rPr>
        <w:t>A Financial Viability Assessment (FVA) (November 2019) (</w:t>
      </w:r>
      <w:r w:rsidR="00E76CC4" w:rsidRPr="007C1BF4">
        <w:rPr>
          <w:rFonts w:ascii="Arial" w:hAnsi="Arial" w:cs="Arial"/>
          <w:sz w:val="22"/>
          <w:szCs w:val="22"/>
        </w:rPr>
        <w:t>EBD</w:t>
      </w:r>
      <w:r w:rsidR="007C1BF4">
        <w:rPr>
          <w:rFonts w:ascii="Arial" w:hAnsi="Arial" w:cs="Arial"/>
          <w:sz w:val="22"/>
          <w:szCs w:val="22"/>
        </w:rPr>
        <w:t>XX</w:t>
      </w:r>
      <w:r w:rsidRPr="007C1BF4">
        <w:rPr>
          <w:rFonts w:ascii="Arial" w:hAnsi="Arial" w:cs="Arial"/>
          <w:sz w:val="22"/>
          <w:szCs w:val="22"/>
        </w:rPr>
        <w:t>) prepared by BNP</w:t>
      </w:r>
    </w:p>
    <w:p w:rsidR="008E1A3D" w:rsidRDefault="008E1A3D" w:rsidP="008E1A3D">
      <w:pPr>
        <w:pStyle w:val="ListParagraph"/>
        <w:spacing w:line="300" w:lineRule="atLeast"/>
        <w:rPr>
          <w:rFonts w:ascii="Arial" w:hAnsi="Arial" w:cs="Arial"/>
          <w:sz w:val="22"/>
          <w:szCs w:val="22"/>
        </w:rPr>
      </w:pPr>
      <w:r w:rsidRPr="008E1A3D">
        <w:rPr>
          <w:rFonts w:ascii="Arial" w:hAnsi="Arial" w:cs="Arial"/>
          <w:sz w:val="22"/>
          <w:szCs w:val="22"/>
        </w:rPr>
        <w:t>Paribas ha</w:t>
      </w:r>
      <w:r>
        <w:rPr>
          <w:rFonts w:ascii="Arial" w:hAnsi="Arial" w:cs="Arial"/>
          <w:sz w:val="22"/>
          <w:szCs w:val="22"/>
        </w:rPr>
        <w:t xml:space="preserve">s </w:t>
      </w:r>
      <w:r w:rsidRPr="008E1A3D">
        <w:rPr>
          <w:rFonts w:ascii="Arial" w:hAnsi="Arial" w:cs="Arial"/>
          <w:sz w:val="22"/>
          <w:szCs w:val="22"/>
        </w:rPr>
        <w:t xml:space="preserve">been undertaken in line with the NPPF. The FVA assessed the requirements set out in the publication version of the ‘Development Management in Birmingham: Development Plan Document (October 2019) alongside the policy requirements in the adopted Birmingham Development Plan (January 2017). The study assesses at high level the viability of development typologies representing the types of sites that are expected to </w:t>
      </w:r>
      <w:r w:rsidRPr="008E1A3D">
        <w:rPr>
          <w:rFonts w:ascii="Arial" w:hAnsi="Arial" w:cs="Arial"/>
          <w:sz w:val="22"/>
          <w:szCs w:val="22"/>
        </w:rPr>
        <w:lastRenderedPageBreak/>
        <w:t xml:space="preserve">come </w:t>
      </w:r>
      <w:proofErr w:type="gramStart"/>
      <w:r w:rsidRPr="008E1A3D">
        <w:rPr>
          <w:rFonts w:ascii="Arial" w:hAnsi="Arial" w:cs="Arial"/>
          <w:sz w:val="22"/>
          <w:szCs w:val="22"/>
        </w:rPr>
        <w:t>forward</w:t>
      </w:r>
      <w:proofErr w:type="gramEnd"/>
      <w:r w:rsidRPr="008E1A3D">
        <w:rPr>
          <w:rFonts w:ascii="Arial" w:hAnsi="Arial" w:cs="Arial"/>
          <w:sz w:val="22"/>
          <w:szCs w:val="22"/>
        </w:rPr>
        <w:t xml:space="preserve"> over the plan period and tested the cumulative impact of policy requirements envisaged for specific sites. </w:t>
      </w:r>
    </w:p>
    <w:p w:rsidR="008E1A3D" w:rsidRPr="008E1A3D" w:rsidRDefault="008E1A3D" w:rsidP="008E1A3D">
      <w:pPr>
        <w:pStyle w:val="ListParagraph"/>
        <w:spacing w:line="300" w:lineRule="atLeast"/>
        <w:rPr>
          <w:rFonts w:ascii="Arial" w:hAnsi="Arial" w:cs="Arial"/>
          <w:sz w:val="22"/>
          <w:szCs w:val="22"/>
        </w:rPr>
      </w:pPr>
    </w:p>
    <w:p w:rsidR="006C3BDC" w:rsidRPr="008E1A3D" w:rsidRDefault="006C3BDC" w:rsidP="007C1BF4">
      <w:pPr>
        <w:pStyle w:val="ListParagraph"/>
        <w:numPr>
          <w:ilvl w:val="1"/>
          <w:numId w:val="25"/>
        </w:numPr>
        <w:spacing w:line="300" w:lineRule="atLeast"/>
        <w:rPr>
          <w:rFonts w:ascii="Arial" w:hAnsi="Arial" w:cs="Arial"/>
          <w:sz w:val="22"/>
          <w:szCs w:val="22"/>
        </w:rPr>
      </w:pPr>
      <w:r w:rsidRPr="008E1A3D">
        <w:rPr>
          <w:rFonts w:ascii="Arial" w:hAnsi="Arial" w:cs="Arial"/>
          <w:sz w:val="22"/>
          <w:szCs w:val="22"/>
        </w:rPr>
        <w:t xml:space="preserve">For the purposes of testing viability BNP Paribas Real Estate adopted the standard </w:t>
      </w:r>
    </w:p>
    <w:p w:rsidR="006C3BDC" w:rsidRDefault="006C3BDC" w:rsidP="006C3BDC">
      <w:pPr>
        <w:pStyle w:val="ListParagraph"/>
        <w:spacing w:line="300" w:lineRule="atLeast"/>
        <w:rPr>
          <w:rFonts w:ascii="Arial" w:hAnsi="Arial" w:cs="Arial"/>
          <w:sz w:val="22"/>
          <w:szCs w:val="22"/>
        </w:rPr>
      </w:pPr>
      <w:r w:rsidRPr="00D0276B">
        <w:rPr>
          <w:rFonts w:ascii="Arial" w:hAnsi="Arial" w:cs="Arial"/>
          <w:sz w:val="22"/>
          <w:szCs w:val="22"/>
        </w:rPr>
        <w:t>house/apartment sizes set out in Table</w:t>
      </w:r>
      <w:r>
        <w:rPr>
          <w:rFonts w:ascii="Arial" w:hAnsi="Arial" w:cs="Arial"/>
          <w:sz w:val="22"/>
          <w:szCs w:val="22"/>
        </w:rPr>
        <w:t xml:space="preserve">s </w:t>
      </w:r>
      <w:r w:rsidR="00E76CC4">
        <w:rPr>
          <w:rFonts w:ascii="Arial" w:hAnsi="Arial" w:cs="Arial"/>
          <w:sz w:val="22"/>
          <w:szCs w:val="22"/>
        </w:rPr>
        <w:t>7</w:t>
      </w:r>
      <w:r w:rsidRPr="00D0276B">
        <w:rPr>
          <w:rFonts w:ascii="Arial" w:hAnsi="Arial" w:cs="Arial"/>
          <w:sz w:val="22"/>
          <w:szCs w:val="22"/>
        </w:rPr>
        <w:t xml:space="preserve"> and</w:t>
      </w:r>
      <w:r>
        <w:rPr>
          <w:rFonts w:ascii="Arial" w:hAnsi="Arial" w:cs="Arial"/>
          <w:sz w:val="22"/>
          <w:szCs w:val="22"/>
        </w:rPr>
        <w:t xml:space="preserve"> </w:t>
      </w:r>
      <w:r w:rsidR="00E76CC4">
        <w:rPr>
          <w:rFonts w:ascii="Arial" w:hAnsi="Arial" w:cs="Arial"/>
          <w:sz w:val="22"/>
          <w:szCs w:val="22"/>
        </w:rPr>
        <w:t>8</w:t>
      </w:r>
      <w:r w:rsidRPr="00D0276B">
        <w:rPr>
          <w:rFonts w:ascii="Arial" w:hAnsi="Arial" w:cs="Arial"/>
          <w:sz w:val="22"/>
          <w:szCs w:val="22"/>
        </w:rPr>
        <w:t xml:space="preserve"> below in each of the site typologies that were tested</w:t>
      </w:r>
      <w:r>
        <w:rPr>
          <w:rFonts w:ascii="Arial" w:hAnsi="Arial" w:cs="Arial"/>
          <w:sz w:val="22"/>
          <w:szCs w:val="22"/>
        </w:rPr>
        <w:t>.</w:t>
      </w:r>
    </w:p>
    <w:p w:rsidR="006C3BDC" w:rsidRPr="008E1A3D" w:rsidRDefault="006C3BDC" w:rsidP="008E1A3D">
      <w:pPr>
        <w:spacing w:line="300" w:lineRule="atLeast"/>
        <w:rPr>
          <w:rFonts w:ascii="Arial" w:hAnsi="Arial" w:cs="Arial"/>
          <w:sz w:val="22"/>
          <w:szCs w:val="22"/>
        </w:rPr>
      </w:pPr>
    </w:p>
    <w:p w:rsidR="006C3BDC" w:rsidRDefault="006C3BDC" w:rsidP="006C3BDC">
      <w:pPr>
        <w:rPr>
          <w:rFonts w:ascii="Arial" w:hAnsi="Arial" w:cs="Arial"/>
          <w:sz w:val="22"/>
          <w:szCs w:val="22"/>
        </w:rPr>
      </w:pPr>
      <w:r w:rsidRPr="00B45F1D">
        <w:rPr>
          <w:rFonts w:ascii="Arial" w:hAnsi="Arial" w:cs="Arial"/>
          <w:color w:val="FF0000"/>
          <w:sz w:val="22"/>
          <w:szCs w:val="22"/>
        </w:rPr>
        <w:tab/>
      </w:r>
      <w:r w:rsidRPr="00A849F1">
        <w:rPr>
          <w:rFonts w:ascii="Arial" w:hAnsi="Arial" w:cs="Arial"/>
          <w:sz w:val="22"/>
          <w:szCs w:val="22"/>
        </w:rPr>
        <w:t>Table</w:t>
      </w:r>
      <w:r>
        <w:rPr>
          <w:rFonts w:ascii="Arial" w:hAnsi="Arial" w:cs="Arial"/>
          <w:sz w:val="22"/>
          <w:szCs w:val="22"/>
        </w:rPr>
        <w:t xml:space="preserve"> </w:t>
      </w:r>
      <w:r w:rsidR="00E76CC4">
        <w:rPr>
          <w:rFonts w:ascii="Arial" w:hAnsi="Arial" w:cs="Arial"/>
          <w:sz w:val="22"/>
          <w:szCs w:val="22"/>
        </w:rPr>
        <w:t>7:</w:t>
      </w:r>
      <w:r w:rsidRPr="00A849F1">
        <w:rPr>
          <w:rFonts w:ascii="Arial" w:hAnsi="Arial" w:cs="Arial"/>
          <w:sz w:val="22"/>
          <w:szCs w:val="22"/>
        </w:rPr>
        <w:t xml:space="preserve"> Standard housing sizes used in viability testing in the </w:t>
      </w:r>
      <w:r>
        <w:rPr>
          <w:rFonts w:ascii="Arial" w:hAnsi="Arial" w:cs="Arial"/>
          <w:sz w:val="22"/>
          <w:szCs w:val="22"/>
        </w:rPr>
        <w:t>Viability Assessment</w:t>
      </w:r>
    </w:p>
    <w:p w:rsidR="006C3BDC" w:rsidRPr="00A849F1" w:rsidRDefault="006C3BDC" w:rsidP="006C3BDC">
      <w:pPr>
        <w:rPr>
          <w:rFonts w:ascii="Arial" w:hAnsi="Arial" w:cs="Arial"/>
          <w:sz w:val="22"/>
          <w:szCs w:val="22"/>
        </w:rPr>
      </w:pPr>
    </w:p>
    <w:tbl>
      <w:tblPr>
        <w:tblStyle w:val="TableGrid"/>
        <w:tblW w:w="0" w:type="auto"/>
        <w:tblInd w:w="817" w:type="dxa"/>
        <w:tblCellMar>
          <w:top w:w="57" w:type="dxa"/>
          <w:bottom w:w="57" w:type="dxa"/>
        </w:tblCellMar>
        <w:tblLook w:val="04A0" w:firstRow="1" w:lastRow="0" w:firstColumn="1" w:lastColumn="0" w:noHBand="0" w:noVBand="1"/>
      </w:tblPr>
      <w:tblGrid>
        <w:gridCol w:w="3147"/>
        <w:gridCol w:w="2762"/>
        <w:gridCol w:w="3004"/>
      </w:tblGrid>
      <w:tr w:rsidR="006C3BDC" w:rsidRPr="00A849F1" w:rsidTr="003F053E">
        <w:tc>
          <w:tcPr>
            <w:tcW w:w="3147" w:type="dxa"/>
            <w:shd w:val="clear" w:color="auto" w:fill="D9D9D9" w:themeFill="background1" w:themeFillShade="D9"/>
          </w:tcPr>
          <w:p w:rsidR="006C3BDC" w:rsidRPr="00A849F1" w:rsidRDefault="006C3BDC" w:rsidP="003F053E">
            <w:pPr>
              <w:jc w:val="center"/>
              <w:rPr>
                <w:rFonts w:ascii="Arial" w:hAnsi="Arial" w:cs="Arial"/>
                <w:b/>
                <w:sz w:val="22"/>
                <w:szCs w:val="22"/>
              </w:rPr>
            </w:pPr>
            <w:r w:rsidRPr="00A849F1">
              <w:rPr>
                <w:rFonts w:ascii="Arial" w:hAnsi="Arial" w:cs="Arial"/>
                <w:b/>
                <w:sz w:val="22"/>
                <w:szCs w:val="22"/>
              </w:rPr>
              <w:t>No. of Beds</w:t>
            </w:r>
          </w:p>
        </w:tc>
        <w:tc>
          <w:tcPr>
            <w:tcW w:w="2762" w:type="dxa"/>
            <w:shd w:val="clear" w:color="auto" w:fill="D9D9D9" w:themeFill="background1" w:themeFillShade="D9"/>
          </w:tcPr>
          <w:p w:rsidR="006C3BDC" w:rsidRPr="00A849F1" w:rsidRDefault="006C3BDC" w:rsidP="003F053E">
            <w:pPr>
              <w:jc w:val="center"/>
              <w:rPr>
                <w:rFonts w:ascii="Arial" w:hAnsi="Arial" w:cs="Arial"/>
                <w:b/>
                <w:sz w:val="22"/>
                <w:szCs w:val="22"/>
              </w:rPr>
            </w:pPr>
            <w:r w:rsidRPr="00A849F1">
              <w:rPr>
                <w:rFonts w:ascii="Arial" w:hAnsi="Arial" w:cs="Arial"/>
                <w:b/>
                <w:sz w:val="22"/>
                <w:szCs w:val="22"/>
              </w:rPr>
              <w:t>Size (</w:t>
            </w:r>
            <w:proofErr w:type="spellStart"/>
            <w:r w:rsidRPr="00A849F1">
              <w:rPr>
                <w:rFonts w:ascii="Arial" w:hAnsi="Arial" w:cs="Arial"/>
                <w:b/>
                <w:sz w:val="22"/>
                <w:szCs w:val="22"/>
              </w:rPr>
              <w:t>sq.m</w:t>
            </w:r>
            <w:proofErr w:type="spellEnd"/>
            <w:r w:rsidRPr="00A849F1">
              <w:rPr>
                <w:rFonts w:ascii="Arial" w:hAnsi="Arial" w:cs="Arial"/>
                <w:b/>
                <w:sz w:val="22"/>
                <w:szCs w:val="22"/>
              </w:rPr>
              <w:t>)</w:t>
            </w:r>
          </w:p>
        </w:tc>
        <w:tc>
          <w:tcPr>
            <w:tcW w:w="3004" w:type="dxa"/>
            <w:shd w:val="clear" w:color="auto" w:fill="D9D9D9" w:themeFill="background1" w:themeFillShade="D9"/>
          </w:tcPr>
          <w:p w:rsidR="006C3BDC" w:rsidRPr="00A849F1" w:rsidRDefault="006C3BDC" w:rsidP="003F053E">
            <w:pPr>
              <w:jc w:val="center"/>
              <w:rPr>
                <w:rFonts w:ascii="Arial" w:hAnsi="Arial" w:cs="Arial"/>
                <w:b/>
                <w:sz w:val="22"/>
                <w:szCs w:val="22"/>
              </w:rPr>
            </w:pPr>
            <w:r w:rsidRPr="00A849F1">
              <w:rPr>
                <w:rFonts w:ascii="Arial" w:hAnsi="Arial" w:cs="Arial"/>
                <w:b/>
                <w:sz w:val="22"/>
                <w:szCs w:val="22"/>
              </w:rPr>
              <w:t>Size (sq. ft)</w:t>
            </w:r>
          </w:p>
        </w:tc>
      </w:tr>
      <w:tr w:rsidR="006C3BDC" w:rsidRPr="00A849F1" w:rsidTr="003F053E">
        <w:tc>
          <w:tcPr>
            <w:tcW w:w="3147"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 xml:space="preserve">1 </w:t>
            </w:r>
            <w:r>
              <w:rPr>
                <w:rFonts w:ascii="Arial" w:hAnsi="Arial" w:cs="Arial"/>
                <w:sz w:val="22"/>
                <w:szCs w:val="22"/>
              </w:rPr>
              <w:t xml:space="preserve">bed 2 person </w:t>
            </w:r>
            <w:r w:rsidRPr="00A849F1">
              <w:rPr>
                <w:rFonts w:ascii="Arial" w:hAnsi="Arial" w:cs="Arial"/>
                <w:sz w:val="22"/>
                <w:szCs w:val="22"/>
              </w:rPr>
              <w:t xml:space="preserve">(two </w:t>
            </w:r>
            <w:proofErr w:type="spellStart"/>
            <w:r w:rsidRPr="00A849F1">
              <w:rPr>
                <w:rFonts w:ascii="Arial" w:hAnsi="Arial" w:cs="Arial"/>
                <w:sz w:val="22"/>
                <w:szCs w:val="22"/>
              </w:rPr>
              <w:t>storey</w:t>
            </w:r>
            <w:proofErr w:type="spellEnd"/>
            <w:r w:rsidRPr="00A849F1">
              <w:rPr>
                <w:rFonts w:ascii="Arial" w:hAnsi="Arial" w:cs="Arial"/>
                <w:sz w:val="22"/>
                <w:szCs w:val="22"/>
              </w:rPr>
              <w:t>)</w:t>
            </w:r>
          </w:p>
        </w:tc>
        <w:tc>
          <w:tcPr>
            <w:tcW w:w="2762"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58</w:t>
            </w:r>
          </w:p>
        </w:tc>
        <w:tc>
          <w:tcPr>
            <w:tcW w:w="3004"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540</w:t>
            </w:r>
          </w:p>
        </w:tc>
      </w:tr>
      <w:tr w:rsidR="006C3BDC" w:rsidRPr="00A849F1" w:rsidTr="003F053E">
        <w:tc>
          <w:tcPr>
            <w:tcW w:w="3147"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 xml:space="preserve">2 bed 4 person (two </w:t>
            </w:r>
            <w:proofErr w:type="spellStart"/>
            <w:r w:rsidRPr="00A849F1">
              <w:rPr>
                <w:rFonts w:ascii="Arial" w:hAnsi="Arial" w:cs="Arial"/>
                <w:sz w:val="22"/>
                <w:szCs w:val="22"/>
              </w:rPr>
              <w:t>storey</w:t>
            </w:r>
            <w:proofErr w:type="spellEnd"/>
            <w:r w:rsidRPr="00A849F1">
              <w:rPr>
                <w:rFonts w:ascii="Arial" w:hAnsi="Arial" w:cs="Arial"/>
                <w:sz w:val="22"/>
                <w:szCs w:val="22"/>
              </w:rPr>
              <w:t>)</w:t>
            </w:r>
          </w:p>
        </w:tc>
        <w:tc>
          <w:tcPr>
            <w:tcW w:w="2762"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79</w:t>
            </w:r>
          </w:p>
        </w:tc>
        <w:tc>
          <w:tcPr>
            <w:tcW w:w="3004"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750</w:t>
            </w:r>
          </w:p>
        </w:tc>
      </w:tr>
      <w:tr w:rsidR="006C3BDC" w:rsidRPr="00A849F1" w:rsidTr="003F053E">
        <w:tc>
          <w:tcPr>
            <w:tcW w:w="3147"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3</w:t>
            </w:r>
            <w:r>
              <w:rPr>
                <w:rFonts w:ascii="Arial" w:hAnsi="Arial" w:cs="Arial"/>
                <w:sz w:val="22"/>
                <w:szCs w:val="22"/>
              </w:rPr>
              <w:t xml:space="preserve"> bed 5 person (two </w:t>
            </w:r>
            <w:proofErr w:type="spellStart"/>
            <w:r>
              <w:rPr>
                <w:rFonts w:ascii="Arial" w:hAnsi="Arial" w:cs="Arial"/>
                <w:sz w:val="22"/>
                <w:szCs w:val="22"/>
              </w:rPr>
              <w:t>storey</w:t>
            </w:r>
            <w:proofErr w:type="spellEnd"/>
            <w:r>
              <w:rPr>
                <w:rFonts w:ascii="Arial" w:hAnsi="Arial" w:cs="Arial"/>
                <w:sz w:val="22"/>
                <w:szCs w:val="22"/>
              </w:rPr>
              <w:t>)</w:t>
            </w:r>
          </w:p>
        </w:tc>
        <w:tc>
          <w:tcPr>
            <w:tcW w:w="2762" w:type="dxa"/>
            <w:shd w:val="clear" w:color="auto" w:fill="auto"/>
          </w:tcPr>
          <w:p w:rsidR="006C3BDC" w:rsidRPr="00A849F1" w:rsidRDefault="006C3BDC" w:rsidP="003F053E">
            <w:pPr>
              <w:tabs>
                <w:tab w:val="center" w:pos="1273"/>
                <w:tab w:val="right" w:pos="2546"/>
              </w:tabs>
              <w:rPr>
                <w:rFonts w:ascii="Arial" w:hAnsi="Arial" w:cs="Arial"/>
                <w:sz w:val="22"/>
                <w:szCs w:val="22"/>
              </w:rPr>
            </w:pPr>
            <w:r>
              <w:rPr>
                <w:rFonts w:ascii="Arial" w:hAnsi="Arial" w:cs="Arial"/>
                <w:sz w:val="22"/>
                <w:szCs w:val="22"/>
              </w:rPr>
              <w:tab/>
            </w:r>
            <w:r w:rsidRPr="00A849F1">
              <w:rPr>
                <w:rFonts w:ascii="Arial" w:hAnsi="Arial" w:cs="Arial"/>
                <w:sz w:val="22"/>
                <w:szCs w:val="22"/>
              </w:rPr>
              <w:t>93</w:t>
            </w:r>
            <w:r>
              <w:rPr>
                <w:rFonts w:ascii="Arial" w:hAnsi="Arial" w:cs="Arial"/>
                <w:sz w:val="22"/>
                <w:szCs w:val="22"/>
              </w:rPr>
              <w:tab/>
            </w:r>
          </w:p>
        </w:tc>
        <w:tc>
          <w:tcPr>
            <w:tcW w:w="3004"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1,001</w:t>
            </w:r>
          </w:p>
        </w:tc>
      </w:tr>
      <w:tr w:rsidR="006C3BDC" w:rsidRPr="00A849F1" w:rsidTr="003F053E">
        <w:tc>
          <w:tcPr>
            <w:tcW w:w="3147"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 xml:space="preserve">4 bed 6 person (two </w:t>
            </w:r>
            <w:proofErr w:type="spellStart"/>
            <w:r w:rsidRPr="00A849F1">
              <w:rPr>
                <w:rFonts w:ascii="Arial" w:hAnsi="Arial" w:cs="Arial"/>
                <w:sz w:val="22"/>
                <w:szCs w:val="22"/>
              </w:rPr>
              <w:t>storey</w:t>
            </w:r>
            <w:proofErr w:type="spellEnd"/>
            <w:r w:rsidRPr="00A849F1">
              <w:rPr>
                <w:rFonts w:ascii="Arial" w:hAnsi="Arial" w:cs="Arial"/>
                <w:sz w:val="22"/>
                <w:szCs w:val="22"/>
              </w:rPr>
              <w:t>)</w:t>
            </w:r>
          </w:p>
        </w:tc>
        <w:tc>
          <w:tcPr>
            <w:tcW w:w="2762"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106</w:t>
            </w:r>
          </w:p>
        </w:tc>
        <w:tc>
          <w:tcPr>
            <w:tcW w:w="3004"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1,259</w:t>
            </w:r>
          </w:p>
        </w:tc>
      </w:tr>
    </w:tbl>
    <w:p w:rsidR="006C3BDC" w:rsidRDefault="006C3BDC" w:rsidP="006C3BDC">
      <w:pPr>
        <w:spacing w:line="300" w:lineRule="atLeast"/>
        <w:ind w:firstLine="720"/>
        <w:rPr>
          <w:rFonts w:ascii="Arial" w:hAnsi="Arial" w:cs="Arial"/>
          <w:sz w:val="22"/>
          <w:szCs w:val="22"/>
        </w:rPr>
      </w:pPr>
    </w:p>
    <w:p w:rsidR="006C3BDC" w:rsidRDefault="006C3BDC" w:rsidP="006C3BDC">
      <w:pPr>
        <w:spacing w:line="300" w:lineRule="atLeast"/>
        <w:ind w:firstLine="720"/>
        <w:rPr>
          <w:rFonts w:ascii="Arial" w:hAnsi="Arial" w:cs="Arial"/>
          <w:sz w:val="22"/>
          <w:szCs w:val="22"/>
        </w:rPr>
      </w:pPr>
      <w:r w:rsidRPr="00A849F1">
        <w:rPr>
          <w:rFonts w:ascii="Arial" w:hAnsi="Arial" w:cs="Arial"/>
          <w:sz w:val="22"/>
          <w:szCs w:val="22"/>
        </w:rPr>
        <w:t xml:space="preserve">Table </w:t>
      </w:r>
      <w:r w:rsidR="00E76CC4">
        <w:rPr>
          <w:rFonts w:ascii="Arial" w:hAnsi="Arial" w:cs="Arial"/>
          <w:sz w:val="22"/>
          <w:szCs w:val="22"/>
        </w:rPr>
        <w:t xml:space="preserve">8: </w:t>
      </w:r>
      <w:r w:rsidRPr="00A849F1">
        <w:rPr>
          <w:rFonts w:ascii="Arial" w:hAnsi="Arial" w:cs="Arial"/>
          <w:sz w:val="22"/>
          <w:szCs w:val="22"/>
        </w:rPr>
        <w:t xml:space="preserve">Standard apartment sizes used in viability testing in the </w:t>
      </w:r>
      <w:r>
        <w:rPr>
          <w:rFonts w:ascii="Arial" w:hAnsi="Arial" w:cs="Arial"/>
          <w:sz w:val="22"/>
          <w:szCs w:val="22"/>
        </w:rPr>
        <w:t>Viability Assessment</w:t>
      </w:r>
    </w:p>
    <w:p w:rsidR="006C3BDC" w:rsidRPr="00A849F1" w:rsidRDefault="006C3BDC" w:rsidP="006C3BDC">
      <w:pPr>
        <w:spacing w:line="300" w:lineRule="atLeast"/>
        <w:ind w:firstLine="720"/>
        <w:rPr>
          <w:rFonts w:ascii="Arial" w:hAnsi="Arial" w:cs="Arial"/>
          <w:sz w:val="22"/>
          <w:szCs w:val="22"/>
        </w:rPr>
      </w:pPr>
    </w:p>
    <w:tbl>
      <w:tblPr>
        <w:tblStyle w:val="TableGrid"/>
        <w:tblW w:w="0" w:type="auto"/>
        <w:tblInd w:w="817" w:type="dxa"/>
        <w:tblCellMar>
          <w:top w:w="57" w:type="dxa"/>
          <w:bottom w:w="57" w:type="dxa"/>
        </w:tblCellMar>
        <w:tblLook w:val="04A0" w:firstRow="1" w:lastRow="0" w:firstColumn="1" w:lastColumn="0" w:noHBand="0" w:noVBand="1"/>
      </w:tblPr>
      <w:tblGrid>
        <w:gridCol w:w="3147"/>
        <w:gridCol w:w="2765"/>
        <w:gridCol w:w="3001"/>
      </w:tblGrid>
      <w:tr w:rsidR="006C3BDC" w:rsidRPr="00A849F1" w:rsidTr="003F053E">
        <w:tc>
          <w:tcPr>
            <w:tcW w:w="3147" w:type="dxa"/>
            <w:shd w:val="clear" w:color="auto" w:fill="D9D9D9" w:themeFill="background1" w:themeFillShade="D9"/>
          </w:tcPr>
          <w:p w:rsidR="006C3BDC" w:rsidRPr="00A849F1" w:rsidRDefault="006C3BDC" w:rsidP="003F053E">
            <w:pPr>
              <w:jc w:val="center"/>
              <w:rPr>
                <w:rFonts w:ascii="Arial" w:hAnsi="Arial" w:cs="Arial"/>
                <w:b/>
                <w:sz w:val="22"/>
                <w:szCs w:val="22"/>
              </w:rPr>
            </w:pPr>
            <w:r w:rsidRPr="00A849F1">
              <w:rPr>
                <w:rFonts w:ascii="Arial" w:hAnsi="Arial" w:cs="Arial"/>
                <w:b/>
                <w:sz w:val="22"/>
                <w:szCs w:val="22"/>
              </w:rPr>
              <w:t>No. of Beds</w:t>
            </w:r>
          </w:p>
        </w:tc>
        <w:tc>
          <w:tcPr>
            <w:tcW w:w="2765" w:type="dxa"/>
            <w:shd w:val="clear" w:color="auto" w:fill="D9D9D9" w:themeFill="background1" w:themeFillShade="D9"/>
          </w:tcPr>
          <w:p w:rsidR="006C3BDC" w:rsidRPr="00A849F1" w:rsidRDefault="006C3BDC" w:rsidP="003F053E">
            <w:pPr>
              <w:jc w:val="center"/>
              <w:rPr>
                <w:rFonts w:ascii="Arial" w:hAnsi="Arial" w:cs="Arial"/>
                <w:b/>
                <w:sz w:val="22"/>
                <w:szCs w:val="22"/>
              </w:rPr>
            </w:pPr>
            <w:r w:rsidRPr="00A849F1">
              <w:rPr>
                <w:rFonts w:ascii="Arial" w:hAnsi="Arial" w:cs="Arial"/>
                <w:b/>
                <w:sz w:val="22"/>
                <w:szCs w:val="22"/>
              </w:rPr>
              <w:t>Size (</w:t>
            </w:r>
            <w:proofErr w:type="spellStart"/>
            <w:r w:rsidRPr="00A849F1">
              <w:rPr>
                <w:rFonts w:ascii="Arial" w:hAnsi="Arial" w:cs="Arial"/>
                <w:b/>
                <w:sz w:val="22"/>
                <w:szCs w:val="22"/>
              </w:rPr>
              <w:t>sq.m</w:t>
            </w:r>
            <w:proofErr w:type="spellEnd"/>
            <w:r w:rsidRPr="00A849F1">
              <w:rPr>
                <w:rFonts w:ascii="Arial" w:hAnsi="Arial" w:cs="Arial"/>
                <w:b/>
                <w:sz w:val="22"/>
                <w:szCs w:val="22"/>
              </w:rPr>
              <w:t>)</w:t>
            </w:r>
          </w:p>
        </w:tc>
        <w:tc>
          <w:tcPr>
            <w:tcW w:w="3001" w:type="dxa"/>
            <w:shd w:val="clear" w:color="auto" w:fill="D9D9D9" w:themeFill="background1" w:themeFillShade="D9"/>
          </w:tcPr>
          <w:p w:rsidR="006C3BDC" w:rsidRPr="00A849F1" w:rsidRDefault="006C3BDC" w:rsidP="003F053E">
            <w:pPr>
              <w:jc w:val="center"/>
              <w:rPr>
                <w:rFonts w:ascii="Arial" w:hAnsi="Arial" w:cs="Arial"/>
                <w:b/>
                <w:sz w:val="22"/>
                <w:szCs w:val="22"/>
              </w:rPr>
            </w:pPr>
            <w:r w:rsidRPr="00A849F1">
              <w:rPr>
                <w:rFonts w:ascii="Arial" w:hAnsi="Arial" w:cs="Arial"/>
                <w:b/>
                <w:sz w:val="22"/>
                <w:szCs w:val="22"/>
              </w:rPr>
              <w:t>Size (sq. ft)</w:t>
            </w:r>
          </w:p>
        </w:tc>
      </w:tr>
      <w:tr w:rsidR="006C3BDC" w:rsidRPr="00A849F1" w:rsidTr="003F053E">
        <w:tc>
          <w:tcPr>
            <w:tcW w:w="3147"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 xml:space="preserve">1 </w:t>
            </w:r>
            <w:r>
              <w:rPr>
                <w:rFonts w:ascii="Arial" w:hAnsi="Arial" w:cs="Arial"/>
                <w:sz w:val="22"/>
                <w:szCs w:val="22"/>
              </w:rPr>
              <w:t xml:space="preserve">bed 2 person (one </w:t>
            </w:r>
            <w:proofErr w:type="spellStart"/>
            <w:r>
              <w:rPr>
                <w:rFonts w:ascii="Arial" w:hAnsi="Arial" w:cs="Arial"/>
                <w:sz w:val="22"/>
                <w:szCs w:val="22"/>
              </w:rPr>
              <w:t>storey</w:t>
            </w:r>
            <w:proofErr w:type="spellEnd"/>
            <w:r>
              <w:rPr>
                <w:rFonts w:ascii="Arial" w:hAnsi="Arial" w:cs="Arial"/>
                <w:sz w:val="22"/>
                <w:szCs w:val="22"/>
              </w:rPr>
              <w:t>)</w:t>
            </w:r>
          </w:p>
        </w:tc>
        <w:tc>
          <w:tcPr>
            <w:tcW w:w="2765"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50</w:t>
            </w:r>
          </w:p>
        </w:tc>
        <w:tc>
          <w:tcPr>
            <w:tcW w:w="3001"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540</w:t>
            </w:r>
          </w:p>
        </w:tc>
      </w:tr>
      <w:tr w:rsidR="006C3BDC" w:rsidRPr="00A849F1" w:rsidTr="003F053E">
        <w:tc>
          <w:tcPr>
            <w:tcW w:w="3147"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2</w:t>
            </w:r>
            <w:r>
              <w:rPr>
                <w:rFonts w:ascii="Arial" w:hAnsi="Arial" w:cs="Arial"/>
                <w:sz w:val="22"/>
                <w:szCs w:val="22"/>
              </w:rPr>
              <w:t xml:space="preserve"> bed 4 person (one </w:t>
            </w:r>
            <w:proofErr w:type="spellStart"/>
            <w:r>
              <w:rPr>
                <w:rFonts w:ascii="Arial" w:hAnsi="Arial" w:cs="Arial"/>
                <w:sz w:val="22"/>
                <w:szCs w:val="22"/>
              </w:rPr>
              <w:t>storey</w:t>
            </w:r>
            <w:proofErr w:type="spellEnd"/>
            <w:r>
              <w:rPr>
                <w:rFonts w:ascii="Arial" w:hAnsi="Arial" w:cs="Arial"/>
                <w:sz w:val="22"/>
                <w:szCs w:val="22"/>
              </w:rPr>
              <w:t>)</w:t>
            </w:r>
          </w:p>
        </w:tc>
        <w:tc>
          <w:tcPr>
            <w:tcW w:w="2765"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70</w:t>
            </w:r>
          </w:p>
        </w:tc>
        <w:tc>
          <w:tcPr>
            <w:tcW w:w="3001" w:type="dxa"/>
            <w:shd w:val="clear" w:color="auto" w:fill="auto"/>
          </w:tcPr>
          <w:p w:rsidR="006C3BDC" w:rsidRPr="00A849F1" w:rsidRDefault="006C3BDC" w:rsidP="003F053E">
            <w:pPr>
              <w:jc w:val="center"/>
              <w:rPr>
                <w:rFonts w:ascii="Arial" w:hAnsi="Arial" w:cs="Arial"/>
                <w:sz w:val="22"/>
                <w:szCs w:val="22"/>
              </w:rPr>
            </w:pPr>
            <w:r w:rsidRPr="00A849F1">
              <w:rPr>
                <w:rFonts w:ascii="Arial" w:hAnsi="Arial" w:cs="Arial"/>
                <w:sz w:val="22"/>
                <w:szCs w:val="22"/>
              </w:rPr>
              <w:t>750</w:t>
            </w:r>
          </w:p>
        </w:tc>
      </w:tr>
    </w:tbl>
    <w:p w:rsidR="006C3BDC" w:rsidRPr="006A6B9F" w:rsidRDefault="006C3BDC" w:rsidP="006C3BDC">
      <w:pPr>
        <w:spacing w:line="300" w:lineRule="atLeast"/>
        <w:rPr>
          <w:rFonts w:ascii="Arial" w:hAnsi="Arial" w:cs="Arial"/>
          <w:sz w:val="22"/>
          <w:szCs w:val="22"/>
        </w:rPr>
      </w:pPr>
    </w:p>
    <w:p w:rsidR="00BB7FCC" w:rsidRDefault="008A4229" w:rsidP="00BB7FCC">
      <w:pPr>
        <w:spacing w:line="300" w:lineRule="atLeast"/>
        <w:ind w:left="709" w:hanging="709"/>
        <w:rPr>
          <w:rFonts w:ascii="Arial" w:hAnsi="Arial" w:cs="Arial"/>
          <w:sz w:val="22"/>
          <w:szCs w:val="22"/>
        </w:rPr>
      </w:pPr>
      <w:r>
        <w:rPr>
          <w:rFonts w:ascii="Arial" w:hAnsi="Arial" w:cs="Arial"/>
          <w:sz w:val="22"/>
          <w:szCs w:val="22"/>
        </w:rPr>
        <w:t>3.2</w:t>
      </w:r>
      <w:r w:rsidR="007C1BF4">
        <w:rPr>
          <w:rFonts w:ascii="Arial" w:hAnsi="Arial" w:cs="Arial"/>
          <w:sz w:val="22"/>
          <w:szCs w:val="22"/>
        </w:rPr>
        <w:t>2</w:t>
      </w:r>
      <w:r w:rsidR="007C1BF4">
        <w:rPr>
          <w:rFonts w:ascii="Arial" w:hAnsi="Arial" w:cs="Arial"/>
          <w:sz w:val="22"/>
          <w:szCs w:val="22"/>
        </w:rPr>
        <w:tab/>
      </w:r>
      <w:r w:rsidR="006C3BDC" w:rsidRPr="008A4229">
        <w:rPr>
          <w:rFonts w:ascii="Arial" w:hAnsi="Arial" w:cs="Arial"/>
          <w:sz w:val="22"/>
          <w:szCs w:val="22"/>
        </w:rPr>
        <w:t xml:space="preserve">The construction costs employed in the study reflect the figures presented in Tables </w:t>
      </w:r>
      <w:r w:rsidR="00E76CC4">
        <w:rPr>
          <w:rFonts w:ascii="Arial" w:hAnsi="Arial" w:cs="Arial"/>
          <w:sz w:val="22"/>
          <w:szCs w:val="22"/>
        </w:rPr>
        <w:t>7</w:t>
      </w:r>
      <w:r w:rsidR="006C3BDC" w:rsidRPr="008A4229">
        <w:rPr>
          <w:rFonts w:ascii="Arial" w:hAnsi="Arial" w:cs="Arial"/>
          <w:sz w:val="22"/>
          <w:szCs w:val="22"/>
        </w:rPr>
        <w:t xml:space="preserve"> and </w:t>
      </w:r>
      <w:r w:rsidR="00E76CC4">
        <w:rPr>
          <w:rFonts w:ascii="Arial" w:hAnsi="Arial" w:cs="Arial"/>
          <w:sz w:val="22"/>
          <w:szCs w:val="22"/>
        </w:rPr>
        <w:t>8</w:t>
      </w:r>
      <w:r w:rsidR="006C3BDC" w:rsidRPr="008A4229">
        <w:rPr>
          <w:rFonts w:ascii="Arial" w:hAnsi="Arial" w:cs="Arial"/>
          <w:sz w:val="22"/>
          <w:szCs w:val="22"/>
        </w:rPr>
        <w:t xml:space="preserve"> above and were based on the principle of adopting the space standards in Birmingham.</w:t>
      </w:r>
      <w:r w:rsidR="008E1A3D" w:rsidRPr="008A4229">
        <w:rPr>
          <w:rFonts w:ascii="Arial" w:hAnsi="Arial" w:cs="Arial"/>
          <w:sz w:val="22"/>
          <w:szCs w:val="22"/>
        </w:rPr>
        <w:t xml:space="preserve"> </w:t>
      </w:r>
      <w:r w:rsidR="006C3BDC" w:rsidRPr="008A4229">
        <w:rPr>
          <w:rFonts w:ascii="Arial" w:hAnsi="Arial" w:cs="Arial"/>
          <w:sz w:val="22"/>
          <w:szCs w:val="22"/>
        </w:rPr>
        <w:t xml:space="preserve">Based on house price and sales data, the </w:t>
      </w:r>
      <w:r w:rsidR="008E1A3D" w:rsidRPr="008A4229">
        <w:rPr>
          <w:rFonts w:ascii="Arial" w:hAnsi="Arial" w:cs="Arial"/>
          <w:sz w:val="22"/>
          <w:szCs w:val="22"/>
        </w:rPr>
        <w:t>FVA</w:t>
      </w:r>
      <w:r w:rsidR="006C3BDC" w:rsidRPr="008A4229">
        <w:rPr>
          <w:rFonts w:ascii="Arial" w:hAnsi="Arial" w:cs="Arial"/>
          <w:sz w:val="22"/>
          <w:szCs w:val="22"/>
        </w:rPr>
        <w:t xml:space="preserve"> identifies a range of average sales values across the city (£2,500 to £4,200 per square </w:t>
      </w:r>
      <w:proofErr w:type="spellStart"/>
      <w:r w:rsidR="006C3BDC" w:rsidRPr="008A4229">
        <w:rPr>
          <w:rFonts w:ascii="Arial" w:hAnsi="Arial" w:cs="Arial"/>
          <w:sz w:val="22"/>
          <w:szCs w:val="22"/>
        </w:rPr>
        <w:t>metre</w:t>
      </w:r>
      <w:proofErr w:type="spellEnd"/>
      <w:r w:rsidR="006C3BDC" w:rsidRPr="008A4229">
        <w:rPr>
          <w:rFonts w:ascii="Arial" w:hAnsi="Arial" w:cs="Arial"/>
          <w:sz w:val="22"/>
          <w:szCs w:val="22"/>
        </w:rPr>
        <w:t xml:space="preserve">), with highest values in the </w:t>
      </w:r>
      <w:proofErr w:type="spellStart"/>
      <w:r w:rsidR="006C3BDC" w:rsidRPr="008A4229">
        <w:rPr>
          <w:rFonts w:ascii="Arial" w:hAnsi="Arial" w:cs="Arial"/>
          <w:sz w:val="22"/>
          <w:szCs w:val="22"/>
        </w:rPr>
        <w:t>centre</w:t>
      </w:r>
      <w:proofErr w:type="spellEnd"/>
      <w:r w:rsidR="006C3BDC" w:rsidRPr="008A4229">
        <w:rPr>
          <w:rFonts w:ascii="Arial" w:hAnsi="Arial" w:cs="Arial"/>
          <w:sz w:val="22"/>
          <w:szCs w:val="22"/>
        </w:rPr>
        <w:t xml:space="preserve"> of the city. </w:t>
      </w:r>
    </w:p>
    <w:p w:rsidR="00BB7FCC" w:rsidRDefault="00BB7FCC" w:rsidP="00BB7FCC">
      <w:pPr>
        <w:spacing w:line="300" w:lineRule="atLeast"/>
        <w:ind w:left="709" w:hanging="709"/>
        <w:rPr>
          <w:rFonts w:ascii="Arial" w:hAnsi="Arial" w:cs="Arial"/>
          <w:sz w:val="22"/>
          <w:szCs w:val="22"/>
        </w:rPr>
      </w:pPr>
    </w:p>
    <w:p w:rsidR="00BB7FCC" w:rsidRDefault="00BB7FCC" w:rsidP="00BB7FCC">
      <w:pPr>
        <w:spacing w:line="300" w:lineRule="atLeast"/>
        <w:ind w:left="709" w:hanging="709"/>
        <w:rPr>
          <w:rFonts w:ascii="Arial" w:hAnsi="Arial" w:cs="Arial"/>
          <w:sz w:val="22"/>
          <w:szCs w:val="22"/>
        </w:rPr>
      </w:pPr>
      <w:r>
        <w:rPr>
          <w:rFonts w:ascii="Arial" w:hAnsi="Arial" w:cs="Arial"/>
          <w:sz w:val="22"/>
          <w:szCs w:val="22"/>
        </w:rPr>
        <w:t>3.2</w:t>
      </w:r>
      <w:r w:rsidR="007C1BF4">
        <w:rPr>
          <w:rFonts w:ascii="Arial" w:hAnsi="Arial" w:cs="Arial"/>
          <w:sz w:val="22"/>
          <w:szCs w:val="22"/>
        </w:rPr>
        <w:t>3</w:t>
      </w:r>
      <w:r>
        <w:rPr>
          <w:rFonts w:ascii="Arial" w:hAnsi="Arial" w:cs="Arial"/>
          <w:sz w:val="22"/>
          <w:szCs w:val="22"/>
        </w:rPr>
        <w:tab/>
      </w:r>
      <w:r w:rsidR="00051EDC" w:rsidRPr="00BB7FCC">
        <w:rPr>
          <w:rFonts w:ascii="Arial" w:hAnsi="Arial" w:cs="Arial"/>
          <w:sz w:val="22"/>
          <w:szCs w:val="22"/>
        </w:rPr>
        <w:t>The costs of implementing the space standards are included within the ‘baseline’ position</w:t>
      </w:r>
      <w:r w:rsidR="008A4229" w:rsidRPr="00BB7FCC">
        <w:rPr>
          <w:rFonts w:ascii="Arial" w:hAnsi="Arial" w:cs="Arial"/>
          <w:sz w:val="22"/>
          <w:szCs w:val="22"/>
        </w:rPr>
        <w:t xml:space="preserve"> on the FVA</w:t>
      </w:r>
      <w:r w:rsidR="00051EDC" w:rsidRPr="00BB7FCC">
        <w:rPr>
          <w:rFonts w:ascii="Arial" w:hAnsi="Arial" w:cs="Arial"/>
          <w:sz w:val="22"/>
          <w:szCs w:val="22"/>
        </w:rPr>
        <w:t>. The FVA</w:t>
      </w:r>
      <w:r w:rsidR="008A4229" w:rsidRPr="00BB7FCC">
        <w:rPr>
          <w:rFonts w:ascii="Arial" w:hAnsi="Arial" w:cs="Arial"/>
          <w:sz w:val="22"/>
          <w:szCs w:val="22"/>
        </w:rPr>
        <w:t xml:space="preserve"> then</w:t>
      </w:r>
      <w:r w:rsidR="00051EDC" w:rsidRPr="00BB7FCC">
        <w:rPr>
          <w:rFonts w:ascii="Arial" w:hAnsi="Arial" w:cs="Arial"/>
          <w:sz w:val="22"/>
          <w:szCs w:val="22"/>
        </w:rPr>
        <w:t xml:space="preserve"> undertakes economic profiling and sensitivity analysis, demonstrating how development viability will change depending on economic cycles. The current assessment levels (base position) used as the basis for the policy consideration represent a reasonable moderate to low position within the economic cycle. </w:t>
      </w:r>
    </w:p>
    <w:p w:rsidR="00BB7FCC" w:rsidRDefault="00BB7FCC" w:rsidP="00BB7FCC">
      <w:pPr>
        <w:spacing w:line="300" w:lineRule="atLeast"/>
        <w:ind w:left="709" w:hanging="709"/>
        <w:rPr>
          <w:rFonts w:ascii="Arial" w:hAnsi="Arial" w:cs="Arial"/>
          <w:sz w:val="22"/>
          <w:szCs w:val="22"/>
        </w:rPr>
      </w:pPr>
    </w:p>
    <w:p w:rsidR="006C3BDC" w:rsidRPr="00BB7FCC" w:rsidRDefault="00BB7FCC" w:rsidP="007C1BF4">
      <w:pPr>
        <w:spacing w:line="300" w:lineRule="atLeast"/>
        <w:ind w:left="709" w:hanging="709"/>
        <w:rPr>
          <w:rFonts w:ascii="Arial" w:hAnsi="Arial" w:cs="Arial"/>
          <w:sz w:val="22"/>
          <w:szCs w:val="22"/>
        </w:rPr>
      </w:pPr>
      <w:r>
        <w:rPr>
          <w:rFonts w:ascii="Arial" w:hAnsi="Arial" w:cs="Arial"/>
          <w:sz w:val="22"/>
          <w:szCs w:val="22"/>
        </w:rPr>
        <w:t>3.2</w:t>
      </w:r>
      <w:r w:rsidR="007C1BF4">
        <w:rPr>
          <w:rFonts w:ascii="Arial" w:hAnsi="Arial" w:cs="Arial"/>
          <w:sz w:val="22"/>
          <w:szCs w:val="22"/>
        </w:rPr>
        <w:t>4</w:t>
      </w:r>
      <w:r>
        <w:rPr>
          <w:rFonts w:ascii="Arial" w:hAnsi="Arial" w:cs="Arial"/>
          <w:sz w:val="22"/>
          <w:szCs w:val="22"/>
        </w:rPr>
        <w:tab/>
      </w:r>
      <w:r w:rsidR="006C3BDC" w:rsidRPr="00BB7FCC">
        <w:rPr>
          <w:rFonts w:ascii="Arial" w:hAnsi="Arial" w:cs="Arial"/>
          <w:sz w:val="22"/>
          <w:szCs w:val="22"/>
        </w:rPr>
        <w:t xml:space="preserve">The viability and policy impacts of the wide range of viability testing undertaken by BNP Paribas Real Estate are set out in detail in Section 4 of the Viability Assessment. </w:t>
      </w:r>
      <w:r w:rsidR="00051EDC" w:rsidRPr="00BB7FCC">
        <w:rPr>
          <w:rFonts w:ascii="Arial" w:hAnsi="Arial" w:cs="Arial"/>
          <w:sz w:val="22"/>
          <w:szCs w:val="22"/>
        </w:rPr>
        <w:t>In conclusion, it</w:t>
      </w:r>
      <w:r w:rsidR="006C3BDC" w:rsidRPr="00BB7FCC">
        <w:rPr>
          <w:rFonts w:ascii="Arial" w:hAnsi="Arial" w:cs="Arial"/>
          <w:sz w:val="22"/>
          <w:szCs w:val="22"/>
        </w:rPr>
        <w:t xml:space="preserve"> notes that the viability of an individual development very much depends upon the specific site circumstances. </w:t>
      </w:r>
      <w:r w:rsidR="008E1A3D" w:rsidRPr="00BB7FCC">
        <w:rPr>
          <w:rFonts w:ascii="Arial" w:hAnsi="Arial" w:cs="Arial"/>
          <w:sz w:val="22"/>
          <w:szCs w:val="22"/>
        </w:rPr>
        <w:t>H</w:t>
      </w:r>
      <w:r w:rsidR="006C3BDC" w:rsidRPr="00BB7FCC">
        <w:rPr>
          <w:rFonts w:ascii="Arial" w:hAnsi="Arial" w:cs="Arial"/>
          <w:sz w:val="22"/>
          <w:szCs w:val="22"/>
        </w:rPr>
        <w:t>owever, based upon the wide range of testing undertaken</w:t>
      </w:r>
      <w:r w:rsidR="008E1A3D" w:rsidRPr="00BB7FCC">
        <w:rPr>
          <w:rFonts w:ascii="Arial" w:hAnsi="Arial" w:cs="Arial"/>
          <w:sz w:val="22"/>
          <w:szCs w:val="22"/>
        </w:rPr>
        <w:t>,</w:t>
      </w:r>
      <w:r w:rsidR="006C3BDC" w:rsidRPr="00BB7FCC">
        <w:rPr>
          <w:rFonts w:ascii="Arial" w:hAnsi="Arial" w:cs="Arial"/>
          <w:sz w:val="22"/>
          <w:szCs w:val="22"/>
        </w:rPr>
        <w:t xml:space="preserve"> the </w:t>
      </w:r>
      <w:r w:rsidR="008E1A3D" w:rsidRPr="00BB7FCC">
        <w:rPr>
          <w:rFonts w:ascii="Arial" w:hAnsi="Arial" w:cs="Arial"/>
          <w:sz w:val="22"/>
          <w:szCs w:val="22"/>
        </w:rPr>
        <w:t>FVA</w:t>
      </w:r>
      <w:r w:rsidR="006C3BDC" w:rsidRPr="00BB7FCC">
        <w:rPr>
          <w:rFonts w:ascii="Arial" w:hAnsi="Arial" w:cs="Arial"/>
          <w:sz w:val="22"/>
          <w:szCs w:val="22"/>
        </w:rPr>
        <w:t xml:space="preserve"> concludes that the developments will be viable </w:t>
      </w:r>
      <w:r w:rsidR="00051EDC" w:rsidRPr="00BB7FCC">
        <w:rPr>
          <w:rFonts w:ascii="Arial" w:hAnsi="Arial" w:cs="Arial"/>
          <w:sz w:val="22"/>
          <w:szCs w:val="22"/>
        </w:rPr>
        <w:t xml:space="preserve">in the city </w:t>
      </w:r>
      <w:r w:rsidR="006C3BDC" w:rsidRPr="00BB7FCC">
        <w:rPr>
          <w:rFonts w:ascii="Arial" w:hAnsi="Arial" w:cs="Arial"/>
          <w:sz w:val="22"/>
          <w:szCs w:val="22"/>
        </w:rPr>
        <w:t xml:space="preserve">with the NDSS in place. In many cases, the space standards proposed do not differ markedly from unit sizes </w:t>
      </w:r>
      <w:r w:rsidR="008E1A3D" w:rsidRPr="00BB7FCC">
        <w:rPr>
          <w:rFonts w:ascii="Arial" w:hAnsi="Arial" w:cs="Arial"/>
          <w:sz w:val="22"/>
          <w:szCs w:val="22"/>
        </w:rPr>
        <w:t xml:space="preserve">already </w:t>
      </w:r>
      <w:r w:rsidR="006C3BDC" w:rsidRPr="00BB7FCC">
        <w:rPr>
          <w:rFonts w:ascii="Arial" w:hAnsi="Arial" w:cs="Arial"/>
          <w:sz w:val="22"/>
          <w:szCs w:val="22"/>
        </w:rPr>
        <w:t xml:space="preserve">delivered by the market and consequently there is no additional ‘burden’ upon development viability.  </w:t>
      </w:r>
    </w:p>
    <w:p w:rsidR="00051EDC" w:rsidRPr="00051EDC" w:rsidRDefault="00051EDC" w:rsidP="00051EDC">
      <w:pPr>
        <w:pStyle w:val="ListParagraph"/>
        <w:rPr>
          <w:rFonts w:ascii="Arial" w:hAnsi="Arial" w:cs="Arial"/>
          <w:sz w:val="22"/>
          <w:szCs w:val="22"/>
        </w:rPr>
      </w:pPr>
    </w:p>
    <w:p w:rsidR="006C3BDC" w:rsidRPr="00BB7FCC" w:rsidRDefault="00BB7FCC" w:rsidP="00BB7FCC">
      <w:pPr>
        <w:spacing w:line="300" w:lineRule="atLeast"/>
        <w:ind w:left="709" w:hanging="709"/>
        <w:rPr>
          <w:rFonts w:ascii="Arial" w:hAnsi="Arial" w:cs="Arial"/>
          <w:sz w:val="22"/>
          <w:szCs w:val="22"/>
        </w:rPr>
      </w:pPr>
      <w:r>
        <w:rPr>
          <w:rFonts w:ascii="Arial" w:hAnsi="Arial" w:cs="Arial"/>
          <w:sz w:val="22"/>
          <w:szCs w:val="22"/>
        </w:rPr>
        <w:t>3.2</w:t>
      </w:r>
      <w:r w:rsidR="007C1BF4">
        <w:rPr>
          <w:rFonts w:ascii="Arial" w:hAnsi="Arial" w:cs="Arial"/>
          <w:sz w:val="22"/>
          <w:szCs w:val="22"/>
        </w:rPr>
        <w:t>5</w:t>
      </w:r>
      <w:r>
        <w:rPr>
          <w:rFonts w:ascii="Arial" w:hAnsi="Arial" w:cs="Arial"/>
          <w:sz w:val="22"/>
          <w:szCs w:val="22"/>
        </w:rPr>
        <w:tab/>
      </w:r>
      <w:r w:rsidR="006C3BDC" w:rsidRPr="00BB7FCC">
        <w:rPr>
          <w:rFonts w:ascii="Arial" w:hAnsi="Arial" w:cs="Arial"/>
          <w:sz w:val="22"/>
          <w:szCs w:val="22"/>
        </w:rPr>
        <w:t xml:space="preserve">Based on the findings, the Council consider there to be a strong case on viability grounds for </w:t>
      </w:r>
      <w:r w:rsidR="00051EDC" w:rsidRPr="00BB7FCC">
        <w:rPr>
          <w:rFonts w:ascii="Arial" w:hAnsi="Arial" w:cs="Arial"/>
          <w:sz w:val="22"/>
          <w:szCs w:val="22"/>
        </w:rPr>
        <w:t xml:space="preserve">adopting </w:t>
      </w:r>
      <w:r w:rsidR="006C3BDC" w:rsidRPr="00BB7FCC">
        <w:rPr>
          <w:rFonts w:ascii="Arial" w:hAnsi="Arial" w:cs="Arial"/>
          <w:sz w:val="22"/>
          <w:szCs w:val="22"/>
        </w:rPr>
        <w:t xml:space="preserve">the space standards. The fact that </w:t>
      </w:r>
      <w:proofErr w:type="gramStart"/>
      <w:r w:rsidR="006C3BDC" w:rsidRPr="00BB7FCC">
        <w:rPr>
          <w:rFonts w:ascii="Arial" w:hAnsi="Arial" w:cs="Arial"/>
          <w:sz w:val="22"/>
          <w:szCs w:val="22"/>
        </w:rPr>
        <w:t>the majority of</w:t>
      </w:r>
      <w:proofErr w:type="gramEnd"/>
      <w:r w:rsidR="006C3BDC" w:rsidRPr="00BB7FCC">
        <w:rPr>
          <w:rFonts w:ascii="Arial" w:hAnsi="Arial" w:cs="Arial"/>
          <w:sz w:val="22"/>
          <w:szCs w:val="22"/>
        </w:rPr>
        <w:t xml:space="preserve"> residential units already comply </w:t>
      </w:r>
      <w:r w:rsidR="006C3BDC" w:rsidRPr="00BB7FCC">
        <w:rPr>
          <w:rFonts w:ascii="Arial" w:hAnsi="Arial" w:cs="Arial"/>
          <w:sz w:val="22"/>
          <w:szCs w:val="22"/>
        </w:rPr>
        <w:lastRenderedPageBreak/>
        <w:t xml:space="preserve">with, or </w:t>
      </w:r>
      <w:r w:rsidR="007C1BF4">
        <w:rPr>
          <w:rFonts w:ascii="Arial" w:hAnsi="Arial" w:cs="Arial"/>
          <w:sz w:val="22"/>
          <w:szCs w:val="22"/>
        </w:rPr>
        <w:t xml:space="preserve">are </w:t>
      </w:r>
      <w:r w:rsidR="006C3BDC" w:rsidRPr="00BB7FCC">
        <w:rPr>
          <w:rFonts w:ascii="Arial" w:hAnsi="Arial" w:cs="Arial"/>
          <w:sz w:val="22"/>
          <w:szCs w:val="22"/>
        </w:rPr>
        <w:t xml:space="preserve">close to, the NDSS adds weight to the conclusion that the introduction of a minimum space standard does not have a notable impact on scheme viability.  This reflects market demand for unit sizes that are aligned with those in the NDSS; developments which meet these standards are likely to be more attractive to purchasers in comparison to smaller units.  Units built to the NDSS standards are also more likely to be capable of being used more flexibly than would be the case for smaller units (e.g. two bed apartments that meet the NDSS standards can be used to accommodate families, or alternatively can be used for rented housing by sharers).  Flexibility of use is likely to enhance demand for the completed housing units, which in turn will improve velocity of sale and reduce finance costs over a development period.  </w:t>
      </w:r>
    </w:p>
    <w:p w:rsidR="006C3BDC" w:rsidRPr="00A849F1" w:rsidRDefault="006C3BDC" w:rsidP="006C3BDC">
      <w:pPr>
        <w:spacing w:line="300" w:lineRule="atLeast"/>
        <w:ind w:left="709"/>
        <w:rPr>
          <w:rFonts w:ascii="Arial" w:hAnsi="Arial" w:cs="Arial"/>
          <w:sz w:val="22"/>
          <w:szCs w:val="22"/>
        </w:rPr>
      </w:pPr>
    </w:p>
    <w:p w:rsidR="006C3BDC" w:rsidRPr="007C1BF4" w:rsidRDefault="006C3BDC" w:rsidP="007C1BF4">
      <w:pPr>
        <w:pStyle w:val="ListParagraph"/>
        <w:numPr>
          <w:ilvl w:val="1"/>
          <w:numId w:val="27"/>
        </w:numPr>
        <w:spacing w:line="300" w:lineRule="atLeast"/>
        <w:rPr>
          <w:rFonts w:ascii="Arial" w:hAnsi="Arial" w:cs="Arial"/>
          <w:sz w:val="22"/>
          <w:szCs w:val="22"/>
        </w:rPr>
      </w:pPr>
      <w:r w:rsidRPr="007C1BF4">
        <w:rPr>
          <w:rFonts w:ascii="Arial" w:hAnsi="Arial" w:cs="Arial"/>
          <w:sz w:val="22"/>
          <w:szCs w:val="22"/>
        </w:rPr>
        <w:t xml:space="preserve">Affordable housing stock in the city is already built to a standard equivalent to the </w:t>
      </w:r>
    </w:p>
    <w:p w:rsidR="008A4229" w:rsidRDefault="006C3BDC" w:rsidP="008A4229">
      <w:pPr>
        <w:pStyle w:val="ListParagraph"/>
        <w:spacing w:line="300" w:lineRule="atLeast"/>
        <w:ind w:left="709"/>
        <w:rPr>
          <w:rFonts w:ascii="Arial" w:hAnsi="Arial" w:cs="Arial"/>
          <w:sz w:val="22"/>
          <w:szCs w:val="22"/>
        </w:rPr>
      </w:pPr>
      <w:r w:rsidRPr="00A849F1">
        <w:rPr>
          <w:rFonts w:ascii="Arial" w:hAnsi="Arial" w:cs="Arial"/>
          <w:sz w:val="22"/>
          <w:szCs w:val="22"/>
        </w:rPr>
        <w:t>NDSS as this is the preferred approach of the Registered Providers that operate within Birmingham including the Birmingham Municipal Housing Trust (BMHT).</w:t>
      </w:r>
    </w:p>
    <w:p w:rsidR="008A4229" w:rsidRDefault="008A4229" w:rsidP="008A4229">
      <w:pPr>
        <w:pStyle w:val="ListParagraph"/>
        <w:spacing w:line="300" w:lineRule="atLeast"/>
        <w:ind w:left="709"/>
        <w:rPr>
          <w:rFonts w:ascii="Arial" w:hAnsi="Arial" w:cs="Arial"/>
          <w:sz w:val="22"/>
          <w:szCs w:val="22"/>
        </w:rPr>
      </w:pPr>
    </w:p>
    <w:p w:rsidR="008A4229" w:rsidRDefault="008A4229" w:rsidP="008A4229">
      <w:pPr>
        <w:spacing w:line="300" w:lineRule="atLeast"/>
        <w:ind w:left="709" w:hanging="709"/>
        <w:rPr>
          <w:rFonts w:ascii="Arial" w:hAnsi="Arial" w:cs="Arial"/>
          <w:sz w:val="22"/>
          <w:szCs w:val="22"/>
        </w:rPr>
      </w:pPr>
      <w:r>
        <w:rPr>
          <w:rFonts w:ascii="Arial" w:hAnsi="Arial" w:cs="Arial"/>
          <w:sz w:val="22"/>
          <w:szCs w:val="22"/>
        </w:rPr>
        <w:t>3.</w:t>
      </w:r>
      <w:r w:rsidR="007C1BF4">
        <w:rPr>
          <w:rFonts w:ascii="Arial" w:hAnsi="Arial" w:cs="Arial"/>
          <w:sz w:val="22"/>
          <w:szCs w:val="22"/>
        </w:rPr>
        <w:t>27</w:t>
      </w:r>
      <w:r>
        <w:rPr>
          <w:rFonts w:ascii="Arial" w:hAnsi="Arial" w:cs="Arial"/>
          <w:sz w:val="22"/>
          <w:szCs w:val="22"/>
        </w:rPr>
        <w:tab/>
      </w:r>
      <w:r w:rsidR="006C3BDC" w:rsidRPr="008A4229">
        <w:rPr>
          <w:rFonts w:ascii="Arial" w:hAnsi="Arial" w:cs="Arial"/>
          <w:sz w:val="22"/>
          <w:szCs w:val="22"/>
        </w:rPr>
        <w:t xml:space="preserve">The PPG </w:t>
      </w:r>
      <w:r w:rsidRPr="008A4229">
        <w:rPr>
          <w:rFonts w:ascii="Arial" w:hAnsi="Arial" w:cs="Arial"/>
          <w:sz w:val="22"/>
          <w:szCs w:val="22"/>
        </w:rPr>
        <w:t xml:space="preserve">also </w:t>
      </w:r>
      <w:r w:rsidR="006C3BDC" w:rsidRPr="008A4229">
        <w:rPr>
          <w:rFonts w:ascii="Arial" w:hAnsi="Arial" w:cs="Arial"/>
          <w:sz w:val="22"/>
          <w:szCs w:val="22"/>
        </w:rPr>
        <w:t xml:space="preserve">refers to the need to consider any potential impact on meeting demand for </w:t>
      </w:r>
      <w:r>
        <w:rPr>
          <w:rFonts w:ascii="Arial" w:hAnsi="Arial" w:cs="Arial"/>
          <w:sz w:val="22"/>
          <w:szCs w:val="22"/>
        </w:rPr>
        <w:t>S</w:t>
      </w:r>
      <w:r w:rsidR="006C3BDC" w:rsidRPr="008A4229">
        <w:rPr>
          <w:rFonts w:ascii="Arial" w:hAnsi="Arial" w:cs="Arial"/>
          <w:sz w:val="22"/>
          <w:szCs w:val="22"/>
        </w:rPr>
        <w:t xml:space="preserve">tarter </w:t>
      </w:r>
      <w:r>
        <w:rPr>
          <w:rFonts w:ascii="Arial" w:hAnsi="Arial" w:cs="Arial"/>
          <w:sz w:val="22"/>
          <w:szCs w:val="22"/>
        </w:rPr>
        <w:t>H</w:t>
      </w:r>
      <w:r w:rsidR="006C3BDC" w:rsidRPr="008A4229">
        <w:rPr>
          <w:rFonts w:ascii="Arial" w:hAnsi="Arial" w:cs="Arial"/>
          <w:sz w:val="22"/>
          <w:szCs w:val="22"/>
        </w:rPr>
        <w:t xml:space="preserve">omes to be </w:t>
      </w:r>
      <w:proofErr w:type="gramStart"/>
      <w:r w:rsidR="006C3BDC" w:rsidRPr="008A4229">
        <w:rPr>
          <w:rFonts w:ascii="Arial" w:hAnsi="Arial" w:cs="Arial"/>
          <w:sz w:val="22"/>
          <w:szCs w:val="22"/>
        </w:rPr>
        <w:t>taken into account</w:t>
      </w:r>
      <w:proofErr w:type="gramEnd"/>
      <w:r w:rsidR="006C3BDC" w:rsidRPr="008A4229">
        <w:rPr>
          <w:rFonts w:ascii="Arial" w:hAnsi="Arial" w:cs="Arial"/>
          <w:sz w:val="22"/>
          <w:szCs w:val="22"/>
        </w:rPr>
        <w:t xml:space="preserve">. </w:t>
      </w:r>
      <w:r>
        <w:rPr>
          <w:rFonts w:ascii="Arial" w:hAnsi="Arial" w:cs="Arial"/>
          <w:sz w:val="22"/>
          <w:szCs w:val="22"/>
        </w:rPr>
        <w:t>T</w:t>
      </w:r>
      <w:r w:rsidR="006C3BDC" w:rsidRPr="008A4229">
        <w:rPr>
          <w:rFonts w:ascii="Arial" w:hAnsi="Arial" w:cs="Arial"/>
          <w:sz w:val="22"/>
          <w:szCs w:val="22"/>
        </w:rPr>
        <w:t>he provision of Starter Homes is less of a financial burden on developers than more traditional forms of affordable housing. As such</w:t>
      </w:r>
      <w:r>
        <w:rPr>
          <w:rFonts w:ascii="Arial" w:hAnsi="Arial" w:cs="Arial"/>
          <w:sz w:val="22"/>
          <w:szCs w:val="22"/>
        </w:rPr>
        <w:t>,</w:t>
      </w:r>
      <w:r w:rsidR="006C3BDC" w:rsidRPr="008A4229">
        <w:rPr>
          <w:rFonts w:ascii="Arial" w:hAnsi="Arial" w:cs="Arial"/>
          <w:sz w:val="22"/>
          <w:szCs w:val="22"/>
        </w:rPr>
        <w:t xml:space="preserve"> in the context of the viability information presented above </w:t>
      </w:r>
      <w:r>
        <w:rPr>
          <w:rFonts w:ascii="Arial" w:hAnsi="Arial" w:cs="Arial"/>
          <w:sz w:val="22"/>
          <w:szCs w:val="22"/>
        </w:rPr>
        <w:t xml:space="preserve">it </w:t>
      </w:r>
      <w:r w:rsidR="006C3BDC" w:rsidRPr="008A4229">
        <w:rPr>
          <w:rFonts w:ascii="Arial" w:hAnsi="Arial" w:cs="Arial"/>
          <w:sz w:val="22"/>
          <w:szCs w:val="22"/>
        </w:rPr>
        <w:t>is not considered to be a significant impact.</w:t>
      </w:r>
    </w:p>
    <w:p w:rsidR="008A4229" w:rsidRDefault="008A4229" w:rsidP="008A4229">
      <w:pPr>
        <w:spacing w:line="300" w:lineRule="atLeast"/>
        <w:ind w:left="709" w:hanging="709"/>
        <w:rPr>
          <w:rFonts w:ascii="Arial" w:hAnsi="Arial" w:cs="Arial"/>
          <w:sz w:val="22"/>
          <w:szCs w:val="22"/>
        </w:rPr>
      </w:pPr>
    </w:p>
    <w:p w:rsidR="008E1A3D" w:rsidRDefault="008A4229" w:rsidP="008A4229">
      <w:pPr>
        <w:spacing w:line="300" w:lineRule="atLeast"/>
        <w:ind w:left="709" w:hanging="709"/>
        <w:rPr>
          <w:rFonts w:ascii="Arial" w:hAnsi="Arial" w:cs="Arial"/>
          <w:sz w:val="22"/>
          <w:szCs w:val="22"/>
        </w:rPr>
      </w:pPr>
      <w:r>
        <w:rPr>
          <w:rFonts w:ascii="Arial" w:hAnsi="Arial" w:cs="Arial"/>
          <w:sz w:val="22"/>
          <w:szCs w:val="22"/>
        </w:rPr>
        <w:t>3.</w:t>
      </w:r>
      <w:r w:rsidR="007C1BF4">
        <w:rPr>
          <w:rFonts w:ascii="Arial" w:hAnsi="Arial" w:cs="Arial"/>
          <w:sz w:val="22"/>
          <w:szCs w:val="22"/>
        </w:rPr>
        <w:t>28</w:t>
      </w:r>
      <w:r>
        <w:rPr>
          <w:rFonts w:ascii="Arial" w:hAnsi="Arial" w:cs="Arial"/>
          <w:sz w:val="22"/>
          <w:szCs w:val="22"/>
        </w:rPr>
        <w:tab/>
        <w:t xml:space="preserve">As part of the review of </w:t>
      </w:r>
      <w:r w:rsidR="00BB7FCC">
        <w:rPr>
          <w:rFonts w:ascii="Arial" w:hAnsi="Arial" w:cs="Arial"/>
          <w:sz w:val="22"/>
          <w:szCs w:val="22"/>
        </w:rPr>
        <w:t xml:space="preserve">recently permitted development described in para. 3.7 above, </w:t>
      </w:r>
      <w:r w:rsidR="008E1A3D">
        <w:rPr>
          <w:rFonts w:ascii="Arial" w:hAnsi="Arial" w:cs="Arial"/>
          <w:sz w:val="22"/>
          <w:szCs w:val="22"/>
        </w:rPr>
        <w:t>similar scaled schemes were appraised in the four different parts of the city</w:t>
      </w:r>
      <w:r w:rsidR="00BB7FCC">
        <w:rPr>
          <w:rFonts w:ascii="Arial" w:hAnsi="Arial" w:cs="Arial"/>
          <w:sz w:val="22"/>
          <w:szCs w:val="22"/>
        </w:rPr>
        <w:t>.</w:t>
      </w:r>
      <w:r w:rsidR="008E1A3D">
        <w:rPr>
          <w:rFonts w:ascii="Arial" w:hAnsi="Arial" w:cs="Arial"/>
          <w:sz w:val="22"/>
          <w:szCs w:val="22"/>
        </w:rPr>
        <w:t xml:space="preserve"> </w:t>
      </w:r>
      <w:r w:rsidR="00BB7FCC">
        <w:rPr>
          <w:rFonts w:ascii="Arial" w:hAnsi="Arial" w:cs="Arial"/>
          <w:sz w:val="22"/>
          <w:szCs w:val="22"/>
        </w:rPr>
        <w:t>S</w:t>
      </w:r>
      <w:r w:rsidR="008E1A3D">
        <w:rPr>
          <w:rFonts w:ascii="Arial" w:hAnsi="Arial" w:cs="Arial"/>
          <w:sz w:val="22"/>
          <w:szCs w:val="22"/>
        </w:rPr>
        <w:t>ome schemes demonstrat</w:t>
      </w:r>
      <w:r w:rsidR="00BB7FCC">
        <w:rPr>
          <w:rFonts w:ascii="Arial" w:hAnsi="Arial" w:cs="Arial"/>
          <w:sz w:val="22"/>
          <w:szCs w:val="22"/>
        </w:rPr>
        <w:t>ed</w:t>
      </w:r>
      <w:r w:rsidR="008E1A3D">
        <w:rPr>
          <w:rFonts w:ascii="Arial" w:hAnsi="Arial" w:cs="Arial"/>
          <w:sz w:val="22"/>
          <w:szCs w:val="22"/>
        </w:rPr>
        <w:t xml:space="preserve"> more compliance than others within a similar location and scale of development. Schemes with a high level of compliance was found in all parts of the city. It proceeds that the standard is capable of being met across the city and that the size and type of dwellings currently being delivered confirms this. </w:t>
      </w:r>
    </w:p>
    <w:p w:rsidR="008E1A3D" w:rsidRPr="00BB7FCC" w:rsidRDefault="008E1A3D" w:rsidP="00BB7FCC">
      <w:pPr>
        <w:spacing w:line="300" w:lineRule="atLeast"/>
        <w:rPr>
          <w:rFonts w:ascii="Arial" w:hAnsi="Arial" w:cs="Arial"/>
          <w:sz w:val="22"/>
          <w:szCs w:val="22"/>
        </w:rPr>
      </w:pPr>
    </w:p>
    <w:p w:rsidR="006C3BDC" w:rsidRPr="00BB7FCC" w:rsidRDefault="006C3BDC" w:rsidP="006C3BDC">
      <w:pPr>
        <w:pStyle w:val="ListParagraph"/>
        <w:spacing w:line="300" w:lineRule="atLeast"/>
        <w:ind w:left="709"/>
        <w:rPr>
          <w:rFonts w:ascii="Arial" w:hAnsi="Arial" w:cs="Arial"/>
          <w:b/>
          <w:bCs/>
          <w:iCs/>
          <w:sz w:val="22"/>
          <w:szCs w:val="22"/>
        </w:rPr>
      </w:pPr>
      <w:r w:rsidRPr="00BB7FCC">
        <w:rPr>
          <w:rFonts w:ascii="Arial" w:hAnsi="Arial" w:cs="Arial"/>
          <w:b/>
          <w:bCs/>
          <w:iCs/>
          <w:sz w:val="22"/>
          <w:szCs w:val="22"/>
        </w:rPr>
        <w:t>Timing</w:t>
      </w:r>
    </w:p>
    <w:p w:rsidR="006C3BDC" w:rsidRPr="006A6B9F" w:rsidRDefault="006C3BDC" w:rsidP="006C3BDC">
      <w:pPr>
        <w:pStyle w:val="ListParagraph"/>
        <w:spacing w:line="300" w:lineRule="atLeast"/>
        <w:ind w:left="709"/>
        <w:rPr>
          <w:rFonts w:ascii="Arial" w:hAnsi="Arial" w:cs="Arial"/>
          <w:sz w:val="22"/>
          <w:szCs w:val="22"/>
        </w:rPr>
      </w:pPr>
    </w:p>
    <w:p w:rsidR="006C3BDC" w:rsidRPr="00BB7FCC" w:rsidRDefault="00BB7FCC" w:rsidP="00BB7FCC">
      <w:pPr>
        <w:spacing w:line="300" w:lineRule="atLeast"/>
        <w:ind w:left="709" w:hanging="709"/>
        <w:rPr>
          <w:rFonts w:ascii="Arial" w:hAnsi="Arial" w:cs="Arial"/>
          <w:sz w:val="22"/>
          <w:szCs w:val="22"/>
        </w:rPr>
      </w:pPr>
      <w:r>
        <w:rPr>
          <w:rFonts w:ascii="Arial" w:hAnsi="Arial" w:cs="Arial"/>
          <w:sz w:val="22"/>
          <w:szCs w:val="22"/>
        </w:rPr>
        <w:t>3.</w:t>
      </w:r>
      <w:r w:rsidR="007C1BF4">
        <w:rPr>
          <w:rFonts w:ascii="Arial" w:hAnsi="Arial" w:cs="Arial"/>
          <w:sz w:val="22"/>
          <w:szCs w:val="22"/>
        </w:rPr>
        <w:t>29</w:t>
      </w:r>
      <w:r>
        <w:rPr>
          <w:rFonts w:ascii="Arial" w:hAnsi="Arial" w:cs="Arial"/>
          <w:sz w:val="22"/>
          <w:szCs w:val="22"/>
        </w:rPr>
        <w:tab/>
      </w:r>
      <w:r w:rsidR="006C3BDC" w:rsidRPr="00BB7FCC">
        <w:rPr>
          <w:rFonts w:ascii="Arial" w:hAnsi="Arial" w:cs="Arial"/>
          <w:sz w:val="22"/>
          <w:szCs w:val="22"/>
        </w:rPr>
        <w:t>The PPG states that ‘</w:t>
      </w:r>
      <w:r w:rsidR="006C3BDC" w:rsidRPr="00BB7FCC">
        <w:rPr>
          <w:rFonts w:ascii="Arial" w:hAnsi="Arial" w:cs="Arial"/>
          <w:i/>
          <w:sz w:val="22"/>
          <w:szCs w:val="22"/>
        </w:rPr>
        <w:t xml:space="preserve">there may need to be a reasonable transitional period following adoption of a new policy on space standards to enable developers to factor the cost of space standards into future land </w:t>
      </w:r>
      <w:proofErr w:type="gramStart"/>
      <w:r w:rsidR="006C3BDC" w:rsidRPr="00BB7FCC">
        <w:rPr>
          <w:rFonts w:ascii="Arial" w:hAnsi="Arial" w:cs="Arial"/>
          <w:i/>
          <w:sz w:val="22"/>
          <w:szCs w:val="22"/>
        </w:rPr>
        <w:t>acquisitions’</w:t>
      </w:r>
      <w:proofErr w:type="gramEnd"/>
      <w:r w:rsidR="006C3BDC" w:rsidRPr="00BB7FCC">
        <w:rPr>
          <w:rFonts w:ascii="Arial" w:hAnsi="Arial" w:cs="Arial"/>
          <w:sz w:val="22"/>
          <w:szCs w:val="22"/>
        </w:rPr>
        <w:t>.</w:t>
      </w:r>
    </w:p>
    <w:p w:rsidR="006C3BDC" w:rsidRPr="006A6B9F" w:rsidRDefault="006C3BDC" w:rsidP="006C3BDC">
      <w:pPr>
        <w:spacing w:line="300" w:lineRule="atLeast"/>
        <w:rPr>
          <w:rFonts w:ascii="Arial" w:hAnsi="Arial" w:cs="Arial"/>
          <w:sz w:val="22"/>
          <w:szCs w:val="22"/>
        </w:rPr>
      </w:pPr>
    </w:p>
    <w:p w:rsidR="006C3BDC" w:rsidRPr="00BB7FCC" w:rsidRDefault="00BB7FCC" w:rsidP="00BB7FCC">
      <w:pPr>
        <w:spacing w:line="300" w:lineRule="atLeast"/>
        <w:ind w:left="709" w:hanging="709"/>
        <w:rPr>
          <w:rFonts w:ascii="Arial" w:hAnsi="Arial" w:cs="Arial"/>
          <w:sz w:val="22"/>
          <w:szCs w:val="22"/>
        </w:rPr>
      </w:pPr>
      <w:r>
        <w:rPr>
          <w:rFonts w:ascii="Arial" w:hAnsi="Arial" w:cs="Arial"/>
          <w:sz w:val="22"/>
          <w:szCs w:val="22"/>
        </w:rPr>
        <w:t>3</w:t>
      </w:r>
      <w:r w:rsidR="00E66E32">
        <w:rPr>
          <w:rFonts w:ascii="Arial" w:hAnsi="Arial" w:cs="Arial"/>
          <w:sz w:val="22"/>
          <w:szCs w:val="22"/>
        </w:rPr>
        <w:t>.</w:t>
      </w:r>
      <w:r w:rsidR="007C1BF4">
        <w:rPr>
          <w:rFonts w:ascii="Arial" w:hAnsi="Arial" w:cs="Arial"/>
          <w:sz w:val="22"/>
          <w:szCs w:val="22"/>
        </w:rPr>
        <w:t>30</w:t>
      </w:r>
      <w:r>
        <w:rPr>
          <w:rFonts w:ascii="Arial" w:hAnsi="Arial" w:cs="Arial"/>
          <w:sz w:val="22"/>
          <w:szCs w:val="22"/>
        </w:rPr>
        <w:tab/>
      </w:r>
      <w:r w:rsidR="006C3BDC" w:rsidRPr="00BB7FCC">
        <w:rPr>
          <w:rFonts w:ascii="Arial" w:hAnsi="Arial" w:cs="Arial"/>
          <w:sz w:val="22"/>
          <w:szCs w:val="22"/>
        </w:rPr>
        <w:t xml:space="preserve">As set out above, there are no notable viability impacts anticipated from the introduction of the NDSS and </w:t>
      </w:r>
      <w:proofErr w:type="gramStart"/>
      <w:r w:rsidR="006C3BDC" w:rsidRPr="00BB7FCC">
        <w:rPr>
          <w:rFonts w:ascii="Arial" w:hAnsi="Arial" w:cs="Arial"/>
          <w:sz w:val="22"/>
          <w:szCs w:val="22"/>
        </w:rPr>
        <w:t>the majority of</w:t>
      </w:r>
      <w:proofErr w:type="gramEnd"/>
      <w:r w:rsidR="006C3BDC" w:rsidRPr="00BB7FCC">
        <w:rPr>
          <w:rFonts w:ascii="Arial" w:hAnsi="Arial" w:cs="Arial"/>
          <w:sz w:val="22"/>
          <w:szCs w:val="22"/>
        </w:rPr>
        <w:t xml:space="preserve"> permitted/emerging schemes within the last three years have sought to meet, or come close to, the national standards of their own accord.</w:t>
      </w:r>
    </w:p>
    <w:p w:rsidR="006C3BDC" w:rsidRPr="004E24C8" w:rsidRDefault="006C3BDC" w:rsidP="006C3BDC">
      <w:pPr>
        <w:pStyle w:val="ListParagraph"/>
        <w:rPr>
          <w:rFonts w:ascii="Arial" w:hAnsi="Arial" w:cs="Arial"/>
          <w:sz w:val="22"/>
          <w:szCs w:val="22"/>
        </w:rPr>
      </w:pPr>
    </w:p>
    <w:p w:rsidR="00BB7FCC" w:rsidRPr="007C1BF4" w:rsidRDefault="006C3BDC" w:rsidP="007C1BF4">
      <w:pPr>
        <w:pStyle w:val="ListParagraph"/>
        <w:numPr>
          <w:ilvl w:val="1"/>
          <w:numId w:val="28"/>
        </w:numPr>
        <w:spacing w:line="300" w:lineRule="atLeast"/>
        <w:rPr>
          <w:rFonts w:ascii="Arial" w:hAnsi="Arial" w:cs="Arial"/>
          <w:sz w:val="22"/>
          <w:szCs w:val="22"/>
        </w:rPr>
      </w:pPr>
      <w:r w:rsidRPr="007C1BF4">
        <w:rPr>
          <w:rFonts w:ascii="Arial" w:hAnsi="Arial" w:cs="Arial"/>
          <w:sz w:val="22"/>
          <w:szCs w:val="22"/>
        </w:rPr>
        <w:t>It should also be noted that the intention to introduce a space standard was first suggested</w:t>
      </w:r>
      <w:r w:rsidR="00BB7FCC" w:rsidRPr="007C1BF4">
        <w:rPr>
          <w:rFonts w:ascii="Arial" w:hAnsi="Arial" w:cs="Arial"/>
          <w:sz w:val="22"/>
          <w:szCs w:val="22"/>
        </w:rPr>
        <w:tab/>
      </w:r>
      <w:r w:rsidR="007C1BF4">
        <w:rPr>
          <w:rFonts w:ascii="Arial" w:hAnsi="Arial" w:cs="Arial"/>
          <w:sz w:val="22"/>
          <w:szCs w:val="22"/>
        </w:rPr>
        <w:t>in</w:t>
      </w:r>
      <w:r w:rsidRPr="007C1BF4">
        <w:rPr>
          <w:rFonts w:ascii="Arial" w:hAnsi="Arial" w:cs="Arial"/>
          <w:sz w:val="22"/>
          <w:szCs w:val="22"/>
        </w:rPr>
        <w:t xml:space="preserve"> the Consultation Document which was consulted on </w:t>
      </w:r>
      <w:r w:rsidR="00BB7FCC" w:rsidRPr="007C1BF4">
        <w:rPr>
          <w:rFonts w:ascii="Arial" w:hAnsi="Arial" w:cs="Arial"/>
          <w:sz w:val="22"/>
          <w:szCs w:val="22"/>
        </w:rPr>
        <w:t xml:space="preserve">in </w:t>
      </w:r>
      <w:r w:rsidRPr="007C1BF4">
        <w:rPr>
          <w:rFonts w:ascii="Arial" w:hAnsi="Arial" w:cs="Arial"/>
          <w:sz w:val="22"/>
          <w:szCs w:val="22"/>
        </w:rPr>
        <w:t>September – October 2015.</w:t>
      </w:r>
      <w:r w:rsidR="00BB7FCC" w:rsidRPr="007C1BF4">
        <w:rPr>
          <w:rFonts w:ascii="Arial" w:hAnsi="Arial" w:cs="Arial"/>
          <w:sz w:val="22"/>
          <w:szCs w:val="22"/>
        </w:rPr>
        <w:t xml:space="preserve"> </w:t>
      </w:r>
    </w:p>
    <w:p w:rsidR="006C3BDC" w:rsidRPr="00BB7FCC" w:rsidRDefault="006C3BDC" w:rsidP="00BB7FCC">
      <w:pPr>
        <w:pStyle w:val="ListParagraph"/>
        <w:spacing w:line="300" w:lineRule="atLeast"/>
        <w:ind w:left="709"/>
        <w:rPr>
          <w:rFonts w:ascii="Arial" w:hAnsi="Arial" w:cs="Arial"/>
          <w:sz w:val="22"/>
          <w:szCs w:val="22"/>
        </w:rPr>
      </w:pPr>
      <w:r w:rsidRPr="00BB7FCC">
        <w:rPr>
          <w:rFonts w:ascii="Arial" w:hAnsi="Arial" w:cs="Arial"/>
          <w:sz w:val="22"/>
          <w:szCs w:val="22"/>
        </w:rPr>
        <w:t xml:space="preserve">Subsequently, the intent to introduce the standard has been in the public domain for over 4 years and by the time of adoption of the </w:t>
      </w:r>
      <w:r w:rsidR="00BB7FCC">
        <w:rPr>
          <w:rFonts w:ascii="Arial" w:hAnsi="Arial" w:cs="Arial"/>
          <w:sz w:val="22"/>
          <w:szCs w:val="22"/>
        </w:rPr>
        <w:t>DMB</w:t>
      </w:r>
      <w:r w:rsidRPr="00BB7FCC">
        <w:rPr>
          <w:rFonts w:ascii="Arial" w:hAnsi="Arial" w:cs="Arial"/>
          <w:sz w:val="22"/>
          <w:szCs w:val="22"/>
        </w:rPr>
        <w:t>, this period will have surpassed five years.</w:t>
      </w:r>
    </w:p>
    <w:p w:rsidR="006C3BDC" w:rsidRPr="004E24C8" w:rsidRDefault="006C3BDC" w:rsidP="006C3BDC">
      <w:pPr>
        <w:pStyle w:val="ListParagraph"/>
        <w:rPr>
          <w:rFonts w:ascii="Arial" w:hAnsi="Arial" w:cs="Arial"/>
          <w:sz w:val="22"/>
          <w:szCs w:val="22"/>
        </w:rPr>
      </w:pPr>
    </w:p>
    <w:p w:rsidR="006C3BDC" w:rsidRPr="007C1BF4" w:rsidRDefault="006C3BDC" w:rsidP="007C1BF4">
      <w:pPr>
        <w:pStyle w:val="ListParagraph"/>
        <w:numPr>
          <w:ilvl w:val="1"/>
          <w:numId w:val="17"/>
        </w:numPr>
        <w:spacing w:line="300" w:lineRule="atLeast"/>
        <w:ind w:left="709" w:hanging="709"/>
        <w:rPr>
          <w:rFonts w:ascii="Arial" w:hAnsi="Arial" w:cs="Arial"/>
          <w:sz w:val="22"/>
          <w:szCs w:val="22"/>
        </w:rPr>
      </w:pPr>
      <w:proofErr w:type="gramStart"/>
      <w:r w:rsidRPr="001E53CB">
        <w:rPr>
          <w:rFonts w:ascii="Arial" w:hAnsi="Arial" w:cs="Arial"/>
          <w:sz w:val="22"/>
          <w:szCs w:val="22"/>
        </w:rPr>
        <w:t>In light of</w:t>
      </w:r>
      <w:proofErr w:type="gramEnd"/>
      <w:r w:rsidRPr="001E53CB">
        <w:rPr>
          <w:rFonts w:ascii="Arial" w:hAnsi="Arial" w:cs="Arial"/>
          <w:sz w:val="22"/>
          <w:szCs w:val="22"/>
        </w:rPr>
        <w:t xml:space="preserve"> the findings above, it is not proposed to allow for a transitional period before adoption of a new policy on space standards but rather seek to adopt and implement the policy alongside the other policies within the </w:t>
      </w:r>
      <w:r>
        <w:rPr>
          <w:rFonts w:ascii="Arial" w:hAnsi="Arial" w:cs="Arial"/>
          <w:sz w:val="22"/>
          <w:szCs w:val="22"/>
        </w:rPr>
        <w:t>DMB document</w:t>
      </w:r>
      <w:r w:rsidR="007C1BF4">
        <w:rPr>
          <w:rFonts w:ascii="Arial" w:hAnsi="Arial" w:cs="Arial"/>
          <w:sz w:val="22"/>
          <w:szCs w:val="22"/>
        </w:rPr>
        <w:t>.</w:t>
      </w:r>
    </w:p>
    <w:p w:rsidR="00E66E32" w:rsidRPr="008E7CAA" w:rsidRDefault="00E66E32" w:rsidP="00E66E32">
      <w:pPr>
        <w:spacing w:line="300" w:lineRule="atLeast"/>
        <w:ind w:left="709" w:hanging="709"/>
        <w:rPr>
          <w:rFonts w:ascii="Arial" w:hAnsi="Arial" w:cs="Arial"/>
          <w:b/>
          <w:bCs/>
          <w:sz w:val="28"/>
          <w:szCs w:val="28"/>
        </w:rPr>
      </w:pPr>
      <w:r>
        <w:rPr>
          <w:rFonts w:ascii="Arial" w:hAnsi="Arial" w:cs="Arial"/>
          <w:b/>
          <w:bCs/>
          <w:sz w:val="28"/>
          <w:szCs w:val="28"/>
        </w:rPr>
        <w:lastRenderedPageBreak/>
        <w:t>4.</w:t>
      </w:r>
      <w:r>
        <w:rPr>
          <w:rFonts w:ascii="Arial" w:hAnsi="Arial" w:cs="Arial"/>
          <w:b/>
          <w:bCs/>
          <w:sz w:val="28"/>
          <w:szCs w:val="28"/>
        </w:rPr>
        <w:tab/>
      </w:r>
      <w:r w:rsidR="00F77D9C" w:rsidRPr="00F77D9C">
        <w:rPr>
          <w:rFonts w:ascii="Arial" w:hAnsi="Arial" w:cs="Arial"/>
          <w:b/>
          <w:bCs/>
          <w:sz w:val="28"/>
          <w:szCs w:val="28"/>
        </w:rPr>
        <w:t xml:space="preserve">Building Regulations M4 (2) Category 2 </w:t>
      </w:r>
      <w:r>
        <w:rPr>
          <w:rFonts w:ascii="Arial" w:hAnsi="Arial" w:cs="Arial"/>
          <w:b/>
          <w:bCs/>
          <w:sz w:val="28"/>
          <w:szCs w:val="28"/>
        </w:rPr>
        <w:t xml:space="preserve">Standard Evidence </w:t>
      </w:r>
    </w:p>
    <w:p w:rsidR="008B662C" w:rsidRDefault="008B662C" w:rsidP="008B662C">
      <w:pPr>
        <w:spacing w:line="300" w:lineRule="atLeast"/>
        <w:rPr>
          <w:rFonts w:ascii="Arial" w:hAnsi="Arial" w:cs="Arial"/>
          <w:b/>
          <w:bCs/>
          <w:sz w:val="22"/>
          <w:szCs w:val="22"/>
        </w:rPr>
      </w:pPr>
    </w:p>
    <w:p w:rsidR="00F77D9C" w:rsidRDefault="00F77D9C" w:rsidP="007E0BC8">
      <w:pPr>
        <w:spacing w:after="120" w:line="300" w:lineRule="atLeast"/>
        <w:ind w:left="709" w:hanging="709"/>
        <w:rPr>
          <w:rFonts w:ascii="Arial" w:hAnsi="Arial" w:cs="Arial"/>
          <w:sz w:val="22"/>
          <w:szCs w:val="22"/>
        </w:rPr>
      </w:pPr>
      <w:r>
        <w:rPr>
          <w:rFonts w:ascii="Arial" w:hAnsi="Arial" w:cs="Arial"/>
          <w:sz w:val="22"/>
          <w:szCs w:val="22"/>
        </w:rPr>
        <w:t>4.1</w:t>
      </w:r>
      <w:r>
        <w:rPr>
          <w:rFonts w:ascii="Arial" w:hAnsi="Arial" w:cs="Arial"/>
          <w:sz w:val="22"/>
          <w:szCs w:val="22"/>
        </w:rPr>
        <w:tab/>
      </w:r>
      <w:r w:rsidRPr="00F77D9C">
        <w:rPr>
          <w:rFonts w:ascii="Arial" w:hAnsi="Arial" w:cs="Arial"/>
          <w:sz w:val="22"/>
          <w:szCs w:val="22"/>
        </w:rPr>
        <w:t xml:space="preserve">The </w:t>
      </w:r>
      <w:r>
        <w:rPr>
          <w:rFonts w:ascii="Arial" w:hAnsi="Arial" w:cs="Arial"/>
          <w:sz w:val="22"/>
          <w:szCs w:val="22"/>
        </w:rPr>
        <w:t>PPG</w:t>
      </w:r>
      <w:r w:rsidRPr="00F77D9C">
        <w:rPr>
          <w:rFonts w:ascii="Arial" w:hAnsi="Arial" w:cs="Arial"/>
          <w:sz w:val="22"/>
          <w:szCs w:val="22"/>
        </w:rPr>
        <w:t xml:space="preserve"> suggests that </w:t>
      </w:r>
      <w:r>
        <w:rPr>
          <w:rFonts w:ascii="Arial" w:hAnsi="Arial" w:cs="Arial"/>
          <w:sz w:val="22"/>
          <w:szCs w:val="22"/>
        </w:rPr>
        <w:t xml:space="preserve">local authorities </w:t>
      </w:r>
      <w:r w:rsidRPr="00F77D9C">
        <w:rPr>
          <w:rFonts w:ascii="Arial" w:hAnsi="Arial" w:cs="Arial"/>
          <w:sz w:val="22"/>
          <w:szCs w:val="22"/>
        </w:rPr>
        <w:t>consider the following when determining whether to introduce the optional accessibility requirements</w:t>
      </w:r>
      <w:r>
        <w:rPr>
          <w:rFonts w:ascii="Arial" w:hAnsi="Arial" w:cs="Arial"/>
          <w:sz w:val="22"/>
          <w:szCs w:val="22"/>
        </w:rPr>
        <w:t>:</w:t>
      </w:r>
    </w:p>
    <w:p w:rsidR="00F77D9C" w:rsidRDefault="00F77D9C" w:rsidP="00071525">
      <w:pPr>
        <w:pStyle w:val="ListParagraph"/>
        <w:numPr>
          <w:ilvl w:val="0"/>
          <w:numId w:val="21"/>
        </w:numPr>
        <w:spacing w:line="300" w:lineRule="atLeast"/>
        <w:rPr>
          <w:rFonts w:ascii="Arial" w:hAnsi="Arial" w:cs="Arial"/>
          <w:sz w:val="22"/>
          <w:szCs w:val="22"/>
        </w:rPr>
      </w:pPr>
      <w:r w:rsidRPr="00F77D9C">
        <w:rPr>
          <w:rFonts w:ascii="Arial" w:hAnsi="Arial" w:cs="Arial"/>
          <w:sz w:val="22"/>
          <w:szCs w:val="22"/>
        </w:rPr>
        <w:t>the likely future need for housing for older and disabled people (including wheelchair user dwellings</w:t>
      </w:r>
      <w:r>
        <w:rPr>
          <w:rFonts w:ascii="Arial" w:hAnsi="Arial" w:cs="Arial"/>
          <w:sz w:val="22"/>
          <w:szCs w:val="22"/>
        </w:rPr>
        <w:t>;</w:t>
      </w:r>
    </w:p>
    <w:p w:rsidR="00F77D9C" w:rsidRDefault="00F77D9C" w:rsidP="00071525">
      <w:pPr>
        <w:pStyle w:val="ListParagraph"/>
        <w:numPr>
          <w:ilvl w:val="0"/>
          <w:numId w:val="21"/>
        </w:numPr>
        <w:spacing w:line="300" w:lineRule="atLeast"/>
        <w:rPr>
          <w:rFonts w:ascii="Arial" w:hAnsi="Arial" w:cs="Arial"/>
          <w:sz w:val="22"/>
          <w:szCs w:val="22"/>
        </w:rPr>
      </w:pPr>
      <w:r w:rsidRPr="00F77D9C">
        <w:rPr>
          <w:rFonts w:ascii="Arial" w:hAnsi="Arial" w:cs="Arial"/>
          <w:sz w:val="22"/>
          <w:szCs w:val="22"/>
        </w:rPr>
        <w:t>size, location, type and quality of dwellings needed to meet specifically evidenced needs (for example retirement homes, sheltered homes or care homes)</w:t>
      </w:r>
      <w:r>
        <w:rPr>
          <w:rFonts w:ascii="Arial" w:hAnsi="Arial" w:cs="Arial"/>
          <w:sz w:val="22"/>
          <w:szCs w:val="22"/>
        </w:rPr>
        <w:t>;</w:t>
      </w:r>
    </w:p>
    <w:p w:rsidR="008815A1" w:rsidRDefault="00F77D9C" w:rsidP="00071525">
      <w:pPr>
        <w:pStyle w:val="ListParagraph"/>
        <w:numPr>
          <w:ilvl w:val="0"/>
          <w:numId w:val="21"/>
        </w:numPr>
        <w:spacing w:line="300" w:lineRule="atLeast"/>
        <w:rPr>
          <w:rFonts w:ascii="Arial" w:hAnsi="Arial" w:cs="Arial"/>
          <w:sz w:val="22"/>
          <w:szCs w:val="22"/>
        </w:rPr>
      </w:pPr>
      <w:r w:rsidRPr="00F77D9C">
        <w:rPr>
          <w:rFonts w:ascii="Arial" w:hAnsi="Arial" w:cs="Arial"/>
          <w:sz w:val="22"/>
          <w:szCs w:val="22"/>
        </w:rPr>
        <w:t>the accessibility and adaptability of existing housing stock</w:t>
      </w:r>
      <w:r w:rsidR="008815A1">
        <w:rPr>
          <w:rFonts w:ascii="Arial" w:hAnsi="Arial" w:cs="Arial"/>
          <w:sz w:val="22"/>
          <w:szCs w:val="22"/>
        </w:rPr>
        <w:t>;</w:t>
      </w:r>
    </w:p>
    <w:p w:rsidR="008815A1" w:rsidRDefault="00F77D9C" w:rsidP="00071525">
      <w:pPr>
        <w:pStyle w:val="ListParagraph"/>
        <w:numPr>
          <w:ilvl w:val="0"/>
          <w:numId w:val="21"/>
        </w:numPr>
        <w:spacing w:line="300" w:lineRule="atLeast"/>
        <w:rPr>
          <w:rFonts w:ascii="Arial" w:hAnsi="Arial" w:cs="Arial"/>
          <w:sz w:val="22"/>
          <w:szCs w:val="22"/>
        </w:rPr>
      </w:pPr>
      <w:r w:rsidRPr="008815A1">
        <w:rPr>
          <w:rFonts w:ascii="Arial" w:hAnsi="Arial" w:cs="Arial"/>
          <w:sz w:val="22"/>
          <w:szCs w:val="22"/>
        </w:rPr>
        <w:t>how needs vary across different housing tenures</w:t>
      </w:r>
      <w:r w:rsidR="008815A1">
        <w:rPr>
          <w:rFonts w:ascii="Arial" w:hAnsi="Arial" w:cs="Arial"/>
          <w:sz w:val="22"/>
          <w:szCs w:val="22"/>
        </w:rPr>
        <w:t>; and</w:t>
      </w:r>
    </w:p>
    <w:p w:rsidR="00F77D9C" w:rsidRDefault="00F77D9C" w:rsidP="00071525">
      <w:pPr>
        <w:pStyle w:val="ListParagraph"/>
        <w:numPr>
          <w:ilvl w:val="0"/>
          <w:numId w:val="21"/>
        </w:numPr>
        <w:spacing w:line="300" w:lineRule="atLeast"/>
        <w:rPr>
          <w:rFonts w:ascii="Arial" w:hAnsi="Arial" w:cs="Arial"/>
          <w:sz w:val="22"/>
          <w:szCs w:val="22"/>
        </w:rPr>
      </w:pPr>
      <w:r w:rsidRPr="008815A1">
        <w:rPr>
          <w:rFonts w:ascii="Arial" w:hAnsi="Arial" w:cs="Arial"/>
          <w:sz w:val="22"/>
          <w:szCs w:val="22"/>
        </w:rPr>
        <w:t>the overall impact on viability.</w:t>
      </w:r>
    </w:p>
    <w:p w:rsidR="008815A1" w:rsidRPr="008815A1" w:rsidRDefault="008815A1" w:rsidP="008815A1">
      <w:pPr>
        <w:pStyle w:val="ListParagraph"/>
        <w:spacing w:line="300" w:lineRule="atLeast"/>
        <w:ind w:left="1429"/>
        <w:rPr>
          <w:rFonts w:ascii="Arial" w:hAnsi="Arial" w:cs="Arial"/>
          <w:sz w:val="22"/>
          <w:szCs w:val="22"/>
        </w:rPr>
      </w:pPr>
    </w:p>
    <w:p w:rsidR="008815A1" w:rsidRDefault="008B662C" w:rsidP="008815A1">
      <w:pPr>
        <w:spacing w:line="300" w:lineRule="atLeast"/>
        <w:rPr>
          <w:rFonts w:ascii="Arial" w:hAnsi="Arial" w:cs="Arial"/>
          <w:b/>
          <w:bCs/>
          <w:sz w:val="22"/>
          <w:szCs w:val="22"/>
        </w:rPr>
      </w:pPr>
      <w:r>
        <w:rPr>
          <w:rFonts w:ascii="Arial" w:hAnsi="Arial" w:cs="Arial"/>
          <w:b/>
          <w:bCs/>
          <w:sz w:val="22"/>
          <w:szCs w:val="22"/>
        </w:rPr>
        <w:tab/>
      </w:r>
      <w:r w:rsidR="008815A1">
        <w:rPr>
          <w:rFonts w:ascii="Arial" w:hAnsi="Arial" w:cs="Arial"/>
          <w:b/>
          <w:bCs/>
          <w:sz w:val="22"/>
          <w:szCs w:val="22"/>
        </w:rPr>
        <w:t>The n</w:t>
      </w:r>
      <w:r>
        <w:rPr>
          <w:rFonts w:ascii="Arial" w:hAnsi="Arial" w:cs="Arial"/>
          <w:b/>
          <w:bCs/>
          <w:sz w:val="22"/>
          <w:szCs w:val="22"/>
        </w:rPr>
        <w:t xml:space="preserve">eed for </w:t>
      </w:r>
      <w:r w:rsidR="008815A1" w:rsidRPr="008815A1">
        <w:rPr>
          <w:rFonts w:ascii="Arial" w:hAnsi="Arial" w:cs="Arial"/>
          <w:b/>
          <w:bCs/>
          <w:sz w:val="22"/>
          <w:szCs w:val="22"/>
        </w:rPr>
        <w:t xml:space="preserve">housing for older and disabled people </w:t>
      </w:r>
    </w:p>
    <w:p w:rsidR="008815A1" w:rsidRDefault="008815A1" w:rsidP="008815A1">
      <w:pPr>
        <w:spacing w:line="300" w:lineRule="atLeast"/>
        <w:rPr>
          <w:rFonts w:ascii="Arial" w:hAnsi="Arial" w:cs="Arial"/>
          <w:sz w:val="22"/>
          <w:szCs w:val="22"/>
        </w:rPr>
      </w:pPr>
    </w:p>
    <w:p w:rsidR="004872E2" w:rsidRDefault="008815A1" w:rsidP="00F626FA">
      <w:pPr>
        <w:spacing w:line="276" w:lineRule="auto"/>
        <w:ind w:left="709" w:hanging="709"/>
        <w:rPr>
          <w:rFonts w:ascii="Arial" w:hAnsi="Arial" w:cs="Arial"/>
          <w:sz w:val="22"/>
          <w:szCs w:val="22"/>
        </w:rPr>
      </w:pPr>
      <w:r>
        <w:rPr>
          <w:rFonts w:ascii="Arial" w:hAnsi="Arial" w:cs="Arial"/>
          <w:sz w:val="22"/>
          <w:szCs w:val="22"/>
        </w:rPr>
        <w:t>4.2</w:t>
      </w:r>
      <w:r>
        <w:rPr>
          <w:rFonts w:ascii="Arial" w:hAnsi="Arial" w:cs="Arial"/>
          <w:sz w:val="22"/>
          <w:szCs w:val="22"/>
        </w:rPr>
        <w:tab/>
      </w:r>
      <w:r w:rsidR="00BE70B1" w:rsidRPr="00BE70B1">
        <w:rPr>
          <w:rFonts w:ascii="Arial" w:hAnsi="Arial" w:cs="Arial"/>
          <w:sz w:val="22"/>
          <w:szCs w:val="22"/>
        </w:rPr>
        <w:t>Across the UK, the demographic reality is that more and more people are living longer. Birmingham is following the national trend, and it is predicted that the percentage of those aged over 65 within Birmingham will increase from 13.1% (147,900) in 2019 to 15.1% (188,500) in 2031. This represents an increase of 26% (38,900) in the additional number of older people between 2019 to 2031.</w:t>
      </w:r>
      <w:r w:rsidR="00BE70B1">
        <w:rPr>
          <w:rStyle w:val="FootnoteReference"/>
          <w:rFonts w:ascii="Arial" w:hAnsi="Arial" w:cs="Arial"/>
          <w:sz w:val="22"/>
          <w:szCs w:val="22"/>
        </w:rPr>
        <w:footnoteReference w:id="7"/>
      </w:r>
      <w:r w:rsidR="00F626FA">
        <w:rPr>
          <w:rFonts w:ascii="Arial" w:hAnsi="Arial" w:cs="Arial"/>
          <w:sz w:val="22"/>
          <w:szCs w:val="22"/>
        </w:rPr>
        <w:t xml:space="preserve"> </w:t>
      </w:r>
      <w:r w:rsidR="00F626FA" w:rsidRPr="00F626FA">
        <w:rPr>
          <w:rFonts w:ascii="Arial" w:hAnsi="Arial" w:cs="Arial"/>
          <w:sz w:val="22"/>
          <w:szCs w:val="22"/>
        </w:rPr>
        <w:t>ONS’ 2014-based household projections show that by 2039, 30% of total households will be headed by a person aged 65 years and older compared with 22.6% in 2011, an increase of 7.4%.</w:t>
      </w:r>
    </w:p>
    <w:p w:rsidR="00F626FA" w:rsidRDefault="00F626FA" w:rsidP="00F626FA">
      <w:pPr>
        <w:spacing w:line="276" w:lineRule="auto"/>
        <w:ind w:left="709" w:hanging="709"/>
        <w:rPr>
          <w:rFonts w:ascii="Arial" w:hAnsi="Arial" w:cs="Arial"/>
          <w:sz w:val="22"/>
          <w:szCs w:val="22"/>
        </w:rPr>
      </w:pPr>
    </w:p>
    <w:p w:rsidR="006014D3" w:rsidRDefault="00EA7696" w:rsidP="006014D3">
      <w:pPr>
        <w:spacing w:line="300" w:lineRule="atLeast"/>
        <w:ind w:left="709" w:hanging="709"/>
        <w:rPr>
          <w:rFonts w:ascii="Arial" w:hAnsi="Arial" w:cs="Arial"/>
          <w:sz w:val="22"/>
          <w:szCs w:val="22"/>
        </w:rPr>
      </w:pPr>
      <w:r>
        <w:rPr>
          <w:rFonts w:ascii="Arial" w:hAnsi="Arial" w:cs="Arial"/>
          <w:sz w:val="22"/>
          <w:szCs w:val="22"/>
        </w:rPr>
        <w:t>4.</w:t>
      </w:r>
      <w:r w:rsidR="00F626FA">
        <w:rPr>
          <w:rFonts w:ascii="Arial" w:hAnsi="Arial" w:cs="Arial"/>
          <w:sz w:val="22"/>
          <w:szCs w:val="22"/>
        </w:rPr>
        <w:t>3</w:t>
      </w:r>
      <w:r>
        <w:rPr>
          <w:rFonts w:ascii="Arial" w:hAnsi="Arial" w:cs="Arial"/>
          <w:sz w:val="22"/>
          <w:szCs w:val="22"/>
        </w:rPr>
        <w:tab/>
      </w:r>
      <w:r w:rsidR="006014D3">
        <w:rPr>
          <w:rFonts w:ascii="Arial" w:hAnsi="Arial" w:cs="Arial"/>
          <w:sz w:val="22"/>
          <w:szCs w:val="22"/>
        </w:rPr>
        <w:t>Birmingham’s J</w:t>
      </w:r>
      <w:r>
        <w:rPr>
          <w:rFonts w:ascii="Arial" w:hAnsi="Arial" w:cs="Arial"/>
          <w:sz w:val="22"/>
          <w:szCs w:val="22"/>
        </w:rPr>
        <w:t xml:space="preserve">oint Strategic </w:t>
      </w:r>
      <w:r w:rsidR="006014D3">
        <w:rPr>
          <w:rFonts w:ascii="Arial" w:hAnsi="Arial" w:cs="Arial"/>
          <w:sz w:val="22"/>
          <w:szCs w:val="22"/>
        </w:rPr>
        <w:t>N</w:t>
      </w:r>
      <w:r>
        <w:rPr>
          <w:rFonts w:ascii="Arial" w:hAnsi="Arial" w:cs="Arial"/>
          <w:sz w:val="22"/>
          <w:szCs w:val="22"/>
        </w:rPr>
        <w:t xml:space="preserve">eeds </w:t>
      </w:r>
      <w:r w:rsidR="006014D3">
        <w:rPr>
          <w:rFonts w:ascii="Arial" w:hAnsi="Arial" w:cs="Arial"/>
          <w:sz w:val="22"/>
          <w:szCs w:val="22"/>
        </w:rPr>
        <w:t>A</w:t>
      </w:r>
      <w:r>
        <w:rPr>
          <w:rFonts w:ascii="Arial" w:hAnsi="Arial" w:cs="Arial"/>
          <w:sz w:val="22"/>
          <w:szCs w:val="22"/>
        </w:rPr>
        <w:t>ssessment</w:t>
      </w:r>
      <w:r w:rsidR="006014D3">
        <w:rPr>
          <w:rFonts w:ascii="Arial" w:hAnsi="Arial" w:cs="Arial"/>
          <w:sz w:val="22"/>
          <w:szCs w:val="22"/>
        </w:rPr>
        <w:t xml:space="preserve"> </w:t>
      </w:r>
      <w:r w:rsidR="006014D3" w:rsidRPr="000E1A5B">
        <w:rPr>
          <w:rFonts w:ascii="Arial" w:hAnsi="Arial" w:cs="Arial"/>
          <w:sz w:val="22"/>
          <w:szCs w:val="22"/>
        </w:rPr>
        <w:t>captures important information about older people’s housing</w:t>
      </w:r>
      <w:r w:rsidR="006014D3">
        <w:rPr>
          <w:rFonts w:ascii="Arial" w:hAnsi="Arial" w:cs="Arial"/>
          <w:sz w:val="22"/>
          <w:szCs w:val="22"/>
        </w:rPr>
        <w:t xml:space="preserve">, health and wellbeing and sets </w:t>
      </w:r>
      <w:r w:rsidR="006014D3" w:rsidRPr="000E1A5B">
        <w:rPr>
          <w:rFonts w:ascii="Arial" w:hAnsi="Arial" w:cs="Arial"/>
          <w:sz w:val="22"/>
          <w:szCs w:val="22"/>
        </w:rPr>
        <w:t>the baseline from which local demand profiling of the city’s older community and th</w:t>
      </w:r>
      <w:r w:rsidR="006014D3">
        <w:rPr>
          <w:rFonts w:ascii="Arial" w:hAnsi="Arial" w:cs="Arial"/>
          <w:sz w:val="22"/>
          <w:szCs w:val="22"/>
        </w:rPr>
        <w:t xml:space="preserve">eir service needs must be drawn </w:t>
      </w:r>
      <w:r w:rsidR="006014D3" w:rsidRPr="000E1A5B">
        <w:rPr>
          <w:rFonts w:ascii="Arial" w:hAnsi="Arial" w:cs="Arial"/>
          <w:sz w:val="22"/>
          <w:szCs w:val="22"/>
        </w:rPr>
        <w:t>from</w:t>
      </w:r>
      <w:r w:rsidR="006014D3">
        <w:rPr>
          <w:rFonts w:ascii="Arial" w:hAnsi="Arial" w:cs="Arial"/>
          <w:sz w:val="22"/>
          <w:szCs w:val="22"/>
        </w:rPr>
        <w:t xml:space="preserve">. The ‘Older Adults Profile </w:t>
      </w:r>
      <w:r w:rsidR="006014D3" w:rsidRPr="007B40F4">
        <w:rPr>
          <w:rFonts w:ascii="Arial" w:hAnsi="Arial" w:cs="Arial"/>
          <w:sz w:val="22"/>
          <w:szCs w:val="22"/>
        </w:rPr>
        <w:t>with Adult Social Care Outcomes Framework and Public Health Outcomes Framework</w:t>
      </w:r>
      <w:r w:rsidR="006014D3">
        <w:rPr>
          <w:rFonts w:ascii="Arial" w:hAnsi="Arial" w:cs="Arial"/>
          <w:sz w:val="22"/>
          <w:szCs w:val="22"/>
        </w:rPr>
        <w:t>’ report</w:t>
      </w:r>
      <w:r w:rsidR="006014D3">
        <w:rPr>
          <w:rStyle w:val="FootnoteReference"/>
          <w:rFonts w:ascii="Arial" w:hAnsi="Arial" w:cs="Arial"/>
          <w:sz w:val="22"/>
          <w:szCs w:val="22"/>
        </w:rPr>
        <w:footnoteReference w:id="8"/>
      </w:r>
      <w:r w:rsidR="006014D3">
        <w:rPr>
          <w:rFonts w:ascii="Arial" w:hAnsi="Arial" w:cs="Arial"/>
          <w:sz w:val="22"/>
          <w:szCs w:val="22"/>
        </w:rPr>
        <w:t xml:space="preserve"> forms part of the JSNA</w:t>
      </w:r>
      <w:r w:rsidR="006014D3" w:rsidRPr="007B40F4">
        <w:rPr>
          <w:rFonts w:ascii="Arial" w:hAnsi="Arial" w:cs="Arial"/>
          <w:sz w:val="22"/>
          <w:szCs w:val="22"/>
        </w:rPr>
        <w:t>.</w:t>
      </w:r>
      <w:r w:rsidR="006014D3">
        <w:rPr>
          <w:rFonts w:ascii="Arial" w:hAnsi="Arial" w:cs="Arial"/>
          <w:sz w:val="22"/>
          <w:szCs w:val="22"/>
        </w:rPr>
        <w:t xml:space="preserve"> </w:t>
      </w:r>
      <w:r w:rsidR="006014D3" w:rsidRPr="007B40F4">
        <w:rPr>
          <w:rFonts w:ascii="Arial" w:hAnsi="Arial" w:cs="Arial"/>
          <w:sz w:val="22"/>
          <w:szCs w:val="22"/>
        </w:rPr>
        <w:t xml:space="preserve">Outcome frameworks are a collection of indicators </w:t>
      </w:r>
      <w:r w:rsidR="006014D3">
        <w:rPr>
          <w:rFonts w:ascii="Arial" w:hAnsi="Arial" w:cs="Arial"/>
          <w:sz w:val="22"/>
          <w:szCs w:val="22"/>
        </w:rPr>
        <w:t>to provide an</w:t>
      </w:r>
      <w:r w:rsidR="006014D3" w:rsidRPr="007B40F4">
        <w:rPr>
          <w:rFonts w:ascii="Arial" w:hAnsi="Arial" w:cs="Arial"/>
          <w:sz w:val="22"/>
          <w:szCs w:val="22"/>
        </w:rPr>
        <w:t xml:space="preserve"> understand</w:t>
      </w:r>
      <w:r w:rsidR="006014D3">
        <w:rPr>
          <w:rFonts w:ascii="Arial" w:hAnsi="Arial" w:cs="Arial"/>
          <w:sz w:val="22"/>
          <w:szCs w:val="22"/>
        </w:rPr>
        <w:t>ing of</w:t>
      </w:r>
      <w:r w:rsidR="006014D3" w:rsidRPr="007B40F4">
        <w:rPr>
          <w:rFonts w:ascii="Arial" w:hAnsi="Arial" w:cs="Arial"/>
          <w:sz w:val="22"/>
          <w:szCs w:val="22"/>
        </w:rPr>
        <w:t xml:space="preserve"> how well public health is being improved and protected.</w:t>
      </w:r>
    </w:p>
    <w:p w:rsidR="006014D3" w:rsidRDefault="006014D3" w:rsidP="008815A1">
      <w:pPr>
        <w:spacing w:line="276" w:lineRule="auto"/>
        <w:ind w:left="709" w:hanging="709"/>
        <w:rPr>
          <w:rFonts w:ascii="Arial" w:hAnsi="Arial" w:cs="Arial"/>
          <w:sz w:val="22"/>
          <w:szCs w:val="22"/>
        </w:rPr>
      </w:pPr>
    </w:p>
    <w:p w:rsidR="004872E2" w:rsidRDefault="00EA7696" w:rsidP="004872E2">
      <w:pPr>
        <w:spacing w:line="300" w:lineRule="atLeast"/>
        <w:ind w:left="709" w:hanging="709"/>
        <w:rPr>
          <w:rFonts w:ascii="Arial" w:hAnsi="Arial" w:cs="Arial"/>
          <w:sz w:val="22"/>
          <w:szCs w:val="22"/>
        </w:rPr>
      </w:pPr>
      <w:r>
        <w:rPr>
          <w:rFonts w:ascii="Arial" w:hAnsi="Arial" w:cs="Arial"/>
          <w:sz w:val="22"/>
          <w:szCs w:val="22"/>
        </w:rPr>
        <w:t>4.</w:t>
      </w:r>
      <w:r w:rsidR="00F626FA">
        <w:rPr>
          <w:rFonts w:ascii="Arial" w:hAnsi="Arial" w:cs="Arial"/>
          <w:sz w:val="22"/>
          <w:szCs w:val="22"/>
        </w:rPr>
        <w:t>4</w:t>
      </w:r>
      <w:r>
        <w:rPr>
          <w:rFonts w:ascii="Arial" w:hAnsi="Arial" w:cs="Arial"/>
          <w:sz w:val="22"/>
          <w:szCs w:val="22"/>
        </w:rPr>
        <w:tab/>
        <w:t xml:space="preserve">The report highlights the </w:t>
      </w:r>
      <w:r w:rsidR="004872E2">
        <w:rPr>
          <w:rFonts w:ascii="Arial" w:hAnsi="Arial" w:cs="Arial"/>
          <w:sz w:val="22"/>
          <w:szCs w:val="22"/>
        </w:rPr>
        <w:t xml:space="preserve">life expectancy and </w:t>
      </w:r>
      <w:r>
        <w:rPr>
          <w:rFonts w:ascii="Arial" w:hAnsi="Arial" w:cs="Arial"/>
          <w:sz w:val="22"/>
          <w:szCs w:val="22"/>
        </w:rPr>
        <w:t>healthy life expectancy of males and females in Birmingham as being much lower than the national average</w:t>
      </w:r>
      <w:r w:rsidR="004872E2">
        <w:rPr>
          <w:rFonts w:ascii="Arial" w:hAnsi="Arial" w:cs="Arial"/>
          <w:sz w:val="22"/>
          <w:szCs w:val="22"/>
        </w:rPr>
        <w:t>. Life expectancy for a man in Birmingham is 77.2 years compared to 79.5 years for England. Females in Birmingham can expect to live to 81.9 years compared to 83.1 years for England.</w:t>
      </w:r>
    </w:p>
    <w:p w:rsidR="004872E2" w:rsidRDefault="004872E2" w:rsidP="004872E2">
      <w:pPr>
        <w:spacing w:line="300" w:lineRule="atLeast"/>
        <w:ind w:left="709" w:hanging="709"/>
        <w:rPr>
          <w:rFonts w:ascii="Arial" w:hAnsi="Arial" w:cs="Arial"/>
          <w:sz w:val="22"/>
          <w:szCs w:val="22"/>
        </w:rPr>
      </w:pPr>
    </w:p>
    <w:p w:rsidR="004872E2" w:rsidRDefault="004872E2" w:rsidP="004872E2">
      <w:pPr>
        <w:spacing w:line="300" w:lineRule="atLeast"/>
        <w:ind w:left="709" w:hanging="709"/>
        <w:rPr>
          <w:rFonts w:ascii="Arial" w:hAnsi="Arial" w:cs="Arial"/>
          <w:sz w:val="22"/>
          <w:szCs w:val="22"/>
        </w:rPr>
      </w:pPr>
      <w:r>
        <w:rPr>
          <w:rFonts w:ascii="Arial" w:hAnsi="Arial" w:cs="Arial"/>
          <w:sz w:val="22"/>
          <w:szCs w:val="22"/>
        </w:rPr>
        <w:t>4.</w:t>
      </w:r>
      <w:r w:rsidR="00F626FA">
        <w:rPr>
          <w:rFonts w:ascii="Arial" w:hAnsi="Arial" w:cs="Arial"/>
          <w:sz w:val="22"/>
          <w:szCs w:val="22"/>
        </w:rPr>
        <w:t>5</w:t>
      </w:r>
      <w:r>
        <w:rPr>
          <w:rFonts w:ascii="Arial" w:hAnsi="Arial" w:cs="Arial"/>
          <w:sz w:val="22"/>
          <w:szCs w:val="22"/>
        </w:rPr>
        <w:tab/>
        <w:t xml:space="preserve">Healthy life expectancy is the number of </w:t>
      </w:r>
      <w:r w:rsidRPr="008D4D42">
        <w:rPr>
          <w:rFonts w:ascii="Arial" w:hAnsi="Arial" w:cs="Arial"/>
          <w:sz w:val="22"/>
          <w:szCs w:val="22"/>
        </w:rPr>
        <w:t>years</w:t>
      </w:r>
      <w:r>
        <w:rPr>
          <w:rFonts w:ascii="Arial" w:hAnsi="Arial" w:cs="Arial"/>
          <w:color w:val="FF0000"/>
          <w:sz w:val="22"/>
          <w:szCs w:val="22"/>
        </w:rPr>
        <w:t xml:space="preserve"> </w:t>
      </w:r>
      <w:r>
        <w:rPr>
          <w:rFonts w:ascii="Arial" w:hAnsi="Arial" w:cs="Arial"/>
          <w:sz w:val="22"/>
          <w:szCs w:val="22"/>
        </w:rPr>
        <w:t xml:space="preserve">a person can expect to live in good health. Healthy life expectancy in Birmingham is much lower than the national average with men in Birmingham expecting to live only 50 years in good health compared to 63 years nationally. For women in Birmingham this is 59 years, compared to 64 years nationally. The gap between healthy life expectancy </w:t>
      </w:r>
      <w:r w:rsidR="006F190C">
        <w:rPr>
          <w:rFonts w:ascii="Arial" w:hAnsi="Arial" w:cs="Arial"/>
          <w:sz w:val="22"/>
          <w:szCs w:val="22"/>
        </w:rPr>
        <w:t>the older population shows that people will be spending more years in poor health and provides</w:t>
      </w:r>
      <w:r>
        <w:rPr>
          <w:rFonts w:ascii="Arial" w:hAnsi="Arial" w:cs="Arial"/>
          <w:sz w:val="22"/>
          <w:szCs w:val="22"/>
        </w:rPr>
        <w:t xml:space="preserve"> an estimate of how many years a person will </w:t>
      </w:r>
      <w:proofErr w:type="gramStart"/>
      <w:r>
        <w:rPr>
          <w:rFonts w:ascii="Arial" w:hAnsi="Arial" w:cs="Arial"/>
          <w:sz w:val="22"/>
          <w:szCs w:val="22"/>
        </w:rPr>
        <w:t>be in need of</w:t>
      </w:r>
      <w:proofErr w:type="gramEnd"/>
      <w:r>
        <w:rPr>
          <w:rFonts w:ascii="Arial" w:hAnsi="Arial" w:cs="Arial"/>
          <w:sz w:val="22"/>
          <w:szCs w:val="22"/>
        </w:rPr>
        <w:t xml:space="preserve"> health and social care. </w:t>
      </w:r>
    </w:p>
    <w:p w:rsidR="004872E2" w:rsidRDefault="004872E2" w:rsidP="006F190C">
      <w:pPr>
        <w:spacing w:line="276" w:lineRule="auto"/>
        <w:rPr>
          <w:rFonts w:ascii="Arial" w:hAnsi="Arial" w:cs="Arial"/>
          <w:sz w:val="22"/>
          <w:szCs w:val="22"/>
        </w:rPr>
      </w:pPr>
    </w:p>
    <w:p w:rsidR="004872E2" w:rsidRDefault="004872E2" w:rsidP="006F190C">
      <w:pPr>
        <w:spacing w:line="276" w:lineRule="auto"/>
        <w:ind w:left="709" w:hanging="709"/>
        <w:rPr>
          <w:rFonts w:ascii="Arial" w:hAnsi="Arial" w:cs="Arial"/>
          <w:sz w:val="22"/>
          <w:szCs w:val="22"/>
        </w:rPr>
      </w:pPr>
      <w:r>
        <w:rPr>
          <w:rFonts w:ascii="Arial" w:hAnsi="Arial" w:cs="Arial"/>
          <w:sz w:val="22"/>
          <w:szCs w:val="22"/>
        </w:rPr>
        <w:lastRenderedPageBreak/>
        <w:t>4.</w:t>
      </w:r>
      <w:r w:rsidR="00F626FA">
        <w:rPr>
          <w:rFonts w:ascii="Arial" w:hAnsi="Arial" w:cs="Arial"/>
          <w:sz w:val="22"/>
          <w:szCs w:val="22"/>
        </w:rPr>
        <w:t>6</w:t>
      </w:r>
      <w:r>
        <w:rPr>
          <w:rFonts w:ascii="Arial" w:hAnsi="Arial" w:cs="Arial"/>
          <w:sz w:val="22"/>
          <w:szCs w:val="22"/>
        </w:rPr>
        <w:tab/>
      </w:r>
      <w:r w:rsidR="00EA7696">
        <w:rPr>
          <w:rFonts w:ascii="Arial" w:hAnsi="Arial" w:cs="Arial"/>
          <w:sz w:val="22"/>
          <w:szCs w:val="22"/>
        </w:rPr>
        <w:t>Despite increasing life expectancy, there remains a significant gap in healthy life expectancy. This in turn presents a series of health and care challenges for older people and people with mobility impairments as it means they will be</w:t>
      </w:r>
      <w:r w:rsidR="00EA7696" w:rsidRPr="0048286E">
        <w:rPr>
          <w:rFonts w:ascii="Arial" w:hAnsi="Arial" w:cs="Arial"/>
          <w:sz w:val="22"/>
          <w:szCs w:val="22"/>
        </w:rPr>
        <w:t xml:space="preserve"> living </w:t>
      </w:r>
      <w:r w:rsidR="00EA7696">
        <w:rPr>
          <w:rFonts w:ascii="Arial" w:hAnsi="Arial" w:cs="Arial"/>
          <w:sz w:val="22"/>
          <w:szCs w:val="22"/>
        </w:rPr>
        <w:t xml:space="preserve">longer </w:t>
      </w:r>
      <w:r w:rsidR="00EA7696" w:rsidRPr="0048286E">
        <w:rPr>
          <w:rFonts w:ascii="Arial" w:hAnsi="Arial" w:cs="Arial"/>
          <w:sz w:val="22"/>
          <w:szCs w:val="22"/>
        </w:rPr>
        <w:t xml:space="preserve">with impairments and life-limiting </w:t>
      </w:r>
      <w:r w:rsidR="00EA7696">
        <w:rPr>
          <w:rFonts w:ascii="Arial" w:hAnsi="Arial" w:cs="Arial"/>
          <w:sz w:val="22"/>
          <w:szCs w:val="22"/>
        </w:rPr>
        <w:t>conditions. This also impacts on the immediate and wider family and regular visitors who provide support and care.</w:t>
      </w:r>
    </w:p>
    <w:p w:rsidR="004872E2" w:rsidRDefault="004872E2" w:rsidP="00EA7696">
      <w:pPr>
        <w:spacing w:line="300" w:lineRule="atLeast"/>
        <w:rPr>
          <w:rFonts w:ascii="Arial" w:hAnsi="Arial" w:cs="Arial"/>
          <w:sz w:val="22"/>
          <w:szCs w:val="22"/>
        </w:rPr>
      </w:pPr>
    </w:p>
    <w:p w:rsidR="005C5D5B" w:rsidRDefault="00EA7696" w:rsidP="00EA7696">
      <w:pPr>
        <w:spacing w:line="300" w:lineRule="atLeast"/>
        <w:ind w:left="709" w:hanging="709"/>
        <w:rPr>
          <w:rFonts w:ascii="Arial" w:hAnsi="Arial" w:cs="Arial"/>
          <w:sz w:val="22"/>
          <w:szCs w:val="22"/>
        </w:rPr>
      </w:pPr>
      <w:r>
        <w:rPr>
          <w:rFonts w:ascii="Arial" w:hAnsi="Arial" w:cs="Arial"/>
          <w:sz w:val="22"/>
          <w:szCs w:val="22"/>
        </w:rPr>
        <w:t>4.</w:t>
      </w:r>
      <w:r w:rsidR="00F626FA">
        <w:rPr>
          <w:rFonts w:ascii="Arial" w:hAnsi="Arial" w:cs="Arial"/>
          <w:sz w:val="22"/>
          <w:szCs w:val="22"/>
        </w:rPr>
        <w:t>7</w:t>
      </w:r>
      <w:r>
        <w:rPr>
          <w:rFonts w:ascii="Arial" w:hAnsi="Arial" w:cs="Arial"/>
          <w:sz w:val="22"/>
          <w:szCs w:val="22"/>
        </w:rPr>
        <w:tab/>
        <w:t xml:space="preserve">If trends in healthy life expectancy continue as they are and population projections for older people continue as expected, we are likely to see considerable and potentially unsustainable demands for adult health and social care services in the future. The report concludes that it is therefore important to prevent care needs from arising, as well as managing these needs when they do arise. </w:t>
      </w:r>
    </w:p>
    <w:p w:rsidR="005C5D5B" w:rsidRDefault="005C5D5B" w:rsidP="005C5D5B">
      <w:pPr>
        <w:spacing w:line="300" w:lineRule="atLeast"/>
        <w:rPr>
          <w:rFonts w:ascii="Arial" w:hAnsi="Arial" w:cs="Arial"/>
          <w:sz w:val="22"/>
          <w:szCs w:val="22"/>
        </w:rPr>
      </w:pPr>
    </w:p>
    <w:p w:rsidR="00D504CD" w:rsidRDefault="006F190C" w:rsidP="00D504CD">
      <w:pPr>
        <w:spacing w:line="300" w:lineRule="atLeast"/>
        <w:ind w:left="709" w:hanging="709"/>
        <w:rPr>
          <w:rFonts w:ascii="Arial" w:hAnsi="Arial" w:cs="Arial"/>
          <w:sz w:val="22"/>
          <w:szCs w:val="22"/>
          <w:lang w:val="en-GB"/>
        </w:rPr>
      </w:pPr>
      <w:r>
        <w:rPr>
          <w:rFonts w:ascii="Arial" w:hAnsi="Arial" w:cs="Arial"/>
          <w:sz w:val="22"/>
          <w:szCs w:val="22"/>
        </w:rPr>
        <w:t>4.</w:t>
      </w:r>
      <w:r w:rsidR="00F626FA">
        <w:rPr>
          <w:rFonts w:ascii="Arial" w:hAnsi="Arial" w:cs="Arial"/>
          <w:sz w:val="22"/>
          <w:szCs w:val="22"/>
        </w:rPr>
        <w:t>8</w:t>
      </w:r>
      <w:r>
        <w:rPr>
          <w:rFonts w:ascii="Arial" w:hAnsi="Arial" w:cs="Arial"/>
          <w:sz w:val="22"/>
          <w:szCs w:val="22"/>
        </w:rPr>
        <w:tab/>
      </w:r>
      <w:r w:rsidR="00D504CD">
        <w:rPr>
          <w:rFonts w:ascii="Arial" w:hAnsi="Arial" w:cs="Arial"/>
          <w:sz w:val="22"/>
          <w:szCs w:val="22"/>
        </w:rPr>
        <w:t xml:space="preserve">Government </w:t>
      </w:r>
      <w:r w:rsidR="00D504CD" w:rsidRPr="00682FF7">
        <w:rPr>
          <w:rFonts w:ascii="Arial" w:hAnsi="Arial" w:cs="Arial"/>
          <w:sz w:val="22"/>
          <w:szCs w:val="22"/>
          <w:lang w:val="en-GB"/>
        </w:rPr>
        <w:t xml:space="preserve">statistics </w:t>
      </w:r>
      <w:r w:rsidR="00D504CD">
        <w:rPr>
          <w:rFonts w:ascii="Arial" w:hAnsi="Arial" w:cs="Arial"/>
          <w:sz w:val="22"/>
          <w:szCs w:val="22"/>
          <w:lang w:val="en-GB"/>
        </w:rPr>
        <w:t>show</w:t>
      </w:r>
      <w:r w:rsidR="00D504CD" w:rsidRPr="00682FF7">
        <w:rPr>
          <w:rFonts w:ascii="Arial" w:hAnsi="Arial" w:cs="Arial"/>
          <w:sz w:val="22"/>
          <w:szCs w:val="22"/>
          <w:lang w:val="en-GB"/>
        </w:rPr>
        <w:t xml:space="preserve"> that the prevalence of disability rises with age. Around 6% of children are disabled, compared to 16% of working age adults and 45% of adults over State Pension </w:t>
      </w:r>
      <w:r w:rsidR="00D504CD">
        <w:rPr>
          <w:rFonts w:ascii="Arial" w:hAnsi="Arial" w:cs="Arial"/>
          <w:sz w:val="22"/>
          <w:szCs w:val="22"/>
          <w:lang w:val="en-GB"/>
        </w:rPr>
        <w:t>age.</w:t>
      </w:r>
      <w:r w:rsidR="00D504CD">
        <w:rPr>
          <w:rStyle w:val="FootnoteReference"/>
          <w:rFonts w:ascii="Arial" w:hAnsi="Arial" w:cs="Arial"/>
          <w:sz w:val="22"/>
          <w:szCs w:val="22"/>
          <w:lang w:val="en-GB"/>
        </w:rPr>
        <w:footnoteReference w:id="9"/>
      </w:r>
      <w:r w:rsidR="00D504CD">
        <w:rPr>
          <w:rFonts w:ascii="Arial" w:hAnsi="Arial" w:cs="Arial"/>
          <w:sz w:val="22"/>
          <w:szCs w:val="22"/>
          <w:lang w:val="en-GB"/>
        </w:rPr>
        <w:t xml:space="preserve"> Based on these prevalence figures, the additional population aged over 65 by 2031 could result in an additional 16</w:t>
      </w:r>
      <w:r>
        <w:rPr>
          <w:rFonts w:ascii="Arial" w:hAnsi="Arial" w:cs="Arial"/>
          <w:sz w:val="22"/>
          <w:szCs w:val="22"/>
          <w:lang w:val="en-GB"/>
        </w:rPr>
        <w:t>,</w:t>
      </w:r>
      <w:r w:rsidR="00D504CD">
        <w:rPr>
          <w:rFonts w:ascii="Arial" w:hAnsi="Arial" w:cs="Arial"/>
          <w:sz w:val="22"/>
          <w:szCs w:val="22"/>
          <w:lang w:val="en-GB"/>
        </w:rPr>
        <w:t xml:space="preserve">800 people aged over 65 with a disability. </w:t>
      </w:r>
    </w:p>
    <w:p w:rsidR="006F190C" w:rsidRDefault="006F190C" w:rsidP="00D504CD">
      <w:pPr>
        <w:spacing w:line="300" w:lineRule="atLeast"/>
        <w:ind w:left="709" w:hanging="709"/>
        <w:rPr>
          <w:rFonts w:ascii="Arial" w:hAnsi="Arial" w:cs="Arial"/>
          <w:sz w:val="22"/>
          <w:szCs w:val="22"/>
          <w:lang w:val="en-GB"/>
        </w:rPr>
      </w:pPr>
    </w:p>
    <w:p w:rsidR="007061E8" w:rsidRDefault="007061E8" w:rsidP="007061E8">
      <w:pPr>
        <w:spacing w:line="300" w:lineRule="atLeast"/>
        <w:ind w:left="709" w:hanging="709"/>
        <w:rPr>
          <w:rFonts w:ascii="Arial" w:hAnsi="Arial" w:cs="Arial"/>
          <w:sz w:val="22"/>
          <w:szCs w:val="22"/>
        </w:rPr>
      </w:pPr>
      <w:r>
        <w:rPr>
          <w:rFonts w:ascii="Arial" w:hAnsi="Arial" w:cs="Arial"/>
          <w:sz w:val="22"/>
          <w:szCs w:val="22"/>
        </w:rPr>
        <w:t>4.</w:t>
      </w:r>
      <w:r w:rsidR="00F626FA">
        <w:rPr>
          <w:rFonts w:ascii="Arial" w:hAnsi="Arial" w:cs="Arial"/>
          <w:sz w:val="22"/>
          <w:szCs w:val="22"/>
        </w:rPr>
        <w:t>9</w:t>
      </w:r>
      <w:r>
        <w:rPr>
          <w:rFonts w:ascii="Arial" w:hAnsi="Arial" w:cs="Arial"/>
          <w:sz w:val="22"/>
          <w:szCs w:val="22"/>
        </w:rPr>
        <w:tab/>
        <w:t xml:space="preserve">It is acknowledged that not every older person or household will translate into a need for an accessible and adaptable home. The evidence, therefore, also looks at the health of older people (using POPPI data) to provide an indication of need for accessible and adaptable homes. </w:t>
      </w:r>
      <w:r>
        <w:rPr>
          <w:rFonts w:ascii="Arial" w:hAnsi="Arial" w:cs="Arial"/>
          <w:sz w:val="22"/>
          <w:szCs w:val="22"/>
          <w:lang w:val="en-GB"/>
        </w:rPr>
        <w:t xml:space="preserve">However, it is not only older people that will benefit from accessible and adaptable homes, but also those who have a </w:t>
      </w:r>
      <w:r w:rsidR="00F0507D">
        <w:rPr>
          <w:rFonts w:ascii="Arial" w:hAnsi="Arial" w:cs="Arial"/>
          <w:sz w:val="22"/>
          <w:szCs w:val="22"/>
          <w:lang w:val="en-GB"/>
        </w:rPr>
        <w:t>limiting long-term</w:t>
      </w:r>
      <w:r>
        <w:rPr>
          <w:rFonts w:ascii="Arial" w:hAnsi="Arial" w:cs="Arial"/>
          <w:sz w:val="22"/>
          <w:szCs w:val="22"/>
          <w:lang w:val="en-GB"/>
        </w:rPr>
        <w:t xml:space="preserve"> </w:t>
      </w:r>
      <w:r w:rsidR="00F0507D">
        <w:rPr>
          <w:rFonts w:ascii="Arial" w:hAnsi="Arial" w:cs="Arial"/>
          <w:sz w:val="22"/>
          <w:szCs w:val="22"/>
          <w:lang w:val="en-GB"/>
        </w:rPr>
        <w:t xml:space="preserve">illness </w:t>
      </w:r>
      <w:r>
        <w:rPr>
          <w:rFonts w:ascii="Arial" w:hAnsi="Arial" w:cs="Arial"/>
          <w:sz w:val="22"/>
          <w:szCs w:val="22"/>
          <w:lang w:val="en-GB"/>
        </w:rPr>
        <w:t>or disability (L</w:t>
      </w:r>
      <w:r w:rsidR="00F0507D">
        <w:rPr>
          <w:rFonts w:ascii="Arial" w:hAnsi="Arial" w:cs="Arial"/>
          <w:sz w:val="22"/>
          <w:szCs w:val="22"/>
          <w:lang w:val="en-GB"/>
        </w:rPr>
        <w:t>LTID</w:t>
      </w:r>
      <w:r>
        <w:rPr>
          <w:rFonts w:ascii="Arial" w:hAnsi="Arial" w:cs="Arial"/>
          <w:sz w:val="22"/>
          <w:szCs w:val="22"/>
          <w:lang w:val="en-GB"/>
        </w:rPr>
        <w:t>). A L</w:t>
      </w:r>
      <w:r w:rsidR="00F0507D">
        <w:rPr>
          <w:rFonts w:ascii="Arial" w:hAnsi="Arial" w:cs="Arial"/>
          <w:sz w:val="22"/>
          <w:szCs w:val="22"/>
          <w:lang w:val="en-GB"/>
        </w:rPr>
        <w:t>LTID</w:t>
      </w:r>
      <w:r>
        <w:rPr>
          <w:rFonts w:ascii="Arial" w:hAnsi="Arial" w:cs="Arial"/>
          <w:sz w:val="22"/>
          <w:szCs w:val="22"/>
          <w:lang w:val="en-GB"/>
        </w:rPr>
        <w:t xml:space="preserve"> </w:t>
      </w:r>
      <w:r>
        <w:rPr>
          <w:rFonts w:ascii="Arial" w:hAnsi="Arial" w:cs="Arial"/>
          <w:sz w:val="22"/>
          <w:szCs w:val="22"/>
        </w:rPr>
        <w:t xml:space="preserve">is defined in the Census as that which limits a person’s day to day activities, and has lasted or is expected to last, at least 12 months. </w:t>
      </w:r>
    </w:p>
    <w:p w:rsidR="007061E8" w:rsidRDefault="007061E8" w:rsidP="007061E8">
      <w:pPr>
        <w:spacing w:line="300" w:lineRule="atLeast"/>
        <w:ind w:left="709" w:hanging="709"/>
        <w:rPr>
          <w:rFonts w:ascii="Arial" w:hAnsi="Arial" w:cs="Arial"/>
          <w:sz w:val="22"/>
          <w:szCs w:val="22"/>
        </w:rPr>
      </w:pPr>
    </w:p>
    <w:p w:rsidR="006F190C" w:rsidRDefault="00ED757E" w:rsidP="00ED757E">
      <w:pPr>
        <w:spacing w:line="300" w:lineRule="atLeast"/>
        <w:ind w:left="709" w:hanging="709"/>
        <w:rPr>
          <w:rFonts w:ascii="Arial" w:hAnsi="Arial" w:cs="Arial"/>
          <w:sz w:val="22"/>
          <w:szCs w:val="22"/>
        </w:rPr>
      </w:pPr>
      <w:r>
        <w:rPr>
          <w:rFonts w:ascii="Arial" w:hAnsi="Arial" w:cs="Arial"/>
          <w:sz w:val="22"/>
          <w:szCs w:val="22"/>
        </w:rPr>
        <w:t>4.1</w:t>
      </w:r>
      <w:r w:rsidR="00F626FA">
        <w:rPr>
          <w:rFonts w:ascii="Arial" w:hAnsi="Arial" w:cs="Arial"/>
          <w:sz w:val="22"/>
          <w:szCs w:val="22"/>
        </w:rPr>
        <w:t>0</w:t>
      </w:r>
      <w:r>
        <w:rPr>
          <w:rFonts w:ascii="Arial" w:hAnsi="Arial" w:cs="Arial"/>
          <w:sz w:val="22"/>
          <w:szCs w:val="22"/>
        </w:rPr>
        <w:tab/>
      </w:r>
      <w:bookmarkStart w:id="2" w:name="_Hlk45140807"/>
      <w:r w:rsidRPr="0015645F">
        <w:rPr>
          <w:rFonts w:ascii="Arial" w:hAnsi="Arial" w:cs="Arial"/>
          <w:sz w:val="22"/>
          <w:szCs w:val="22"/>
        </w:rPr>
        <w:t xml:space="preserve">The table below </w:t>
      </w:r>
      <w:r w:rsidR="0015645F" w:rsidRPr="0015645F">
        <w:rPr>
          <w:rFonts w:ascii="Arial" w:hAnsi="Arial" w:cs="Arial"/>
          <w:sz w:val="22"/>
          <w:szCs w:val="22"/>
        </w:rPr>
        <w:t>show</w:t>
      </w:r>
      <w:r w:rsidR="00924FB4">
        <w:rPr>
          <w:rFonts w:ascii="Arial" w:hAnsi="Arial" w:cs="Arial"/>
          <w:sz w:val="22"/>
          <w:szCs w:val="22"/>
        </w:rPr>
        <w:t>s</w:t>
      </w:r>
      <w:r w:rsidR="0015645F" w:rsidRPr="0015645F">
        <w:rPr>
          <w:rFonts w:ascii="Arial" w:hAnsi="Arial" w:cs="Arial"/>
          <w:sz w:val="22"/>
          <w:szCs w:val="22"/>
        </w:rPr>
        <w:t xml:space="preserve"> the </w:t>
      </w:r>
      <w:r w:rsidR="00924FB4">
        <w:rPr>
          <w:rFonts w:ascii="Arial" w:hAnsi="Arial" w:cs="Arial"/>
          <w:sz w:val="22"/>
          <w:szCs w:val="22"/>
        </w:rPr>
        <w:t xml:space="preserve">number </w:t>
      </w:r>
      <w:r w:rsidR="00CF4D8F">
        <w:rPr>
          <w:rFonts w:ascii="Arial" w:hAnsi="Arial" w:cs="Arial"/>
          <w:sz w:val="22"/>
          <w:szCs w:val="22"/>
        </w:rPr>
        <w:t>o</w:t>
      </w:r>
      <w:r w:rsidR="00924FB4">
        <w:rPr>
          <w:rFonts w:ascii="Arial" w:hAnsi="Arial" w:cs="Arial"/>
          <w:sz w:val="22"/>
          <w:szCs w:val="22"/>
        </w:rPr>
        <w:t xml:space="preserve">f </w:t>
      </w:r>
      <w:r w:rsidR="0015645F" w:rsidRPr="0015645F">
        <w:rPr>
          <w:rFonts w:ascii="Arial" w:hAnsi="Arial" w:cs="Arial"/>
          <w:sz w:val="22"/>
          <w:szCs w:val="22"/>
        </w:rPr>
        <w:t xml:space="preserve">working age population and pensioners with a </w:t>
      </w:r>
      <w:r w:rsidR="00F0507D">
        <w:rPr>
          <w:rFonts w:ascii="Arial" w:hAnsi="Arial" w:cs="Arial"/>
          <w:sz w:val="22"/>
          <w:szCs w:val="22"/>
        </w:rPr>
        <w:t xml:space="preserve">LLTID </w:t>
      </w:r>
      <w:r w:rsidR="0015645F" w:rsidRPr="0015645F">
        <w:rPr>
          <w:rFonts w:ascii="Arial" w:hAnsi="Arial" w:cs="Arial"/>
          <w:sz w:val="22"/>
          <w:szCs w:val="22"/>
        </w:rPr>
        <w:t>who are living in residential households.</w:t>
      </w:r>
      <w:r w:rsidR="0015645F">
        <w:rPr>
          <w:rFonts w:ascii="Arial" w:hAnsi="Arial" w:cs="Arial"/>
          <w:sz w:val="22"/>
          <w:szCs w:val="22"/>
        </w:rPr>
        <w:t xml:space="preserve"> </w:t>
      </w:r>
      <w:r w:rsidR="006F190C">
        <w:rPr>
          <w:rFonts w:ascii="Arial" w:hAnsi="Arial" w:cs="Arial"/>
          <w:sz w:val="22"/>
          <w:szCs w:val="22"/>
        </w:rPr>
        <w:t xml:space="preserve">While there are no projections for individuals with </w:t>
      </w:r>
      <w:r w:rsidR="00F0507D">
        <w:rPr>
          <w:rFonts w:ascii="Arial" w:hAnsi="Arial" w:cs="Arial"/>
          <w:sz w:val="22"/>
          <w:szCs w:val="22"/>
        </w:rPr>
        <w:t>LLTID</w:t>
      </w:r>
      <w:r w:rsidR="006F190C">
        <w:rPr>
          <w:rFonts w:ascii="Arial" w:hAnsi="Arial" w:cs="Arial"/>
          <w:sz w:val="22"/>
          <w:szCs w:val="22"/>
        </w:rPr>
        <w:t xml:space="preserve">, it is safe to assume that the projected population will include people under the age of 65 with </w:t>
      </w:r>
      <w:r w:rsidR="00F0507D">
        <w:rPr>
          <w:rFonts w:ascii="Arial" w:hAnsi="Arial" w:cs="Arial"/>
          <w:sz w:val="22"/>
          <w:szCs w:val="22"/>
        </w:rPr>
        <w:t>LLTID</w:t>
      </w:r>
      <w:r w:rsidR="006F190C">
        <w:rPr>
          <w:rFonts w:ascii="Arial" w:hAnsi="Arial" w:cs="Arial"/>
          <w:sz w:val="22"/>
          <w:szCs w:val="22"/>
        </w:rPr>
        <w:t>.</w:t>
      </w:r>
    </w:p>
    <w:p w:rsidR="004509DE" w:rsidRDefault="004509DE" w:rsidP="006F190C">
      <w:pPr>
        <w:spacing w:line="300" w:lineRule="atLeast"/>
        <w:ind w:left="709" w:hanging="709"/>
        <w:rPr>
          <w:rFonts w:ascii="Arial" w:hAnsi="Arial" w:cs="Arial"/>
          <w:sz w:val="22"/>
          <w:szCs w:val="22"/>
          <w:lang w:val="en-GB"/>
        </w:rPr>
      </w:pPr>
    </w:p>
    <w:p w:rsidR="004509DE" w:rsidRDefault="004509DE" w:rsidP="004509DE">
      <w:pPr>
        <w:spacing w:line="300"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Table </w:t>
      </w:r>
      <w:r w:rsidR="00F27047">
        <w:rPr>
          <w:rFonts w:ascii="Arial" w:hAnsi="Arial" w:cs="Arial"/>
          <w:sz w:val="22"/>
          <w:szCs w:val="22"/>
        </w:rPr>
        <w:t>9</w:t>
      </w:r>
      <w:r>
        <w:rPr>
          <w:rFonts w:ascii="Arial" w:hAnsi="Arial" w:cs="Arial"/>
          <w:sz w:val="22"/>
          <w:szCs w:val="22"/>
        </w:rPr>
        <w:t xml:space="preserve">: </w:t>
      </w:r>
      <w:r w:rsidR="00F0507D">
        <w:rPr>
          <w:rFonts w:ascii="Arial" w:hAnsi="Arial" w:cs="Arial"/>
          <w:sz w:val="22"/>
          <w:szCs w:val="22"/>
        </w:rPr>
        <w:t>Limiting long-term illness or disability</w:t>
      </w:r>
      <w:r>
        <w:rPr>
          <w:rFonts w:ascii="Arial" w:hAnsi="Arial" w:cs="Arial"/>
          <w:sz w:val="22"/>
          <w:szCs w:val="22"/>
        </w:rPr>
        <w:t>, Census 2011</w:t>
      </w:r>
    </w:p>
    <w:p w:rsidR="004509DE" w:rsidRDefault="004509DE" w:rsidP="004509DE">
      <w:pPr>
        <w:spacing w:line="300" w:lineRule="atLeast"/>
        <w:rPr>
          <w:rFonts w:ascii="Arial" w:hAnsi="Arial" w:cs="Arial"/>
          <w:sz w:val="22"/>
          <w:szCs w:val="22"/>
        </w:rPr>
      </w:pPr>
    </w:p>
    <w:tbl>
      <w:tblPr>
        <w:tblStyle w:val="TableGrid"/>
        <w:tblW w:w="10916" w:type="dxa"/>
        <w:tblInd w:w="-431" w:type="dxa"/>
        <w:tblLayout w:type="fixed"/>
        <w:tblLook w:val="04A0" w:firstRow="1" w:lastRow="0" w:firstColumn="1" w:lastColumn="0" w:noHBand="0" w:noVBand="1"/>
      </w:tblPr>
      <w:tblGrid>
        <w:gridCol w:w="1419"/>
        <w:gridCol w:w="1275"/>
        <w:gridCol w:w="1134"/>
        <w:gridCol w:w="1134"/>
        <w:gridCol w:w="1276"/>
        <w:gridCol w:w="1134"/>
        <w:gridCol w:w="1134"/>
        <w:gridCol w:w="1134"/>
        <w:gridCol w:w="1276"/>
      </w:tblGrid>
      <w:tr w:rsidR="0015645F" w:rsidRPr="00B921A9" w:rsidTr="00A6004D">
        <w:trPr>
          <w:trHeight w:val="322"/>
        </w:trPr>
        <w:tc>
          <w:tcPr>
            <w:tcW w:w="1419" w:type="dxa"/>
            <w:shd w:val="clear" w:color="auto" w:fill="D9D9D9" w:themeFill="background1" w:themeFillShade="D9"/>
          </w:tcPr>
          <w:p w:rsidR="0015645F" w:rsidRPr="00B921A9" w:rsidRDefault="0015645F" w:rsidP="0015645F">
            <w:pPr>
              <w:rPr>
                <w:rFonts w:ascii="Arial" w:hAnsi="Arial" w:cs="Arial"/>
                <w:b/>
                <w:sz w:val="20"/>
                <w:szCs w:val="20"/>
              </w:rPr>
            </w:pPr>
          </w:p>
        </w:tc>
        <w:tc>
          <w:tcPr>
            <w:tcW w:w="4819" w:type="dxa"/>
            <w:gridSpan w:val="4"/>
            <w:shd w:val="clear" w:color="auto" w:fill="D9D9D9" w:themeFill="background1" w:themeFillShade="D9"/>
          </w:tcPr>
          <w:p w:rsidR="0015645F" w:rsidRDefault="00734236" w:rsidP="0015645F">
            <w:pPr>
              <w:jc w:val="center"/>
              <w:rPr>
                <w:rFonts w:ascii="Arial" w:hAnsi="Arial" w:cs="Arial"/>
                <w:b/>
                <w:sz w:val="20"/>
                <w:szCs w:val="20"/>
              </w:rPr>
            </w:pPr>
            <w:r>
              <w:rPr>
                <w:rFonts w:ascii="Arial" w:hAnsi="Arial" w:cs="Arial"/>
                <w:b/>
                <w:sz w:val="20"/>
                <w:szCs w:val="20"/>
              </w:rPr>
              <w:t>All people</w:t>
            </w:r>
          </w:p>
          <w:p w:rsidR="0015645F" w:rsidRPr="00B921A9" w:rsidRDefault="0015645F" w:rsidP="0015645F">
            <w:pPr>
              <w:jc w:val="center"/>
              <w:rPr>
                <w:rFonts w:ascii="Arial" w:hAnsi="Arial" w:cs="Arial"/>
                <w:b/>
                <w:sz w:val="20"/>
                <w:szCs w:val="20"/>
              </w:rPr>
            </w:pPr>
          </w:p>
        </w:tc>
        <w:tc>
          <w:tcPr>
            <w:tcW w:w="4678" w:type="dxa"/>
            <w:gridSpan w:val="4"/>
            <w:shd w:val="clear" w:color="auto" w:fill="D9D9D9" w:themeFill="background1" w:themeFillShade="D9"/>
          </w:tcPr>
          <w:p w:rsidR="0015645F" w:rsidRDefault="0015645F" w:rsidP="0015645F">
            <w:pPr>
              <w:jc w:val="center"/>
              <w:rPr>
                <w:rFonts w:ascii="Arial" w:hAnsi="Arial" w:cs="Arial"/>
                <w:b/>
                <w:sz w:val="20"/>
                <w:szCs w:val="20"/>
              </w:rPr>
            </w:pPr>
            <w:r>
              <w:rPr>
                <w:rFonts w:ascii="Arial" w:hAnsi="Arial" w:cs="Arial"/>
                <w:b/>
                <w:sz w:val="20"/>
                <w:szCs w:val="20"/>
              </w:rPr>
              <w:t>65+</w:t>
            </w:r>
          </w:p>
          <w:p w:rsidR="0015645F" w:rsidRPr="00B921A9" w:rsidRDefault="0015645F" w:rsidP="0015645F">
            <w:pPr>
              <w:jc w:val="center"/>
              <w:rPr>
                <w:rFonts w:ascii="Arial" w:hAnsi="Arial" w:cs="Arial"/>
                <w:b/>
                <w:sz w:val="20"/>
                <w:szCs w:val="20"/>
              </w:rPr>
            </w:pPr>
          </w:p>
        </w:tc>
      </w:tr>
      <w:tr w:rsidR="0015645F" w:rsidRPr="00B921A9" w:rsidTr="00A6004D">
        <w:tc>
          <w:tcPr>
            <w:tcW w:w="1419" w:type="dxa"/>
          </w:tcPr>
          <w:p w:rsidR="0015645F" w:rsidRPr="00B921A9" w:rsidRDefault="0015645F" w:rsidP="0015645F">
            <w:pPr>
              <w:rPr>
                <w:rFonts w:ascii="Arial" w:hAnsi="Arial" w:cs="Arial"/>
                <w:b/>
                <w:sz w:val="20"/>
                <w:szCs w:val="20"/>
              </w:rPr>
            </w:pPr>
            <w:r w:rsidRPr="00B921A9">
              <w:rPr>
                <w:rFonts w:ascii="Arial" w:hAnsi="Arial" w:cs="Arial"/>
                <w:b/>
                <w:sz w:val="20"/>
                <w:szCs w:val="20"/>
              </w:rPr>
              <w:t>Are</w:t>
            </w:r>
            <w:r>
              <w:rPr>
                <w:rFonts w:ascii="Arial" w:hAnsi="Arial" w:cs="Arial"/>
                <w:b/>
                <w:sz w:val="20"/>
                <w:szCs w:val="20"/>
              </w:rPr>
              <w:t>a</w:t>
            </w:r>
          </w:p>
        </w:tc>
        <w:tc>
          <w:tcPr>
            <w:tcW w:w="1275" w:type="dxa"/>
          </w:tcPr>
          <w:p w:rsidR="0015645F" w:rsidRPr="00B921A9" w:rsidRDefault="0015645F" w:rsidP="0015645F">
            <w:pPr>
              <w:rPr>
                <w:rFonts w:ascii="Arial" w:hAnsi="Arial" w:cs="Arial"/>
                <w:b/>
                <w:sz w:val="20"/>
                <w:szCs w:val="20"/>
              </w:rPr>
            </w:pPr>
            <w:r>
              <w:rPr>
                <w:rFonts w:ascii="Arial" w:hAnsi="Arial" w:cs="Arial"/>
                <w:b/>
                <w:sz w:val="20"/>
                <w:szCs w:val="20"/>
              </w:rPr>
              <w:t>Total</w:t>
            </w:r>
          </w:p>
        </w:tc>
        <w:tc>
          <w:tcPr>
            <w:tcW w:w="1134" w:type="dxa"/>
          </w:tcPr>
          <w:p w:rsidR="0015645F" w:rsidRPr="00B921A9" w:rsidRDefault="0015645F" w:rsidP="0015645F">
            <w:pPr>
              <w:rPr>
                <w:rFonts w:ascii="Arial" w:hAnsi="Arial" w:cs="Arial"/>
                <w:b/>
                <w:sz w:val="20"/>
                <w:szCs w:val="20"/>
              </w:rPr>
            </w:pPr>
            <w:r w:rsidRPr="00B921A9">
              <w:rPr>
                <w:rFonts w:ascii="Arial" w:hAnsi="Arial" w:cs="Arial"/>
                <w:b/>
                <w:sz w:val="20"/>
                <w:szCs w:val="20"/>
              </w:rPr>
              <w:t>Limited a Lot</w:t>
            </w:r>
          </w:p>
        </w:tc>
        <w:tc>
          <w:tcPr>
            <w:tcW w:w="1134" w:type="dxa"/>
          </w:tcPr>
          <w:p w:rsidR="0015645F" w:rsidRPr="00B921A9" w:rsidRDefault="0015645F" w:rsidP="0015645F">
            <w:pPr>
              <w:rPr>
                <w:rFonts w:ascii="Arial" w:hAnsi="Arial" w:cs="Arial"/>
                <w:b/>
                <w:sz w:val="20"/>
                <w:szCs w:val="20"/>
              </w:rPr>
            </w:pPr>
            <w:r w:rsidRPr="00B921A9">
              <w:rPr>
                <w:rFonts w:ascii="Arial" w:hAnsi="Arial" w:cs="Arial"/>
                <w:b/>
                <w:sz w:val="20"/>
                <w:szCs w:val="20"/>
              </w:rPr>
              <w:t>Limited a Little</w:t>
            </w:r>
          </w:p>
        </w:tc>
        <w:tc>
          <w:tcPr>
            <w:tcW w:w="1276" w:type="dxa"/>
          </w:tcPr>
          <w:p w:rsidR="0015645F" w:rsidRPr="00B921A9" w:rsidRDefault="0015645F" w:rsidP="0015645F">
            <w:pPr>
              <w:rPr>
                <w:rFonts w:ascii="Arial" w:hAnsi="Arial" w:cs="Arial"/>
                <w:b/>
                <w:sz w:val="20"/>
                <w:szCs w:val="20"/>
              </w:rPr>
            </w:pPr>
            <w:r>
              <w:rPr>
                <w:rFonts w:ascii="Arial" w:hAnsi="Arial" w:cs="Arial"/>
                <w:b/>
                <w:sz w:val="20"/>
                <w:szCs w:val="20"/>
              </w:rPr>
              <w:t>N</w:t>
            </w:r>
            <w:r w:rsidRPr="00B921A9">
              <w:rPr>
                <w:rFonts w:ascii="Arial" w:hAnsi="Arial" w:cs="Arial"/>
                <w:b/>
                <w:sz w:val="20"/>
                <w:szCs w:val="20"/>
              </w:rPr>
              <w:t>ot</w:t>
            </w:r>
          </w:p>
          <w:p w:rsidR="0015645F" w:rsidRPr="00B921A9" w:rsidRDefault="0015645F" w:rsidP="0015645F">
            <w:pPr>
              <w:rPr>
                <w:rFonts w:ascii="Arial" w:hAnsi="Arial" w:cs="Arial"/>
                <w:b/>
                <w:sz w:val="20"/>
                <w:szCs w:val="20"/>
              </w:rPr>
            </w:pPr>
            <w:r w:rsidRPr="00B921A9">
              <w:rPr>
                <w:rFonts w:ascii="Arial" w:hAnsi="Arial" w:cs="Arial"/>
                <w:b/>
                <w:sz w:val="20"/>
                <w:szCs w:val="20"/>
              </w:rPr>
              <w:t>Limited</w:t>
            </w:r>
          </w:p>
        </w:tc>
        <w:tc>
          <w:tcPr>
            <w:tcW w:w="1134" w:type="dxa"/>
          </w:tcPr>
          <w:p w:rsidR="0015645F" w:rsidRPr="00B921A9" w:rsidRDefault="0015645F" w:rsidP="0015645F">
            <w:pPr>
              <w:rPr>
                <w:rFonts w:ascii="Arial" w:hAnsi="Arial" w:cs="Arial"/>
                <w:b/>
                <w:sz w:val="20"/>
                <w:szCs w:val="20"/>
              </w:rPr>
            </w:pPr>
            <w:r>
              <w:rPr>
                <w:rFonts w:ascii="Arial" w:hAnsi="Arial" w:cs="Arial"/>
                <w:b/>
                <w:sz w:val="20"/>
                <w:szCs w:val="20"/>
              </w:rPr>
              <w:t>Total</w:t>
            </w:r>
          </w:p>
        </w:tc>
        <w:tc>
          <w:tcPr>
            <w:tcW w:w="1134" w:type="dxa"/>
          </w:tcPr>
          <w:p w:rsidR="0015645F" w:rsidRPr="00B921A9" w:rsidRDefault="0015645F" w:rsidP="0015645F">
            <w:pPr>
              <w:rPr>
                <w:rFonts w:ascii="Arial" w:hAnsi="Arial" w:cs="Arial"/>
                <w:b/>
                <w:sz w:val="20"/>
                <w:szCs w:val="20"/>
              </w:rPr>
            </w:pPr>
            <w:r w:rsidRPr="00B921A9">
              <w:rPr>
                <w:rFonts w:ascii="Arial" w:hAnsi="Arial" w:cs="Arial"/>
                <w:b/>
                <w:sz w:val="20"/>
                <w:szCs w:val="20"/>
              </w:rPr>
              <w:t>Limited a Lot</w:t>
            </w:r>
          </w:p>
        </w:tc>
        <w:tc>
          <w:tcPr>
            <w:tcW w:w="1134" w:type="dxa"/>
          </w:tcPr>
          <w:p w:rsidR="0015645F" w:rsidRPr="00B921A9" w:rsidRDefault="0015645F" w:rsidP="0015645F">
            <w:pPr>
              <w:rPr>
                <w:rFonts w:ascii="Arial" w:hAnsi="Arial" w:cs="Arial"/>
                <w:b/>
                <w:sz w:val="20"/>
                <w:szCs w:val="20"/>
              </w:rPr>
            </w:pPr>
            <w:r w:rsidRPr="00B921A9">
              <w:rPr>
                <w:rFonts w:ascii="Arial" w:hAnsi="Arial" w:cs="Arial"/>
                <w:b/>
                <w:sz w:val="20"/>
                <w:szCs w:val="20"/>
              </w:rPr>
              <w:t>Limited a Little</w:t>
            </w:r>
          </w:p>
        </w:tc>
        <w:tc>
          <w:tcPr>
            <w:tcW w:w="1276" w:type="dxa"/>
          </w:tcPr>
          <w:p w:rsidR="0015645F" w:rsidRPr="00B921A9" w:rsidRDefault="0015645F" w:rsidP="0015645F">
            <w:pPr>
              <w:rPr>
                <w:rFonts w:ascii="Arial" w:hAnsi="Arial" w:cs="Arial"/>
                <w:b/>
                <w:sz w:val="20"/>
                <w:szCs w:val="20"/>
              </w:rPr>
            </w:pPr>
            <w:r>
              <w:rPr>
                <w:rFonts w:ascii="Arial" w:hAnsi="Arial" w:cs="Arial"/>
                <w:b/>
                <w:sz w:val="20"/>
                <w:szCs w:val="20"/>
              </w:rPr>
              <w:t>N</w:t>
            </w:r>
            <w:r w:rsidRPr="00B921A9">
              <w:rPr>
                <w:rFonts w:ascii="Arial" w:hAnsi="Arial" w:cs="Arial"/>
                <w:b/>
                <w:sz w:val="20"/>
                <w:szCs w:val="20"/>
              </w:rPr>
              <w:t>ot</w:t>
            </w:r>
          </w:p>
          <w:p w:rsidR="0015645F" w:rsidRPr="00B921A9" w:rsidRDefault="0015645F" w:rsidP="0015645F">
            <w:pPr>
              <w:rPr>
                <w:rFonts w:ascii="Arial" w:hAnsi="Arial" w:cs="Arial"/>
                <w:b/>
                <w:sz w:val="20"/>
                <w:szCs w:val="20"/>
              </w:rPr>
            </w:pPr>
            <w:r w:rsidRPr="00B921A9">
              <w:rPr>
                <w:rFonts w:ascii="Arial" w:hAnsi="Arial" w:cs="Arial"/>
                <w:b/>
                <w:sz w:val="20"/>
                <w:szCs w:val="20"/>
              </w:rPr>
              <w:t>Limited</w:t>
            </w:r>
          </w:p>
        </w:tc>
      </w:tr>
      <w:tr w:rsidR="0015645F" w:rsidRPr="00B921A9" w:rsidTr="00A6004D">
        <w:tc>
          <w:tcPr>
            <w:tcW w:w="1419" w:type="dxa"/>
          </w:tcPr>
          <w:p w:rsidR="0015645F" w:rsidRPr="00B921A9" w:rsidRDefault="0015645F" w:rsidP="0015645F">
            <w:pPr>
              <w:spacing w:line="300" w:lineRule="atLeast"/>
              <w:rPr>
                <w:rFonts w:ascii="Arial" w:hAnsi="Arial" w:cs="Arial"/>
                <w:sz w:val="20"/>
                <w:szCs w:val="20"/>
              </w:rPr>
            </w:pPr>
            <w:r w:rsidRPr="00B921A9">
              <w:rPr>
                <w:rFonts w:ascii="Arial" w:hAnsi="Arial" w:cs="Arial"/>
                <w:sz w:val="20"/>
                <w:szCs w:val="20"/>
              </w:rPr>
              <w:t>Birmingham</w:t>
            </w:r>
          </w:p>
        </w:tc>
        <w:tc>
          <w:tcPr>
            <w:tcW w:w="1275" w:type="dxa"/>
          </w:tcPr>
          <w:p w:rsidR="0015645F" w:rsidRDefault="00734236" w:rsidP="0015645F">
            <w:pPr>
              <w:spacing w:line="300" w:lineRule="atLeast"/>
              <w:rPr>
                <w:rFonts w:ascii="Arial" w:hAnsi="Arial" w:cs="Arial"/>
                <w:sz w:val="20"/>
                <w:szCs w:val="20"/>
              </w:rPr>
            </w:pPr>
            <w:r w:rsidRPr="00734236">
              <w:rPr>
                <w:rFonts w:ascii="Arial" w:hAnsi="Arial" w:cs="Arial"/>
                <w:sz w:val="20"/>
                <w:szCs w:val="20"/>
              </w:rPr>
              <w:t xml:space="preserve">1,051,366 </w:t>
            </w:r>
            <w:r w:rsidR="0015645F">
              <w:rPr>
                <w:rFonts w:ascii="Arial" w:hAnsi="Arial" w:cs="Arial"/>
                <w:sz w:val="20"/>
                <w:szCs w:val="20"/>
              </w:rPr>
              <w:t>(100%)</w:t>
            </w:r>
          </w:p>
        </w:tc>
        <w:tc>
          <w:tcPr>
            <w:tcW w:w="1134" w:type="dxa"/>
          </w:tcPr>
          <w:p w:rsidR="0015645F" w:rsidRPr="00B921A9" w:rsidRDefault="00734236" w:rsidP="0015645F">
            <w:pPr>
              <w:spacing w:line="300" w:lineRule="atLeast"/>
              <w:rPr>
                <w:rFonts w:ascii="Arial" w:hAnsi="Arial" w:cs="Arial"/>
                <w:sz w:val="20"/>
                <w:szCs w:val="20"/>
              </w:rPr>
            </w:pPr>
            <w:r w:rsidRPr="00734236">
              <w:rPr>
                <w:rFonts w:ascii="Arial" w:hAnsi="Arial" w:cs="Arial"/>
                <w:sz w:val="20"/>
                <w:szCs w:val="20"/>
              </w:rPr>
              <w:t xml:space="preserve">93,508 </w:t>
            </w:r>
            <w:r w:rsidR="0015645F">
              <w:rPr>
                <w:rFonts w:ascii="Arial" w:hAnsi="Arial" w:cs="Arial"/>
                <w:sz w:val="20"/>
                <w:szCs w:val="20"/>
              </w:rPr>
              <w:t>(</w:t>
            </w:r>
            <w:r>
              <w:rPr>
                <w:rFonts w:ascii="Arial" w:hAnsi="Arial" w:cs="Arial"/>
                <w:sz w:val="20"/>
                <w:szCs w:val="20"/>
              </w:rPr>
              <w:t>8.9</w:t>
            </w:r>
            <w:r w:rsidR="0015645F">
              <w:rPr>
                <w:rFonts w:ascii="Arial" w:hAnsi="Arial" w:cs="Arial"/>
                <w:sz w:val="20"/>
                <w:szCs w:val="20"/>
              </w:rPr>
              <w:t>%)</w:t>
            </w:r>
          </w:p>
        </w:tc>
        <w:tc>
          <w:tcPr>
            <w:tcW w:w="1134" w:type="dxa"/>
          </w:tcPr>
          <w:p w:rsidR="0015645F" w:rsidRPr="00B921A9" w:rsidRDefault="00734236" w:rsidP="0015645F">
            <w:pPr>
              <w:spacing w:line="300" w:lineRule="atLeast"/>
              <w:rPr>
                <w:rFonts w:ascii="Arial" w:hAnsi="Arial" w:cs="Arial"/>
                <w:sz w:val="20"/>
                <w:szCs w:val="20"/>
              </w:rPr>
            </w:pPr>
            <w:r w:rsidRPr="00734236">
              <w:rPr>
                <w:rFonts w:ascii="Arial" w:hAnsi="Arial" w:cs="Arial"/>
                <w:sz w:val="20"/>
                <w:szCs w:val="20"/>
              </w:rPr>
              <w:t xml:space="preserve">97,762 </w:t>
            </w:r>
            <w:r w:rsidR="0015645F">
              <w:rPr>
                <w:rFonts w:ascii="Arial" w:hAnsi="Arial" w:cs="Arial"/>
                <w:sz w:val="20"/>
                <w:szCs w:val="20"/>
              </w:rPr>
              <w:t>(</w:t>
            </w:r>
            <w:r>
              <w:rPr>
                <w:rFonts w:ascii="Arial" w:hAnsi="Arial" w:cs="Arial"/>
                <w:sz w:val="20"/>
                <w:szCs w:val="20"/>
              </w:rPr>
              <w:t>9.3</w:t>
            </w:r>
            <w:r w:rsidR="0015645F">
              <w:rPr>
                <w:rFonts w:ascii="Arial" w:hAnsi="Arial" w:cs="Arial"/>
                <w:sz w:val="20"/>
                <w:szCs w:val="20"/>
              </w:rPr>
              <w:t>%)</w:t>
            </w:r>
          </w:p>
        </w:tc>
        <w:tc>
          <w:tcPr>
            <w:tcW w:w="1276" w:type="dxa"/>
          </w:tcPr>
          <w:p w:rsidR="0015645F" w:rsidRPr="00B921A9" w:rsidRDefault="00734236" w:rsidP="0015645F">
            <w:pPr>
              <w:spacing w:line="300" w:lineRule="atLeast"/>
              <w:rPr>
                <w:rFonts w:ascii="Arial" w:hAnsi="Arial" w:cs="Arial"/>
                <w:sz w:val="20"/>
                <w:szCs w:val="20"/>
              </w:rPr>
            </w:pPr>
            <w:r w:rsidRPr="00734236">
              <w:rPr>
                <w:rFonts w:ascii="Arial" w:hAnsi="Arial" w:cs="Arial"/>
                <w:sz w:val="20"/>
                <w:szCs w:val="20"/>
              </w:rPr>
              <w:t xml:space="preserve">860,096 </w:t>
            </w:r>
            <w:r w:rsidR="0015645F">
              <w:rPr>
                <w:rFonts w:ascii="Arial" w:hAnsi="Arial" w:cs="Arial"/>
                <w:sz w:val="20"/>
                <w:szCs w:val="20"/>
              </w:rPr>
              <w:t>(8</w:t>
            </w:r>
            <w:r>
              <w:rPr>
                <w:rFonts w:ascii="Arial" w:hAnsi="Arial" w:cs="Arial"/>
                <w:sz w:val="20"/>
                <w:szCs w:val="20"/>
              </w:rPr>
              <w:t>1.8</w:t>
            </w:r>
            <w:r w:rsidR="0015645F">
              <w:rPr>
                <w:rFonts w:ascii="Arial" w:hAnsi="Arial" w:cs="Arial"/>
                <w:sz w:val="20"/>
                <w:szCs w:val="20"/>
              </w:rPr>
              <w:t>%)</w:t>
            </w:r>
          </w:p>
        </w:tc>
        <w:tc>
          <w:tcPr>
            <w:tcW w:w="1134" w:type="dxa"/>
          </w:tcPr>
          <w:p w:rsidR="0015645F" w:rsidRDefault="00A6004D" w:rsidP="0015645F">
            <w:pPr>
              <w:spacing w:line="300" w:lineRule="atLeast"/>
              <w:rPr>
                <w:rFonts w:ascii="Arial" w:hAnsi="Arial" w:cs="Arial"/>
                <w:sz w:val="20"/>
                <w:szCs w:val="20"/>
              </w:rPr>
            </w:pPr>
            <w:r w:rsidRPr="00A6004D">
              <w:rPr>
                <w:rFonts w:ascii="Arial" w:hAnsi="Arial" w:cs="Arial"/>
                <w:sz w:val="20"/>
                <w:szCs w:val="20"/>
              </w:rPr>
              <w:t>133,962</w:t>
            </w:r>
          </w:p>
          <w:p w:rsidR="00A6004D" w:rsidRDefault="00A6004D" w:rsidP="0015645F">
            <w:pPr>
              <w:spacing w:line="300" w:lineRule="atLeast"/>
              <w:rPr>
                <w:rFonts w:ascii="Arial" w:hAnsi="Arial" w:cs="Arial"/>
                <w:sz w:val="20"/>
                <w:szCs w:val="20"/>
              </w:rPr>
            </w:pPr>
            <w:r>
              <w:rPr>
                <w:rFonts w:ascii="Arial" w:hAnsi="Arial" w:cs="Arial"/>
                <w:sz w:val="20"/>
                <w:szCs w:val="20"/>
              </w:rPr>
              <w:t>(100%)</w:t>
            </w:r>
          </w:p>
        </w:tc>
        <w:tc>
          <w:tcPr>
            <w:tcW w:w="1134" w:type="dxa"/>
          </w:tcPr>
          <w:p w:rsidR="0015645F" w:rsidRDefault="0015645F" w:rsidP="0015645F">
            <w:pPr>
              <w:spacing w:line="300" w:lineRule="atLeast"/>
              <w:rPr>
                <w:rFonts w:ascii="Arial" w:hAnsi="Arial" w:cs="Arial"/>
                <w:sz w:val="20"/>
                <w:szCs w:val="20"/>
              </w:rPr>
            </w:pPr>
            <w:r>
              <w:rPr>
                <w:rFonts w:ascii="Arial" w:hAnsi="Arial" w:cs="Arial"/>
                <w:sz w:val="20"/>
                <w:szCs w:val="20"/>
              </w:rPr>
              <w:t>4</w:t>
            </w:r>
            <w:r w:rsidR="00A6004D">
              <w:rPr>
                <w:rFonts w:ascii="Arial" w:hAnsi="Arial" w:cs="Arial"/>
                <w:sz w:val="20"/>
                <w:szCs w:val="20"/>
              </w:rPr>
              <w:t>3,188</w:t>
            </w:r>
          </w:p>
          <w:p w:rsidR="0015645F" w:rsidRPr="00B921A9" w:rsidRDefault="0015645F" w:rsidP="0015645F">
            <w:pPr>
              <w:spacing w:line="300" w:lineRule="atLeast"/>
              <w:rPr>
                <w:rFonts w:ascii="Arial" w:hAnsi="Arial" w:cs="Arial"/>
                <w:sz w:val="20"/>
                <w:szCs w:val="20"/>
              </w:rPr>
            </w:pPr>
            <w:r>
              <w:rPr>
                <w:rFonts w:ascii="Arial" w:hAnsi="Arial" w:cs="Arial"/>
                <w:sz w:val="20"/>
                <w:szCs w:val="20"/>
              </w:rPr>
              <w:t>(</w:t>
            </w:r>
            <w:r w:rsidR="00A6004D">
              <w:rPr>
                <w:rFonts w:ascii="Arial" w:hAnsi="Arial" w:cs="Arial"/>
                <w:sz w:val="20"/>
                <w:szCs w:val="20"/>
              </w:rPr>
              <w:t>32.2</w:t>
            </w:r>
            <w:r>
              <w:rPr>
                <w:rFonts w:ascii="Arial" w:hAnsi="Arial" w:cs="Arial"/>
                <w:sz w:val="20"/>
                <w:szCs w:val="20"/>
              </w:rPr>
              <w:t>)</w:t>
            </w:r>
          </w:p>
        </w:tc>
        <w:tc>
          <w:tcPr>
            <w:tcW w:w="1134" w:type="dxa"/>
          </w:tcPr>
          <w:p w:rsidR="0015645F" w:rsidRDefault="00A6004D" w:rsidP="0015645F">
            <w:pPr>
              <w:spacing w:line="300" w:lineRule="atLeast"/>
              <w:rPr>
                <w:rFonts w:ascii="Arial" w:hAnsi="Arial" w:cs="Arial"/>
                <w:sz w:val="20"/>
                <w:szCs w:val="20"/>
              </w:rPr>
            </w:pPr>
            <w:r>
              <w:rPr>
                <w:rFonts w:ascii="Arial" w:hAnsi="Arial" w:cs="Arial"/>
                <w:sz w:val="20"/>
                <w:szCs w:val="20"/>
              </w:rPr>
              <w:t>36,597</w:t>
            </w:r>
          </w:p>
          <w:p w:rsidR="0015645F" w:rsidRPr="00B921A9" w:rsidRDefault="0015645F" w:rsidP="0015645F">
            <w:pPr>
              <w:spacing w:line="300" w:lineRule="atLeast"/>
              <w:rPr>
                <w:rFonts w:ascii="Arial" w:hAnsi="Arial" w:cs="Arial"/>
                <w:sz w:val="20"/>
                <w:szCs w:val="20"/>
              </w:rPr>
            </w:pPr>
            <w:r>
              <w:rPr>
                <w:rFonts w:ascii="Arial" w:hAnsi="Arial" w:cs="Arial"/>
                <w:sz w:val="20"/>
                <w:szCs w:val="20"/>
              </w:rPr>
              <w:t>(</w:t>
            </w:r>
            <w:r w:rsidR="00A6004D">
              <w:rPr>
                <w:rFonts w:ascii="Arial" w:hAnsi="Arial" w:cs="Arial"/>
                <w:sz w:val="20"/>
                <w:szCs w:val="20"/>
              </w:rPr>
              <w:t>27.3</w:t>
            </w:r>
            <w:r>
              <w:rPr>
                <w:rFonts w:ascii="Arial" w:hAnsi="Arial" w:cs="Arial"/>
                <w:sz w:val="20"/>
                <w:szCs w:val="20"/>
              </w:rPr>
              <w:t>%)</w:t>
            </w:r>
          </w:p>
        </w:tc>
        <w:tc>
          <w:tcPr>
            <w:tcW w:w="1276" w:type="dxa"/>
          </w:tcPr>
          <w:p w:rsidR="0015645F" w:rsidRDefault="0015645F" w:rsidP="0015645F">
            <w:pPr>
              <w:spacing w:line="300" w:lineRule="atLeast"/>
              <w:rPr>
                <w:rFonts w:ascii="Arial" w:hAnsi="Arial" w:cs="Arial"/>
                <w:sz w:val="20"/>
                <w:szCs w:val="20"/>
              </w:rPr>
            </w:pPr>
            <w:r>
              <w:rPr>
                <w:rFonts w:ascii="Arial" w:hAnsi="Arial" w:cs="Arial"/>
                <w:sz w:val="20"/>
                <w:szCs w:val="20"/>
              </w:rPr>
              <w:t>5</w:t>
            </w:r>
            <w:r w:rsidR="00A6004D">
              <w:rPr>
                <w:rFonts w:ascii="Arial" w:hAnsi="Arial" w:cs="Arial"/>
                <w:sz w:val="20"/>
                <w:szCs w:val="20"/>
              </w:rPr>
              <w:t>4,177</w:t>
            </w:r>
          </w:p>
          <w:p w:rsidR="0015645F" w:rsidRPr="00B921A9" w:rsidRDefault="0015645F" w:rsidP="0015645F">
            <w:pPr>
              <w:spacing w:line="300" w:lineRule="atLeast"/>
              <w:rPr>
                <w:rFonts w:ascii="Arial" w:hAnsi="Arial" w:cs="Arial"/>
                <w:sz w:val="20"/>
                <w:szCs w:val="20"/>
              </w:rPr>
            </w:pPr>
            <w:r>
              <w:rPr>
                <w:rFonts w:ascii="Arial" w:hAnsi="Arial" w:cs="Arial"/>
                <w:sz w:val="20"/>
                <w:szCs w:val="20"/>
              </w:rPr>
              <w:t>(</w:t>
            </w:r>
            <w:r w:rsidR="00A6004D">
              <w:rPr>
                <w:rFonts w:ascii="Arial" w:hAnsi="Arial" w:cs="Arial"/>
                <w:sz w:val="20"/>
                <w:szCs w:val="20"/>
              </w:rPr>
              <w:t>20.4</w:t>
            </w:r>
            <w:r>
              <w:rPr>
                <w:rFonts w:ascii="Arial" w:hAnsi="Arial" w:cs="Arial"/>
                <w:sz w:val="20"/>
                <w:szCs w:val="20"/>
              </w:rPr>
              <w:t>%)</w:t>
            </w:r>
          </w:p>
        </w:tc>
      </w:tr>
      <w:tr w:rsidR="0015645F" w:rsidRPr="00B921A9" w:rsidTr="00A6004D">
        <w:tc>
          <w:tcPr>
            <w:tcW w:w="1419" w:type="dxa"/>
          </w:tcPr>
          <w:p w:rsidR="0015645F" w:rsidRPr="00B921A9" w:rsidRDefault="0015645F" w:rsidP="0015645F">
            <w:pPr>
              <w:spacing w:line="300" w:lineRule="atLeast"/>
              <w:rPr>
                <w:rFonts w:ascii="Arial" w:hAnsi="Arial" w:cs="Arial"/>
                <w:sz w:val="20"/>
                <w:szCs w:val="20"/>
              </w:rPr>
            </w:pPr>
            <w:r w:rsidRPr="00B921A9">
              <w:rPr>
                <w:rFonts w:ascii="Arial" w:hAnsi="Arial" w:cs="Arial"/>
                <w:sz w:val="20"/>
                <w:szCs w:val="20"/>
              </w:rPr>
              <w:t>England</w:t>
            </w:r>
          </w:p>
        </w:tc>
        <w:tc>
          <w:tcPr>
            <w:tcW w:w="1275" w:type="dxa"/>
          </w:tcPr>
          <w:p w:rsidR="0015645F" w:rsidRDefault="00734236" w:rsidP="0015645F">
            <w:pPr>
              <w:spacing w:line="300" w:lineRule="atLeast"/>
              <w:rPr>
                <w:rFonts w:ascii="Arial" w:hAnsi="Arial" w:cs="Arial"/>
                <w:sz w:val="20"/>
                <w:szCs w:val="20"/>
              </w:rPr>
            </w:pPr>
            <w:r w:rsidRPr="00734236">
              <w:rPr>
                <w:rFonts w:ascii="Arial" w:hAnsi="Arial" w:cs="Arial"/>
                <w:sz w:val="20"/>
                <w:szCs w:val="20"/>
              </w:rPr>
              <w:t xml:space="preserve">52,059,931 </w:t>
            </w:r>
            <w:r w:rsidR="0015645F">
              <w:rPr>
                <w:rFonts w:ascii="Arial" w:hAnsi="Arial" w:cs="Arial"/>
                <w:sz w:val="20"/>
                <w:szCs w:val="20"/>
              </w:rPr>
              <w:t>(</w:t>
            </w:r>
            <w:r>
              <w:rPr>
                <w:rFonts w:ascii="Arial" w:hAnsi="Arial" w:cs="Arial"/>
                <w:sz w:val="20"/>
                <w:szCs w:val="20"/>
              </w:rPr>
              <w:t>100</w:t>
            </w:r>
            <w:r w:rsidR="0015645F">
              <w:rPr>
                <w:rFonts w:ascii="Arial" w:hAnsi="Arial" w:cs="Arial"/>
                <w:sz w:val="20"/>
                <w:szCs w:val="20"/>
              </w:rPr>
              <w:t>%)</w:t>
            </w:r>
          </w:p>
        </w:tc>
        <w:tc>
          <w:tcPr>
            <w:tcW w:w="1134" w:type="dxa"/>
          </w:tcPr>
          <w:p w:rsidR="0015645F" w:rsidRPr="00B921A9" w:rsidRDefault="00734236" w:rsidP="0015645F">
            <w:pPr>
              <w:spacing w:line="300" w:lineRule="atLeast"/>
              <w:rPr>
                <w:rFonts w:ascii="Arial" w:hAnsi="Arial" w:cs="Arial"/>
                <w:sz w:val="20"/>
                <w:szCs w:val="20"/>
              </w:rPr>
            </w:pPr>
            <w:r w:rsidRPr="00734236">
              <w:rPr>
                <w:rFonts w:ascii="Arial" w:hAnsi="Arial" w:cs="Arial"/>
                <w:sz w:val="20"/>
                <w:szCs w:val="20"/>
              </w:rPr>
              <w:t xml:space="preserve">4,098,808 </w:t>
            </w:r>
            <w:r w:rsidR="0015645F">
              <w:rPr>
                <w:rFonts w:ascii="Arial" w:hAnsi="Arial" w:cs="Arial"/>
                <w:sz w:val="20"/>
                <w:szCs w:val="20"/>
              </w:rPr>
              <w:t>(</w:t>
            </w:r>
            <w:r>
              <w:rPr>
                <w:rFonts w:ascii="Arial" w:hAnsi="Arial" w:cs="Arial"/>
                <w:sz w:val="20"/>
                <w:szCs w:val="20"/>
              </w:rPr>
              <w:t>7.9</w:t>
            </w:r>
            <w:r w:rsidR="0015645F">
              <w:rPr>
                <w:rFonts w:ascii="Arial" w:hAnsi="Arial" w:cs="Arial"/>
                <w:sz w:val="20"/>
                <w:szCs w:val="20"/>
              </w:rPr>
              <w:t>%)</w:t>
            </w:r>
          </w:p>
        </w:tc>
        <w:tc>
          <w:tcPr>
            <w:tcW w:w="1134" w:type="dxa"/>
          </w:tcPr>
          <w:p w:rsidR="0015645F" w:rsidRPr="00B921A9" w:rsidRDefault="00734236" w:rsidP="0015645F">
            <w:pPr>
              <w:tabs>
                <w:tab w:val="left" w:pos="752"/>
              </w:tabs>
              <w:spacing w:line="300" w:lineRule="atLeast"/>
              <w:rPr>
                <w:rFonts w:ascii="Arial" w:hAnsi="Arial" w:cs="Arial"/>
                <w:sz w:val="20"/>
                <w:szCs w:val="20"/>
              </w:rPr>
            </w:pPr>
            <w:r w:rsidRPr="00734236">
              <w:rPr>
                <w:rFonts w:ascii="Arial" w:hAnsi="Arial" w:cs="Arial"/>
                <w:sz w:val="20"/>
                <w:szCs w:val="20"/>
              </w:rPr>
              <w:t xml:space="preserve">4,838,146 </w:t>
            </w:r>
            <w:r w:rsidR="0015645F">
              <w:rPr>
                <w:rFonts w:ascii="Arial" w:hAnsi="Arial" w:cs="Arial"/>
                <w:sz w:val="20"/>
                <w:szCs w:val="20"/>
              </w:rPr>
              <w:t>(</w:t>
            </w:r>
            <w:r>
              <w:rPr>
                <w:rFonts w:ascii="Arial" w:hAnsi="Arial" w:cs="Arial"/>
                <w:sz w:val="20"/>
                <w:szCs w:val="20"/>
              </w:rPr>
              <w:t>9.3</w:t>
            </w:r>
            <w:r w:rsidR="0015645F">
              <w:rPr>
                <w:rFonts w:ascii="Arial" w:hAnsi="Arial" w:cs="Arial"/>
                <w:sz w:val="20"/>
                <w:szCs w:val="20"/>
              </w:rPr>
              <w:t>%)</w:t>
            </w:r>
          </w:p>
        </w:tc>
        <w:tc>
          <w:tcPr>
            <w:tcW w:w="1276" w:type="dxa"/>
          </w:tcPr>
          <w:p w:rsidR="0015645F" w:rsidRPr="00B921A9" w:rsidRDefault="00734236" w:rsidP="0015645F">
            <w:pPr>
              <w:spacing w:line="300" w:lineRule="atLeast"/>
              <w:rPr>
                <w:rFonts w:ascii="Arial" w:hAnsi="Arial" w:cs="Arial"/>
                <w:sz w:val="20"/>
                <w:szCs w:val="20"/>
              </w:rPr>
            </w:pPr>
            <w:r w:rsidRPr="00734236">
              <w:rPr>
                <w:rFonts w:ascii="Arial" w:hAnsi="Arial" w:cs="Arial"/>
                <w:sz w:val="20"/>
                <w:szCs w:val="20"/>
              </w:rPr>
              <w:t xml:space="preserve">43,122,977 </w:t>
            </w:r>
            <w:r w:rsidR="0015645F">
              <w:rPr>
                <w:rFonts w:ascii="Arial" w:hAnsi="Arial" w:cs="Arial"/>
                <w:sz w:val="20"/>
                <w:szCs w:val="20"/>
              </w:rPr>
              <w:t>(</w:t>
            </w:r>
            <w:r>
              <w:rPr>
                <w:rFonts w:ascii="Arial" w:hAnsi="Arial" w:cs="Arial"/>
                <w:sz w:val="20"/>
                <w:szCs w:val="20"/>
              </w:rPr>
              <w:t>82.8</w:t>
            </w:r>
            <w:r w:rsidR="0015645F">
              <w:rPr>
                <w:rFonts w:ascii="Arial" w:hAnsi="Arial" w:cs="Arial"/>
                <w:sz w:val="20"/>
                <w:szCs w:val="20"/>
              </w:rPr>
              <w:t>%)</w:t>
            </w:r>
          </w:p>
        </w:tc>
        <w:tc>
          <w:tcPr>
            <w:tcW w:w="1134" w:type="dxa"/>
          </w:tcPr>
          <w:p w:rsidR="0015645F" w:rsidRDefault="00A6004D" w:rsidP="0015645F">
            <w:pPr>
              <w:spacing w:line="300" w:lineRule="atLeast"/>
              <w:rPr>
                <w:rFonts w:ascii="Arial" w:hAnsi="Arial" w:cs="Arial"/>
                <w:sz w:val="20"/>
                <w:szCs w:val="20"/>
              </w:rPr>
            </w:pPr>
            <w:r w:rsidRPr="00A6004D">
              <w:rPr>
                <w:rFonts w:ascii="Arial" w:hAnsi="Arial" w:cs="Arial"/>
                <w:sz w:val="20"/>
                <w:szCs w:val="20"/>
              </w:rPr>
              <w:t>8,343,008</w:t>
            </w:r>
            <w:r>
              <w:rPr>
                <w:rFonts w:ascii="Arial" w:hAnsi="Arial" w:cs="Arial"/>
                <w:sz w:val="20"/>
                <w:szCs w:val="20"/>
              </w:rPr>
              <w:t xml:space="preserve"> (100%)</w:t>
            </w:r>
          </w:p>
        </w:tc>
        <w:tc>
          <w:tcPr>
            <w:tcW w:w="1134" w:type="dxa"/>
          </w:tcPr>
          <w:p w:rsidR="0015645F" w:rsidRDefault="00A6004D" w:rsidP="0015645F">
            <w:pPr>
              <w:spacing w:line="300" w:lineRule="atLeast"/>
              <w:rPr>
                <w:rFonts w:ascii="Arial" w:hAnsi="Arial" w:cs="Arial"/>
                <w:sz w:val="20"/>
                <w:szCs w:val="20"/>
              </w:rPr>
            </w:pPr>
            <w:r>
              <w:rPr>
                <w:rFonts w:ascii="Arial" w:hAnsi="Arial" w:cs="Arial"/>
                <w:sz w:val="20"/>
                <w:szCs w:val="20"/>
              </w:rPr>
              <w:t>2,085,119</w:t>
            </w:r>
          </w:p>
          <w:p w:rsidR="0015645F" w:rsidRPr="00B921A9" w:rsidRDefault="0015645F" w:rsidP="0015645F">
            <w:pPr>
              <w:spacing w:line="300" w:lineRule="atLeast"/>
              <w:rPr>
                <w:rFonts w:ascii="Arial" w:hAnsi="Arial" w:cs="Arial"/>
                <w:sz w:val="20"/>
                <w:szCs w:val="20"/>
              </w:rPr>
            </w:pPr>
            <w:r>
              <w:rPr>
                <w:rFonts w:ascii="Arial" w:hAnsi="Arial" w:cs="Arial"/>
                <w:sz w:val="20"/>
                <w:szCs w:val="20"/>
              </w:rPr>
              <w:t>(</w:t>
            </w:r>
            <w:r w:rsidR="00A6004D">
              <w:rPr>
                <w:rFonts w:ascii="Arial" w:hAnsi="Arial" w:cs="Arial"/>
                <w:sz w:val="20"/>
                <w:szCs w:val="20"/>
              </w:rPr>
              <w:t>25</w:t>
            </w:r>
            <w:r>
              <w:rPr>
                <w:rFonts w:ascii="Arial" w:hAnsi="Arial" w:cs="Arial"/>
                <w:sz w:val="20"/>
                <w:szCs w:val="20"/>
              </w:rPr>
              <w:t>%)</w:t>
            </w:r>
          </w:p>
        </w:tc>
        <w:tc>
          <w:tcPr>
            <w:tcW w:w="1134" w:type="dxa"/>
          </w:tcPr>
          <w:p w:rsidR="0015645F" w:rsidRDefault="0015645F" w:rsidP="0015645F">
            <w:pPr>
              <w:spacing w:line="300" w:lineRule="atLeast"/>
              <w:rPr>
                <w:rFonts w:ascii="Arial" w:hAnsi="Arial" w:cs="Arial"/>
                <w:sz w:val="20"/>
                <w:szCs w:val="20"/>
              </w:rPr>
            </w:pPr>
            <w:r>
              <w:rPr>
                <w:rFonts w:ascii="Arial" w:hAnsi="Arial" w:cs="Arial"/>
                <w:sz w:val="20"/>
                <w:szCs w:val="20"/>
              </w:rPr>
              <w:t>2,</w:t>
            </w:r>
            <w:r w:rsidR="00A6004D">
              <w:rPr>
                <w:rFonts w:ascii="Arial" w:hAnsi="Arial" w:cs="Arial"/>
                <w:sz w:val="20"/>
                <w:szCs w:val="20"/>
              </w:rPr>
              <w:t>212,813</w:t>
            </w:r>
          </w:p>
          <w:p w:rsidR="0015645F" w:rsidRPr="00B921A9" w:rsidRDefault="00A6004D" w:rsidP="0015645F">
            <w:pPr>
              <w:tabs>
                <w:tab w:val="left" w:pos="752"/>
              </w:tabs>
              <w:spacing w:line="300" w:lineRule="atLeast"/>
              <w:rPr>
                <w:rFonts w:ascii="Arial" w:hAnsi="Arial" w:cs="Arial"/>
                <w:sz w:val="20"/>
                <w:szCs w:val="20"/>
              </w:rPr>
            </w:pPr>
            <w:r>
              <w:rPr>
                <w:rFonts w:ascii="Arial" w:hAnsi="Arial" w:cs="Arial"/>
                <w:sz w:val="20"/>
                <w:szCs w:val="20"/>
              </w:rPr>
              <w:t>26.5</w:t>
            </w:r>
            <w:r w:rsidR="0015645F">
              <w:rPr>
                <w:rFonts w:ascii="Arial" w:hAnsi="Arial" w:cs="Arial"/>
                <w:sz w:val="20"/>
                <w:szCs w:val="20"/>
              </w:rPr>
              <w:t>%)</w:t>
            </w:r>
          </w:p>
        </w:tc>
        <w:tc>
          <w:tcPr>
            <w:tcW w:w="1276" w:type="dxa"/>
          </w:tcPr>
          <w:p w:rsidR="0015645F" w:rsidRDefault="00A6004D" w:rsidP="0015645F">
            <w:pPr>
              <w:spacing w:line="300" w:lineRule="atLeast"/>
              <w:rPr>
                <w:rFonts w:ascii="Arial" w:hAnsi="Arial" w:cs="Arial"/>
                <w:sz w:val="20"/>
                <w:szCs w:val="20"/>
              </w:rPr>
            </w:pPr>
            <w:r>
              <w:rPr>
                <w:rFonts w:ascii="Arial" w:hAnsi="Arial" w:cs="Arial"/>
                <w:sz w:val="20"/>
                <w:szCs w:val="20"/>
              </w:rPr>
              <w:t>4,405,076</w:t>
            </w:r>
          </w:p>
          <w:p w:rsidR="0015645F" w:rsidRPr="00B921A9" w:rsidRDefault="00A6004D" w:rsidP="0015645F">
            <w:pPr>
              <w:spacing w:line="300" w:lineRule="atLeast"/>
              <w:rPr>
                <w:rFonts w:ascii="Arial" w:hAnsi="Arial" w:cs="Arial"/>
                <w:sz w:val="20"/>
                <w:szCs w:val="20"/>
              </w:rPr>
            </w:pPr>
            <w:r>
              <w:rPr>
                <w:rFonts w:ascii="Arial" w:hAnsi="Arial" w:cs="Arial"/>
                <w:sz w:val="20"/>
                <w:szCs w:val="20"/>
              </w:rPr>
              <w:t>(48.5</w:t>
            </w:r>
            <w:r w:rsidR="0015645F">
              <w:rPr>
                <w:rFonts w:ascii="Arial" w:hAnsi="Arial" w:cs="Arial"/>
                <w:sz w:val="20"/>
                <w:szCs w:val="20"/>
              </w:rPr>
              <w:t>%)</w:t>
            </w:r>
          </w:p>
        </w:tc>
      </w:tr>
      <w:bookmarkEnd w:id="2"/>
    </w:tbl>
    <w:p w:rsidR="004509DE" w:rsidRDefault="004509DE" w:rsidP="004509DE">
      <w:pPr>
        <w:spacing w:line="300" w:lineRule="atLeast"/>
        <w:rPr>
          <w:rFonts w:ascii="Arial" w:hAnsi="Arial" w:cs="Arial"/>
          <w:sz w:val="22"/>
          <w:szCs w:val="22"/>
        </w:rPr>
      </w:pPr>
    </w:p>
    <w:p w:rsidR="004509DE" w:rsidRDefault="004509DE" w:rsidP="004509DE">
      <w:pPr>
        <w:spacing w:line="300" w:lineRule="atLeast"/>
        <w:ind w:left="709" w:hanging="709"/>
        <w:rPr>
          <w:rFonts w:ascii="Arial" w:hAnsi="Arial" w:cs="Arial"/>
          <w:sz w:val="22"/>
          <w:szCs w:val="22"/>
        </w:rPr>
      </w:pPr>
      <w:r>
        <w:rPr>
          <w:rFonts w:ascii="Arial" w:hAnsi="Arial" w:cs="Arial"/>
          <w:sz w:val="22"/>
          <w:szCs w:val="22"/>
        </w:rPr>
        <w:t>4.1</w:t>
      </w:r>
      <w:r w:rsidR="00F626FA">
        <w:rPr>
          <w:rFonts w:ascii="Arial" w:hAnsi="Arial" w:cs="Arial"/>
          <w:sz w:val="22"/>
          <w:szCs w:val="22"/>
        </w:rPr>
        <w:t>1</w:t>
      </w:r>
      <w:r>
        <w:rPr>
          <w:rFonts w:ascii="Arial" w:hAnsi="Arial" w:cs="Arial"/>
          <w:sz w:val="22"/>
          <w:szCs w:val="22"/>
        </w:rPr>
        <w:tab/>
        <w:t xml:space="preserve">The Census 2011 also recorded the number of people who provide unpaid care. The provision of unpaid care is assumed to take place in either the dwellinghouse of the person given care or the dwellinghouse of the </w:t>
      </w:r>
      <w:proofErr w:type="spellStart"/>
      <w:r>
        <w:rPr>
          <w:rFonts w:ascii="Arial" w:hAnsi="Arial" w:cs="Arial"/>
          <w:sz w:val="22"/>
          <w:szCs w:val="22"/>
        </w:rPr>
        <w:t>carer</w:t>
      </w:r>
      <w:proofErr w:type="spellEnd"/>
      <w:r>
        <w:rPr>
          <w:rFonts w:ascii="Arial" w:hAnsi="Arial" w:cs="Arial"/>
          <w:sz w:val="22"/>
          <w:szCs w:val="22"/>
        </w:rPr>
        <w:t xml:space="preserve"> if they live with the person being cared for (rather than a care home or specialist accommodation). In either case, the provision of </w:t>
      </w:r>
      <w:r>
        <w:rPr>
          <w:rFonts w:ascii="Arial" w:hAnsi="Arial" w:cs="Arial"/>
          <w:sz w:val="22"/>
          <w:szCs w:val="22"/>
        </w:rPr>
        <w:lastRenderedPageBreak/>
        <w:t xml:space="preserve">accessible and adaptable homes </w:t>
      </w:r>
      <w:proofErr w:type="gramStart"/>
      <w:r>
        <w:rPr>
          <w:rFonts w:ascii="Arial" w:hAnsi="Arial" w:cs="Arial"/>
          <w:sz w:val="22"/>
          <w:szCs w:val="22"/>
        </w:rPr>
        <w:t>is considered to be</w:t>
      </w:r>
      <w:proofErr w:type="gramEnd"/>
      <w:r>
        <w:rPr>
          <w:rFonts w:ascii="Arial" w:hAnsi="Arial" w:cs="Arial"/>
          <w:sz w:val="22"/>
          <w:szCs w:val="22"/>
        </w:rPr>
        <w:t xml:space="preserve"> important to ensure people can either continue to live independently or in suitable accommodation with their </w:t>
      </w:r>
      <w:proofErr w:type="spellStart"/>
      <w:r>
        <w:rPr>
          <w:rFonts w:ascii="Arial" w:hAnsi="Arial" w:cs="Arial"/>
          <w:sz w:val="22"/>
          <w:szCs w:val="22"/>
        </w:rPr>
        <w:t>carer</w:t>
      </w:r>
      <w:proofErr w:type="spellEnd"/>
      <w:r>
        <w:rPr>
          <w:rFonts w:ascii="Arial" w:hAnsi="Arial" w:cs="Arial"/>
          <w:sz w:val="22"/>
          <w:szCs w:val="22"/>
        </w:rPr>
        <w:t>. A total of 107,380 people in Birmingham provided unpaid care (1-50+ hours) to someone else.</w:t>
      </w:r>
      <w:r w:rsidR="00A6004D">
        <w:rPr>
          <w:rStyle w:val="FootnoteReference"/>
          <w:rFonts w:ascii="Arial" w:hAnsi="Arial" w:cs="Arial"/>
          <w:sz w:val="22"/>
          <w:szCs w:val="22"/>
        </w:rPr>
        <w:footnoteReference w:id="10"/>
      </w:r>
      <w:r w:rsidR="00D67F60">
        <w:rPr>
          <w:rFonts w:ascii="Arial" w:hAnsi="Arial" w:cs="Arial"/>
          <w:sz w:val="22"/>
          <w:szCs w:val="22"/>
        </w:rPr>
        <w:t xml:space="preserve"> </w:t>
      </w:r>
    </w:p>
    <w:p w:rsidR="006F190C" w:rsidRPr="00682FF7" w:rsidRDefault="006F190C" w:rsidP="004509DE">
      <w:pPr>
        <w:spacing w:line="300" w:lineRule="atLeast"/>
        <w:rPr>
          <w:rFonts w:ascii="Arial" w:hAnsi="Arial" w:cs="Arial"/>
          <w:sz w:val="22"/>
          <w:szCs w:val="22"/>
          <w:lang w:val="en-GB"/>
        </w:rPr>
      </w:pPr>
    </w:p>
    <w:p w:rsidR="004509DE" w:rsidRPr="0012119F" w:rsidRDefault="004509DE" w:rsidP="004509DE">
      <w:pPr>
        <w:spacing w:after="120" w:line="300" w:lineRule="atLeast"/>
        <w:ind w:left="709" w:hanging="709"/>
        <w:rPr>
          <w:rFonts w:ascii="Arial" w:hAnsi="Arial" w:cs="Arial"/>
          <w:sz w:val="22"/>
          <w:szCs w:val="22"/>
        </w:rPr>
      </w:pPr>
      <w:r>
        <w:rPr>
          <w:rFonts w:ascii="Arial" w:hAnsi="Arial" w:cs="Arial"/>
          <w:sz w:val="22"/>
          <w:szCs w:val="22"/>
        </w:rPr>
        <w:t>4.1</w:t>
      </w:r>
      <w:r w:rsidR="00F626FA">
        <w:rPr>
          <w:rFonts w:ascii="Arial" w:hAnsi="Arial" w:cs="Arial"/>
          <w:sz w:val="22"/>
          <w:szCs w:val="22"/>
        </w:rPr>
        <w:t>2</w:t>
      </w:r>
      <w:r>
        <w:rPr>
          <w:rFonts w:ascii="Arial" w:hAnsi="Arial" w:cs="Arial"/>
          <w:sz w:val="22"/>
          <w:szCs w:val="22"/>
        </w:rPr>
        <w:tab/>
        <w:t>POPPI</w:t>
      </w:r>
      <w:r>
        <w:rPr>
          <w:rStyle w:val="FootnoteReference"/>
          <w:rFonts w:ascii="Arial" w:hAnsi="Arial" w:cs="Arial"/>
          <w:sz w:val="22"/>
          <w:szCs w:val="22"/>
        </w:rPr>
        <w:footnoteReference w:id="11"/>
      </w:r>
      <w:r>
        <w:rPr>
          <w:rFonts w:ascii="Arial" w:hAnsi="Arial" w:cs="Arial"/>
          <w:sz w:val="22"/>
          <w:szCs w:val="22"/>
        </w:rPr>
        <w:t xml:space="preserve"> and PANSI</w:t>
      </w:r>
      <w:r>
        <w:rPr>
          <w:rStyle w:val="FootnoteReference"/>
          <w:rFonts w:ascii="Arial" w:hAnsi="Arial" w:cs="Arial"/>
          <w:sz w:val="22"/>
          <w:szCs w:val="22"/>
        </w:rPr>
        <w:footnoteReference w:id="12"/>
      </w:r>
      <w:r>
        <w:rPr>
          <w:rFonts w:ascii="Arial" w:hAnsi="Arial" w:cs="Arial"/>
          <w:sz w:val="22"/>
          <w:szCs w:val="22"/>
        </w:rPr>
        <w:t xml:space="preserve"> provide particularly useful information on future changes in the characteristics of the population with regards to age and disability. In terms of older persons, the POPPI database (2019) suggest that for Birmingham:</w:t>
      </w:r>
    </w:p>
    <w:p w:rsidR="004509DE" w:rsidRPr="00BB169C" w:rsidRDefault="004509DE" w:rsidP="00071525">
      <w:pPr>
        <w:pStyle w:val="ListParagraph"/>
        <w:numPr>
          <w:ilvl w:val="0"/>
          <w:numId w:val="7"/>
        </w:numPr>
        <w:spacing w:line="300" w:lineRule="atLeast"/>
        <w:rPr>
          <w:rFonts w:ascii="Arial" w:hAnsi="Arial" w:cs="Arial"/>
          <w:sz w:val="22"/>
          <w:szCs w:val="22"/>
        </w:rPr>
      </w:pPr>
      <w:r>
        <w:rPr>
          <w:rFonts w:ascii="Arial" w:hAnsi="Arial" w:cs="Arial"/>
          <w:sz w:val="22"/>
          <w:szCs w:val="22"/>
        </w:rPr>
        <w:t>There will be an increase in the number of people aged 65+ from 1</w:t>
      </w:r>
      <w:r w:rsidR="00CF4D8F">
        <w:rPr>
          <w:rFonts w:ascii="Arial" w:hAnsi="Arial" w:cs="Arial"/>
          <w:sz w:val="22"/>
          <w:szCs w:val="22"/>
        </w:rPr>
        <w:t>3</w:t>
      </w:r>
      <w:r>
        <w:rPr>
          <w:rFonts w:ascii="Arial" w:hAnsi="Arial" w:cs="Arial"/>
          <w:sz w:val="22"/>
          <w:szCs w:val="22"/>
        </w:rPr>
        <w:t>% of the total Birmingham population in 2019 to 1</w:t>
      </w:r>
      <w:r w:rsidR="00CF4D8F">
        <w:rPr>
          <w:rFonts w:ascii="Arial" w:hAnsi="Arial" w:cs="Arial"/>
          <w:sz w:val="22"/>
          <w:szCs w:val="22"/>
        </w:rPr>
        <w:t>4.5</w:t>
      </w:r>
      <w:r>
        <w:rPr>
          <w:rFonts w:ascii="Arial" w:hAnsi="Arial" w:cs="Arial"/>
          <w:sz w:val="22"/>
          <w:szCs w:val="22"/>
        </w:rPr>
        <w:t>% in 203</w:t>
      </w:r>
      <w:r w:rsidR="00CF4D8F">
        <w:rPr>
          <w:rFonts w:ascii="Arial" w:hAnsi="Arial" w:cs="Arial"/>
          <w:sz w:val="22"/>
          <w:szCs w:val="22"/>
        </w:rPr>
        <w:t>0</w:t>
      </w:r>
      <w:r>
        <w:rPr>
          <w:rFonts w:ascii="Arial" w:hAnsi="Arial" w:cs="Arial"/>
          <w:sz w:val="22"/>
          <w:szCs w:val="22"/>
        </w:rPr>
        <w:t>.</w:t>
      </w:r>
      <w:r w:rsidR="00CF4D8F">
        <w:rPr>
          <w:rFonts w:ascii="Arial" w:hAnsi="Arial" w:cs="Arial"/>
          <w:sz w:val="22"/>
          <w:szCs w:val="22"/>
        </w:rPr>
        <w:t xml:space="preserve"> This represents a 15.5% increase.</w:t>
      </w:r>
    </w:p>
    <w:p w:rsidR="004509DE" w:rsidRDefault="004509DE" w:rsidP="00071525">
      <w:pPr>
        <w:pStyle w:val="ListParagraph"/>
        <w:numPr>
          <w:ilvl w:val="0"/>
          <w:numId w:val="7"/>
        </w:numPr>
        <w:spacing w:line="300" w:lineRule="atLeast"/>
        <w:rPr>
          <w:rFonts w:ascii="Arial" w:hAnsi="Arial" w:cs="Arial"/>
          <w:sz w:val="22"/>
          <w:szCs w:val="22"/>
        </w:rPr>
      </w:pPr>
      <w:r>
        <w:rPr>
          <w:rFonts w:ascii="Arial" w:hAnsi="Arial" w:cs="Arial"/>
          <w:sz w:val="22"/>
          <w:szCs w:val="22"/>
        </w:rPr>
        <w:t xml:space="preserve">In terms of those 65+, there is predicted to be </w:t>
      </w:r>
      <w:r w:rsidR="00CF4D8F">
        <w:rPr>
          <w:rFonts w:ascii="Arial" w:hAnsi="Arial" w:cs="Arial"/>
          <w:sz w:val="22"/>
          <w:szCs w:val="22"/>
        </w:rPr>
        <w:t>47</w:t>
      </w:r>
      <w:r>
        <w:rPr>
          <w:rFonts w:ascii="Arial" w:hAnsi="Arial" w:cs="Arial"/>
          <w:sz w:val="22"/>
          <w:szCs w:val="22"/>
        </w:rPr>
        <w:t>,</w:t>
      </w:r>
      <w:r w:rsidR="00CF4D8F">
        <w:rPr>
          <w:rFonts w:ascii="Arial" w:hAnsi="Arial" w:cs="Arial"/>
          <w:sz w:val="22"/>
          <w:szCs w:val="22"/>
        </w:rPr>
        <w:t>142</w:t>
      </w:r>
      <w:r>
        <w:rPr>
          <w:rFonts w:ascii="Arial" w:hAnsi="Arial" w:cs="Arial"/>
          <w:sz w:val="22"/>
          <w:szCs w:val="22"/>
        </w:rPr>
        <w:t xml:space="preserve"> people with a limiting </w:t>
      </w:r>
      <w:r w:rsidR="00F27047">
        <w:rPr>
          <w:rFonts w:ascii="Arial" w:hAnsi="Arial" w:cs="Arial"/>
          <w:sz w:val="22"/>
          <w:szCs w:val="22"/>
        </w:rPr>
        <w:t>long-term</w:t>
      </w:r>
      <w:r>
        <w:rPr>
          <w:rFonts w:ascii="Arial" w:hAnsi="Arial" w:cs="Arial"/>
          <w:sz w:val="22"/>
          <w:szCs w:val="22"/>
        </w:rPr>
        <w:t xml:space="preserve"> illness whose day-to-day activities will be limited a little and </w:t>
      </w:r>
      <w:r w:rsidR="00CF4D8F">
        <w:rPr>
          <w:rFonts w:ascii="Arial" w:hAnsi="Arial" w:cs="Arial"/>
          <w:sz w:val="22"/>
          <w:szCs w:val="22"/>
        </w:rPr>
        <w:t>55,730</w:t>
      </w:r>
      <w:r>
        <w:rPr>
          <w:rFonts w:ascii="Arial" w:hAnsi="Arial" w:cs="Arial"/>
          <w:sz w:val="22"/>
          <w:szCs w:val="22"/>
        </w:rPr>
        <w:t xml:space="preserve"> people whose day-to-day activities will be limited a lot by 203</w:t>
      </w:r>
      <w:r w:rsidR="00CF4D8F">
        <w:rPr>
          <w:rFonts w:ascii="Arial" w:hAnsi="Arial" w:cs="Arial"/>
          <w:sz w:val="22"/>
          <w:szCs w:val="22"/>
        </w:rPr>
        <w:t>0</w:t>
      </w:r>
      <w:r>
        <w:rPr>
          <w:rFonts w:ascii="Arial" w:hAnsi="Arial" w:cs="Arial"/>
          <w:sz w:val="22"/>
          <w:szCs w:val="22"/>
        </w:rPr>
        <w:t xml:space="preserve">. This represents an increase of </w:t>
      </w:r>
      <w:r w:rsidR="000A6CCE">
        <w:rPr>
          <w:rFonts w:ascii="Arial" w:hAnsi="Arial" w:cs="Arial"/>
          <w:sz w:val="22"/>
          <w:szCs w:val="22"/>
        </w:rPr>
        <w:t>19.6</w:t>
      </w:r>
      <w:r>
        <w:rPr>
          <w:rFonts w:ascii="Arial" w:hAnsi="Arial" w:cs="Arial"/>
          <w:sz w:val="22"/>
          <w:szCs w:val="22"/>
        </w:rPr>
        <w:t>% from the 2019 baseline</w:t>
      </w:r>
      <w:r w:rsidR="006269DB">
        <w:rPr>
          <w:rFonts w:ascii="Arial" w:hAnsi="Arial" w:cs="Arial"/>
          <w:sz w:val="22"/>
          <w:szCs w:val="22"/>
        </w:rPr>
        <w:t>.</w:t>
      </w:r>
    </w:p>
    <w:p w:rsidR="004509DE" w:rsidRDefault="004509DE" w:rsidP="00071525">
      <w:pPr>
        <w:pStyle w:val="ListParagraph"/>
        <w:numPr>
          <w:ilvl w:val="0"/>
          <w:numId w:val="7"/>
        </w:numPr>
        <w:spacing w:line="300" w:lineRule="atLeast"/>
        <w:rPr>
          <w:rFonts w:ascii="Arial" w:hAnsi="Arial" w:cs="Arial"/>
          <w:sz w:val="22"/>
          <w:szCs w:val="22"/>
        </w:rPr>
      </w:pPr>
      <w:r w:rsidRPr="00BB169C">
        <w:rPr>
          <w:rFonts w:ascii="Arial" w:hAnsi="Arial" w:cs="Arial"/>
          <w:sz w:val="22"/>
          <w:szCs w:val="22"/>
        </w:rPr>
        <w:t>By 203</w:t>
      </w:r>
      <w:r w:rsidR="000A6CCE">
        <w:rPr>
          <w:rFonts w:ascii="Arial" w:hAnsi="Arial" w:cs="Arial"/>
          <w:sz w:val="22"/>
          <w:szCs w:val="22"/>
        </w:rPr>
        <w:t>0</w:t>
      </w:r>
      <w:r w:rsidRPr="00BB169C">
        <w:rPr>
          <w:rFonts w:ascii="Arial" w:hAnsi="Arial" w:cs="Arial"/>
          <w:sz w:val="22"/>
          <w:szCs w:val="22"/>
        </w:rPr>
        <w:t>, it is suggested that 3</w:t>
      </w:r>
      <w:r w:rsidR="000A6CCE">
        <w:rPr>
          <w:rFonts w:ascii="Arial" w:hAnsi="Arial" w:cs="Arial"/>
          <w:sz w:val="22"/>
          <w:szCs w:val="22"/>
        </w:rPr>
        <w:t>3</w:t>
      </w:r>
      <w:r w:rsidRPr="00BB169C">
        <w:rPr>
          <w:rFonts w:ascii="Arial" w:hAnsi="Arial" w:cs="Arial"/>
          <w:sz w:val="22"/>
          <w:szCs w:val="22"/>
        </w:rPr>
        <w:t>,</w:t>
      </w:r>
      <w:r w:rsidR="000A6CCE">
        <w:rPr>
          <w:rFonts w:ascii="Arial" w:hAnsi="Arial" w:cs="Arial"/>
          <w:sz w:val="22"/>
          <w:szCs w:val="22"/>
        </w:rPr>
        <w:t>429</w:t>
      </w:r>
      <w:r w:rsidRPr="00BB169C">
        <w:rPr>
          <w:rFonts w:ascii="Arial" w:hAnsi="Arial" w:cs="Arial"/>
          <w:sz w:val="22"/>
          <w:szCs w:val="22"/>
        </w:rPr>
        <w:t xml:space="preserve"> people aged 65+ will not be able to manage at l</w:t>
      </w:r>
      <w:r>
        <w:rPr>
          <w:rFonts w:ascii="Arial" w:hAnsi="Arial" w:cs="Arial"/>
          <w:sz w:val="22"/>
          <w:szCs w:val="22"/>
        </w:rPr>
        <w:t>east one activity on their own and 56,616 people who need help with at last one self-care activity.</w:t>
      </w:r>
    </w:p>
    <w:p w:rsidR="00D504CD" w:rsidRDefault="004509DE" w:rsidP="00071525">
      <w:pPr>
        <w:pStyle w:val="ListParagraph"/>
        <w:numPr>
          <w:ilvl w:val="0"/>
          <w:numId w:val="7"/>
        </w:numPr>
        <w:spacing w:line="300" w:lineRule="atLeast"/>
        <w:rPr>
          <w:rFonts w:ascii="Arial" w:hAnsi="Arial" w:cs="Arial"/>
          <w:sz w:val="22"/>
          <w:szCs w:val="22"/>
        </w:rPr>
      </w:pPr>
      <w:proofErr w:type="gramStart"/>
      <w:r w:rsidRPr="00BB169C">
        <w:rPr>
          <w:rFonts w:ascii="Arial" w:hAnsi="Arial" w:cs="Arial"/>
          <w:sz w:val="22"/>
          <w:szCs w:val="22"/>
        </w:rPr>
        <w:t>A large number of</w:t>
      </w:r>
      <w:proofErr w:type="gramEnd"/>
      <w:r w:rsidRPr="00BB169C">
        <w:rPr>
          <w:rFonts w:ascii="Arial" w:hAnsi="Arial" w:cs="Arial"/>
          <w:sz w:val="22"/>
          <w:szCs w:val="22"/>
        </w:rPr>
        <w:t xml:space="preserve"> older people also act as </w:t>
      </w:r>
      <w:r w:rsidRPr="008D4D42">
        <w:rPr>
          <w:rFonts w:ascii="Arial" w:hAnsi="Arial" w:cs="Arial"/>
          <w:sz w:val="22"/>
          <w:szCs w:val="22"/>
        </w:rPr>
        <w:t>a</w:t>
      </w:r>
      <w:r>
        <w:rPr>
          <w:rFonts w:ascii="Arial" w:hAnsi="Arial" w:cs="Arial"/>
          <w:color w:val="FF0000"/>
          <w:sz w:val="22"/>
          <w:szCs w:val="22"/>
        </w:rPr>
        <w:t xml:space="preserve"> </w:t>
      </w:r>
      <w:proofErr w:type="spellStart"/>
      <w:r w:rsidRPr="008D4D42">
        <w:rPr>
          <w:rFonts w:ascii="Arial" w:hAnsi="Arial" w:cs="Arial"/>
          <w:sz w:val="22"/>
          <w:szCs w:val="22"/>
        </w:rPr>
        <w:t>carer</w:t>
      </w:r>
      <w:proofErr w:type="spellEnd"/>
      <w:r w:rsidRPr="00BB169C">
        <w:rPr>
          <w:rFonts w:ascii="Arial" w:hAnsi="Arial" w:cs="Arial"/>
          <w:sz w:val="22"/>
          <w:szCs w:val="22"/>
        </w:rPr>
        <w:t xml:space="preserve"> to a partner, family member or other person. There is predicted to be a </w:t>
      </w:r>
      <w:r w:rsidR="0032393D">
        <w:rPr>
          <w:rFonts w:ascii="Arial" w:hAnsi="Arial" w:cs="Arial"/>
          <w:sz w:val="22"/>
          <w:szCs w:val="22"/>
        </w:rPr>
        <w:t>2</w:t>
      </w:r>
      <w:r>
        <w:rPr>
          <w:rFonts w:ascii="Arial" w:hAnsi="Arial" w:cs="Arial"/>
          <w:sz w:val="22"/>
          <w:szCs w:val="22"/>
        </w:rPr>
        <w:t>0% increase in</w:t>
      </w:r>
      <w:r w:rsidRPr="00BB169C">
        <w:rPr>
          <w:rFonts w:ascii="Arial" w:hAnsi="Arial" w:cs="Arial"/>
          <w:sz w:val="22"/>
          <w:szCs w:val="22"/>
        </w:rPr>
        <w:t xml:space="preserve"> people aged 65+ providing unpaid care. </w:t>
      </w:r>
    </w:p>
    <w:p w:rsidR="0032393D" w:rsidRPr="00BF5F98" w:rsidRDefault="0032393D" w:rsidP="00BF5F98">
      <w:pPr>
        <w:spacing w:line="300" w:lineRule="atLeast"/>
        <w:rPr>
          <w:rFonts w:ascii="Arial" w:hAnsi="Arial" w:cs="Arial"/>
          <w:sz w:val="22"/>
          <w:szCs w:val="22"/>
        </w:rPr>
      </w:pPr>
    </w:p>
    <w:p w:rsidR="004509DE" w:rsidRDefault="0032393D" w:rsidP="000A6CCE">
      <w:pPr>
        <w:spacing w:line="300" w:lineRule="atLeast"/>
        <w:rPr>
          <w:rFonts w:ascii="Arial" w:hAnsi="Arial" w:cs="Arial"/>
          <w:sz w:val="22"/>
          <w:szCs w:val="22"/>
        </w:rPr>
      </w:pPr>
      <w:r>
        <w:rPr>
          <w:rFonts w:ascii="Arial" w:hAnsi="Arial" w:cs="Arial"/>
          <w:sz w:val="22"/>
          <w:szCs w:val="22"/>
        </w:rPr>
        <w:t xml:space="preserve">Table </w:t>
      </w:r>
      <w:r w:rsidR="00333E6C">
        <w:rPr>
          <w:rFonts w:ascii="Arial" w:hAnsi="Arial" w:cs="Arial"/>
          <w:sz w:val="22"/>
          <w:szCs w:val="22"/>
        </w:rPr>
        <w:t>10</w:t>
      </w:r>
      <w:r>
        <w:rPr>
          <w:rFonts w:ascii="Arial" w:hAnsi="Arial" w:cs="Arial"/>
          <w:sz w:val="22"/>
          <w:szCs w:val="22"/>
        </w:rPr>
        <w:t xml:space="preserve">: POPPI Data for Birmingham – Projected population aged 65 and over </w:t>
      </w:r>
      <w:r w:rsidR="009C3540">
        <w:rPr>
          <w:rFonts w:ascii="Arial" w:hAnsi="Arial" w:cs="Arial"/>
          <w:sz w:val="22"/>
          <w:szCs w:val="22"/>
        </w:rPr>
        <w:t xml:space="preserve">with </w:t>
      </w:r>
      <w:r>
        <w:rPr>
          <w:rFonts w:ascii="Arial" w:hAnsi="Arial" w:cs="Arial"/>
          <w:sz w:val="22"/>
          <w:szCs w:val="22"/>
        </w:rPr>
        <w:t>LLTI</w:t>
      </w:r>
      <w:r w:rsidR="006269DB">
        <w:rPr>
          <w:rFonts w:ascii="Arial" w:hAnsi="Arial" w:cs="Arial"/>
          <w:sz w:val="22"/>
          <w:szCs w:val="22"/>
        </w:rPr>
        <w:t>D</w:t>
      </w:r>
    </w:p>
    <w:p w:rsidR="0032393D" w:rsidRDefault="0032393D" w:rsidP="000A6CCE">
      <w:pPr>
        <w:spacing w:line="300" w:lineRule="atLeast"/>
        <w:rPr>
          <w:rFonts w:ascii="Arial" w:hAnsi="Arial" w:cs="Arial"/>
          <w:sz w:val="22"/>
          <w:szCs w:val="22"/>
        </w:rPr>
      </w:pPr>
    </w:p>
    <w:tbl>
      <w:tblPr>
        <w:tblStyle w:val="TableGrid"/>
        <w:tblW w:w="0" w:type="auto"/>
        <w:tblLayout w:type="fixed"/>
        <w:tblLook w:val="04A0" w:firstRow="1" w:lastRow="0" w:firstColumn="1" w:lastColumn="0" w:noHBand="0" w:noVBand="1"/>
      </w:tblPr>
      <w:tblGrid>
        <w:gridCol w:w="3681"/>
        <w:gridCol w:w="1209"/>
        <w:gridCol w:w="1210"/>
        <w:gridCol w:w="1210"/>
        <w:gridCol w:w="1210"/>
        <w:gridCol w:w="1210"/>
      </w:tblGrid>
      <w:tr w:rsidR="00712EEA" w:rsidRPr="000A6CCE" w:rsidTr="00712EEA">
        <w:trPr>
          <w:trHeight w:val="300"/>
        </w:trPr>
        <w:tc>
          <w:tcPr>
            <w:tcW w:w="3681" w:type="dxa"/>
            <w:shd w:val="clear" w:color="auto" w:fill="BFBFBF" w:themeFill="background1" w:themeFillShade="BF"/>
            <w:noWrap/>
            <w:hideMark/>
          </w:tcPr>
          <w:p w:rsidR="000A6CCE" w:rsidRPr="000A6CCE" w:rsidRDefault="000A6CCE" w:rsidP="000A6CCE">
            <w:pPr>
              <w:spacing w:line="300" w:lineRule="atLeast"/>
              <w:rPr>
                <w:rFonts w:ascii="Arial" w:hAnsi="Arial" w:cs="Arial"/>
                <w:b/>
                <w:bCs/>
                <w:sz w:val="22"/>
                <w:szCs w:val="22"/>
              </w:rPr>
            </w:pPr>
          </w:p>
        </w:tc>
        <w:tc>
          <w:tcPr>
            <w:tcW w:w="1209" w:type="dxa"/>
            <w:shd w:val="clear" w:color="auto" w:fill="BFBFBF" w:themeFill="background1" w:themeFillShade="BF"/>
            <w:noWrap/>
            <w:hideMark/>
          </w:tcPr>
          <w:p w:rsidR="000A6CCE" w:rsidRPr="000A6CCE" w:rsidRDefault="000A6CCE" w:rsidP="000A6CCE">
            <w:pPr>
              <w:spacing w:line="300" w:lineRule="atLeast"/>
              <w:rPr>
                <w:rFonts w:ascii="Arial" w:hAnsi="Arial" w:cs="Arial"/>
                <w:b/>
                <w:bCs/>
                <w:sz w:val="22"/>
                <w:szCs w:val="22"/>
              </w:rPr>
            </w:pPr>
            <w:r w:rsidRPr="000A6CCE">
              <w:rPr>
                <w:rFonts w:ascii="Arial" w:hAnsi="Arial" w:cs="Arial"/>
                <w:b/>
                <w:bCs/>
                <w:sz w:val="22"/>
                <w:szCs w:val="22"/>
              </w:rPr>
              <w:t>2019</w:t>
            </w:r>
          </w:p>
        </w:tc>
        <w:tc>
          <w:tcPr>
            <w:tcW w:w="1210" w:type="dxa"/>
            <w:shd w:val="clear" w:color="auto" w:fill="BFBFBF" w:themeFill="background1" w:themeFillShade="BF"/>
            <w:noWrap/>
            <w:hideMark/>
          </w:tcPr>
          <w:p w:rsidR="000A6CCE" w:rsidRPr="000A6CCE" w:rsidRDefault="000A6CCE" w:rsidP="000A6CCE">
            <w:pPr>
              <w:spacing w:line="300" w:lineRule="atLeast"/>
              <w:rPr>
                <w:rFonts w:ascii="Arial" w:hAnsi="Arial" w:cs="Arial"/>
                <w:b/>
                <w:bCs/>
                <w:sz w:val="22"/>
                <w:szCs w:val="22"/>
              </w:rPr>
            </w:pPr>
            <w:r w:rsidRPr="000A6CCE">
              <w:rPr>
                <w:rFonts w:ascii="Arial" w:hAnsi="Arial" w:cs="Arial"/>
                <w:b/>
                <w:bCs/>
                <w:sz w:val="22"/>
                <w:szCs w:val="22"/>
              </w:rPr>
              <w:t>2020</w:t>
            </w:r>
          </w:p>
        </w:tc>
        <w:tc>
          <w:tcPr>
            <w:tcW w:w="1210" w:type="dxa"/>
            <w:shd w:val="clear" w:color="auto" w:fill="BFBFBF" w:themeFill="background1" w:themeFillShade="BF"/>
            <w:noWrap/>
            <w:hideMark/>
          </w:tcPr>
          <w:p w:rsidR="000A6CCE" w:rsidRPr="000A6CCE" w:rsidRDefault="000A6CCE" w:rsidP="000A6CCE">
            <w:pPr>
              <w:spacing w:line="300" w:lineRule="atLeast"/>
              <w:rPr>
                <w:rFonts w:ascii="Arial" w:hAnsi="Arial" w:cs="Arial"/>
                <w:b/>
                <w:bCs/>
                <w:sz w:val="22"/>
                <w:szCs w:val="22"/>
              </w:rPr>
            </w:pPr>
            <w:r w:rsidRPr="000A6CCE">
              <w:rPr>
                <w:rFonts w:ascii="Arial" w:hAnsi="Arial" w:cs="Arial"/>
                <w:b/>
                <w:bCs/>
                <w:sz w:val="22"/>
                <w:szCs w:val="22"/>
              </w:rPr>
              <w:t>2025</w:t>
            </w:r>
          </w:p>
        </w:tc>
        <w:tc>
          <w:tcPr>
            <w:tcW w:w="1210" w:type="dxa"/>
            <w:shd w:val="clear" w:color="auto" w:fill="BFBFBF" w:themeFill="background1" w:themeFillShade="BF"/>
            <w:noWrap/>
            <w:hideMark/>
          </w:tcPr>
          <w:p w:rsidR="000A6CCE" w:rsidRPr="000A6CCE" w:rsidRDefault="000A6CCE" w:rsidP="000A6CCE">
            <w:pPr>
              <w:spacing w:line="300" w:lineRule="atLeast"/>
              <w:rPr>
                <w:rFonts w:ascii="Arial" w:hAnsi="Arial" w:cs="Arial"/>
                <w:b/>
                <w:bCs/>
                <w:sz w:val="22"/>
                <w:szCs w:val="22"/>
              </w:rPr>
            </w:pPr>
            <w:r w:rsidRPr="000A6CCE">
              <w:rPr>
                <w:rFonts w:ascii="Arial" w:hAnsi="Arial" w:cs="Arial"/>
                <w:b/>
                <w:bCs/>
                <w:sz w:val="22"/>
                <w:szCs w:val="22"/>
              </w:rPr>
              <w:t>2030</w:t>
            </w:r>
          </w:p>
        </w:tc>
        <w:tc>
          <w:tcPr>
            <w:tcW w:w="1210" w:type="dxa"/>
            <w:shd w:val="clear" w:color="auto" w:fill="BFBFBF" w:themeFill="background1" w:themeFillShade="BF"/>
            <w:noWrap/>
            <w:hideMark/>
          </w:tcPr>
          <w:p w:rsidR="000A6CCE" w:rsidRPr="000A6CCE" w:rsidRDefault="000A6CCE" w:rsidP="000A6CCE">
            <w:pPr>
              <w:spacing w:line="300" w:lineRule="atLeast"/>
              <w:rPr>
                <w:rFonts w:ascii="Arial" w:hAnsi="Arial" w:cs="Arial"/>
                <w:b/>
                <w:bCs/>
                <w:sz w:val="22"/>
                <w:szCs w:val="22"/>
              </w:rPr>
            </w:pPr>
            <w:r w:rsidRPr="000A6CCE">
              <w:rPr>
                <w:rFonts w:ascii="Arial" w:hAnsi="Arial" w:cs="Arial"/>
                <w:b/>
                <w:bCs/>
                <w:sz w:val="22"/>
                <w:szCs w:val="22"/>
              </w:rPr>
              <w:t>2035</w:t>
            </w:r>
          </w:p>
        </w:tc>
      </w:tr>
      <w:tr w:rsidR="000A6CCE" w:rsidRPr="000A6CCE" w:rsidTr="000A6CCE">
        <w:trPr>
          <w:trHeight w:val="300"/>
        </w:trPr>
        <w:tc>
          <w:tcPr>
            <w:tcW w:w="3681" w:type="dxa"/>
            <w:noWrap/>
            <w:hideMark/>
          </w:tcPr>
          <w:p w:rsidR="000A6CCE" w:rsidRPr="000A6CCE" w:rsidRDefault="000A6CCE" w:rsidP="000A6CCE">
            <w:pPr>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 xml:space="preserve">Total </w:t>
            </w:r>
            <w:r w:rsidR="0032393D">
              <w:rPr>
                <w:rFonts w:ascii="Arial" w:eastAsia="Times New Roman" w:hAnsi="Arial" w:cs="Arial"/>
                <w:color w:val="000000"/>
                <w:sz w:val="22"/>
                <w:szCs w:val="22"/>
                <w:lang w:val="en-GB" w:eastAsia="en-GB"/>
              </w:rPr>
              <w:t xml:space="preserve">Birmingham </w:t>
            </w:r>
            <w:r w:rsidRPr="000A6CCE">
              <w:rPr>
                <w:rFonts w:ascii="Arial" w:eastAsia="Times New Roman" w:hAnsi="Arial" w:cs="Arial"/>
                <w:color w:val="000000"/>
                <w:sz w:val="22"/>
                <w:szCs w:val="22"/>
                <w:lang w:val="en-GB" w:eastAsia="en-GB"/>
              </w:rPr>
              <w:t>population</w:t>
            </w:r>
          </w:p>
        </w:tc>
        <w:tc>
          <w:tcPr>
            <w:tcW w:w="1209" w:type="dxa"/>
            <w:noWrap/>
            <w:hideMark/>
          </w:tcPr>
          <w:p w:rsidR="000A6CCE" w:rsidRPr="000A6CCE" w:rsidRDefault="000A6CCE" w:rsidP="000A6CCE">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1,156,200</w:t>
            </w:r>
          </w:p>
        </w:tc>
        <w:tc>
          <w:tcPr>
            <w:tcW w:w="1210" w:type="dxa"/>
            <w:noWrap/>
            <w:hideMark/>
          </w:tcPr>
          <w:p w:rsidR="000A6CCE" w:rsidRPr="000A6CCE" w:rsidRDefault="000A6CCE" w:rsidP="000A6CCE">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1,164,400</w:t>
            </w:r>
          </w:p>
        </w:tc>
        <w:tc>
          <w:tcPr>
            <w:tcW w:w="1210" w:type="dxa"/>
            <w:noWrap/>
            <w:hideMark/>
          </w:tcPr>
          <w:p w:rsidR="000A6CCE" w:rsidRPr="000A6CCE" w:rsidRDefault="000A6CCE" w:rsidP="000A6CCE">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1,201,900</w:t>
            </w:r>
          </w:p>
        </w:tc>
        <w:tc>
          <w:tcPr>
            <w:tcW w:w="1210" w:type="dxa"/>
            <w:noWrap/>
            <w:hideMark/>
          </w:tcPr>
          <w:p w:rsidR="000A6CCE" w:rsidRPr="000A6CCE" w:rsidRDefault="000A6CCE" w:rsidP="000A6CCE">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1,239,400</w:t>
            </w:r>
          </w:p>
        </w:tc>
        <w:tc>
          <w:tcPr>
            <w:tcW w:w="1210" w:type="dxa"/>
            <w:noWrap/>
            <w:hideMark/>
          </w:tcPr>
          <w:p w:rsidR="000A6CCE" w:rsidRPr="000A6CCE" w:rsidRDefault="000A6CCE" w:rsidP="000A6CCE">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1,274,200</w:t>
            </w:r>
          </w:p>
        </w:tc>
      </w:tr>
      <w:tr w:rsidR="000A6CCE" w:rsidRPr="000A6CCE" w:rsidTr="000A6CCE">
        <w:trPr>
          <w:trHeight w:val="300"/>
        </w:trPr>
        <w:tc>
          <w:tcPr>
            <w:tcW w:w="3681" w:type="dxa"/>
            <w:noWrap/>
            <w:hideMark/>
          </w:tcPr>
          <w:p w:rsidR="000A6CCE" w:rsidRPr="000A6CCE" w:rsidRDefault="000A6CCE" w:rsidP="000A6CCE">
            <w:pPr>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Population aged 65 and over</w:t>
            </w:r>
          </w:p>
        </w:tc>
        <w:tc>
          <w:tcPr>
            <w:tcW w:w="1209" w:type="dxa"/>
            <w:noWrap/>
            <w:hideMark/>
          </w:tcPr>
          <w:p w:rsidR="000A6CCE" w:rsidRPr="000A6CCE" w:rsidRDefault="000A6CCE" w:rsidP="000A6CCE">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150,200</w:t>
            </w:r>
          </w:p>
        </w:tc>
        <w:tc>
          <w:tcPr>
            <w:tcW w:w="1210" w:type="dxa"/>
            <w:noWrap/>
            <w:hideMark/>
          </w:tcPr>
          <w:p w:rsidR="000A6CCE" w:rsidRPr="000A6CCE" w:rsidRDefault="000A6CCE" w:rsidP="000A6CCE">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151,600</w:t>
            </w:r>
          </w:p>
        </w:tc>
        <w:tc>
          <w:tcPr>
            <w:tcW w:w="1210" w:type="dxa"/>
            <w:noWrap/>
            <w:hideMark/>
          </w:tcPr>
          <w:p w:rsidR="000A6CCE" w:rsidRPr="000A6CCE" w:rsidRDefault="000A6CCE" w:rsidP="000A6CCE">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162,500</w:t>
            </w:r>
          </w:p>
        </w:tc>
        <w:tc>
          <w:tcPr>
            <w:tcW w:w="1210" w:type="dxa"/>
            <w:noWrap/>
            <w:hideMark/>
          </w:tcPr>
          <w:p w:rsidR="000A6CCE" w:rsidRPr="000A6CCE" w:rsidRDefault="000A6CCE" w:rsidP="000A6CCE">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179,600</w:t>
            </w:r>
          </w:p>
        </w:tc>
        <w:tc>
          <w:tcPr>
            <w:tcW w:w="1210" w:type="dxa"/>
            <w:noWrap/>
            <w:hideMark/>
          </w:tcPr>
          <w:p w:rsidR="000A6CCE" w:rsidRPr="000A6CCE" w:rsidRDefault="000A6CCE" w:rsidP="000A6CCE">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196,700</w:t>
            </w:r>
          </w:p>
        </w:tc>
      </w:tr>
      <w:tr w:rsidR="000A6CCE" w:rsidRPr="000A6CCE" w:rsidTr="000A6CCE">
        <w:trPr>
          <w:trHeight w:val="300"/>
        </w:trPr>
        <w:tc>
          <w:tcPr>
            <w:tcW w:w="3681" w:type="dxa"/>
            <w:noWrap/>
            <w:hideMark/>
          </w:tcPr>
          <w:p w:rsidR="000A6CCE" w:rsidRPr="000A6CCE" w:rsidRDefault="000A6CCE" w:rsidP="000A6CCE">
            <w:pPr>
              <w:spacing w:line="300" w:lineRule="atLeast"/>
              <w:rPr>
                <w:rFonts w:ascii="Arial" w:hAnsi="Arial" w:cs="Arial"/>
                <w:sz w:val="22"/>
                <w:szCs w:val="22"/>
              </w:rPr>
            </w:pPr>
            <w:r>
              <w:rPr>
                <w:rFonts w:ascii="Arial" w:hAnsi="Arial" w:cs="Arial"/>
                <w:sz w:val="22"/>
                <w:szCs w:val="22"/>
              </w:rPr>
              <w:t>P</w:t>
            </w:r>
            <w:r w:rsidRPr="000A6CCE">
              <w:rPr>
                <w:rFonts w:ascii="Arial" w:hAnsi="Arial" w:cs="Arial"/>
                <w:sz w:val="22"/>
                <w:szCs w:val="22"/>
              </w:rPr>
              <w:t xml:space="preserve">opulation aged 65 and over with a limiting long-term illness </w:t>
            </w:r>
            <w:r w:rsidR="0032393D">
              <w:rPr>
                <w:rFonts w:ascii="Arial" w:hAnsi="Arial" w:cs="Arial"/>
                <w:sz w:val="22"/>
                <w:szCs w:val="22"/>
              </w:rPr>
              <w:t xml:space="preserve">(LLTI) </w:t>
            </w:r>
            <w:r w:rsidRPr="000A6CCE">
              <w:rPr>
                <w:rFonts w:ascii="Arial" w:hAnsi="Arial" w:cs="Arial"/>
                <w:sz w:val="22"/>
                <w:szCs w:val="22"/>
              </w:rPr>
              <w:t>whose day-to-day activities are limited a little</w:t>
            </w:r>
          </w:p>
        </w:tc>
        <w:tc>
          <w:tcPr>
            <w:tcW w:w="1209" w:type="dxa"/>
            <w:noWrap/>
            <w:hideMark/>
          </w:tcPr>
          <w:p w:rsidR="000A6CCE" w:rsidRPr="000A6CCE" w:rsidRDefault="000A6CCE" w:rsidP="0032393D">
            <w:pPr>
              <w:spacing w:line="300" w:lineRule="atLeast"/>
              <w:jc w:val="right"/>
              <w:rPr>
                <w:rFonts w:ascii="Arial" w:hAnsi="Arial" w:cs="Arial"/>
                <w:sz w:val="22"/>
                <w:szCs w:val="22"/>
              </w:rPr>
            </w:pPr>
            <w:r w:rsidRPr="000A6CCE">
              <w:rPr>
                <w:rFonts w:ascii="Arial" w:hAnsi="Arial" w:cs="Arial"/>
                <w:sz w:val="22"/>
                <w:szCs w:val="22"/>
              </w:rPr>
              <w:t>39,429</w:t>
            </w:r>
          </w:p>
        </w:tc>
        <w:tc>
          <w:tcPr>
            <w:tcW w:w="1210" w:type="dxa"/>
            <w:noWrap/>
            <w:hideMark/>
          </w:tcPr>
          <w:p w:rsidR="000A6CCE" w:rsidRPr="000A6CCE" w:rsidRDefault="000A6CCE" w:rsidP="0032393D">
            <w:pPr>
              <w:spacing w:line="300" w:lineRule="atLeast"/>
              <w:jc w:val="right"/>
              <w:rPr>
                <w:rFonts w:ascii="Arial" w:hAnsi="Arial" w:cs="Arial"/>
                <w:sz w:val="22"/>
                <w:szCs w:val="22"/>
              </w:rPr>
            </w:pPr>
            <w:r w:rsidRPr="000A6CCE">
              <w:rPr>
                <w:rFonts w:ascii="Arial" w:hAnsi="Arial" w:cs="Arial"/>
                <w:sz w:val="22"/>
                <w:szCs w:val="22"/>
              </w:rPr>
              <w:t>39,786</w:t>
            </w:r>
          </w:p>
        </w:tc>
        <w:tc>
          <w:tcPr>
            <w:tcW w:w="1210" w:type="dxa"/>
            <w:noWrap/>
            <w:hideMark/>
          </w:tcPr>
          <w:p w:rsidR="000A6CCE" w:rsidRPr="000A6CCE" w:rsidRDefault="000A6CCE" w:rsidP="0032393D">
            <w:pPr>
              <w:spacing w:line="300" w:lineRule="atLeast"/>
              <w:jc w:val="right"/>
              <w:rPr>
                <w:rFonts w:ascii="Arial" w:hAnsi="Arial" w:cs="Arial"/>
                <w:sz w:val="22"/>
                <w:szCs w:val="22"/>
              </w:rPr>
            </w:pPr>
            <w:r w:rsidRPr="000A6CCE">
              <w:rPr>
                <w:rFonts w:ascii="Arial" w:hAnsi="Arial" w:cs="Arial"/>
                <w:sz w:val="22"/>
                <w:szCs w:val="22"/>
              </w:rPr>
              <w:t>42,703</w:t>
            </w:r>
          </w:p>
        </w:tc>
        <w:tc>
          <w:tcPr>
            <w:tcW w:w="1210" w:type="dxa"/>
            <w:noWrap/>
            <w:hideMark/>
          </w:tcPr>
          <w:p w:rsidR="000A6CCE" w:rsidRPr="000A6CCE" w:rsidRDefault="000A6CCE" w:rsidP="0032393D">
            <w:pPr>
              <w:spacing w:line="300" w:lineRule="atLeast"/>
              <w:jc w:val="right"/>
              <w:rPr>
                <w:rFonts w:ascii="Arial" w:hAnsi="Arial" w:cs="Arial"/>
                <w:sz w:val="22"/>
                <w:szCs w:val="22"/>
              </w:rPr>
            </w:pPr>
            <w:r w:rsidRPr="000A6CCE">
              <w:rPr>
                <w:rFonts w:ascii="Arial" w:hAnsi="Arial" w:cs="Arial"/>
                <w:sz w:val="22"/>
                <w:szCs w:val="22"/>
              </w:rPr>
              <w:t>47,142</w:t>
            </w:r>
          </w:p>
        </w:tc>
        <w:tc>
          <w:tcPr>
            <w:tcW w:w="1210" w:type="dxa"/>
            <w:noWrap/>
            <w:hideMark/>
          </w:tcPr>
          <w:p w:rsidR="000A6CCE" w:rsidRPr="000A6CCE" w:rsidRDefault="000A6CCE" w:rsidP="0032393D">
            <w:pPr>
              <w:spacing w:line="300" w:lineRule="atLeast"/>
              <w:jc w:val="right"/>
              <w:rPr>
                <w:rFonts w:ascii="Arial" w:hAnsi="Arial" w:cs="Arial"/>
                <w:sz w:val="22"/>
                <w:szCs w:val="22"/>
              </w:rPr>
            </w:pPr>
            <w:r w:rsidRPr="000A6CCE">
              <w:rPr>
                <w:rFonts w:ascii="Arial" w:hAnsi="Arial" w:cs="Arial"/>
                <w:sz w:val="22"/>
                <w:szCs w:val="22"/>
              </w:rPr>
              <w:t>51,511</w:t>
            </w:r>
          </w:p>
        </w:tc>
      </w:tr>
      <w:tr w:rsidR="000A6CCE" w:rsidRPr="000A6CCE" w:rsidTr="000A6CCE">
        <w:trPr>
          <w:trHeight w:val="300"/>
        </w:trPr>
        <w:tc>
          <w:tcPr>
            <w:tcW w:w="3681" w:type="dxa"/>
            <w:noWrap/>
            <w:hideMark/>
          </w:tcPr>
          <w:p w:rsidR="000A6CCE" w:rsidRPr="000A6CCE" w:rsidRDefault="00503F40" w:rsidP="000A6CCE">
            <w:pPr>
              <w:spacing w:line="300" w:lineRule="atLeast"/>
              <w:rPr>
                <w:rFonts w:ascii="Arial" w:hAnsi="Arial" w:cs="Arial"/>
                <w:sz w:val="22"/>
                <w:szCs w:val="22"/>
              </w:rPr>
            </w:pPr>
            <w:r>
              <w:rPr>
                <w:rFonts w:ascii="Arial" w:hAnsi="Arial" w:cs="Arial"/>
                <w:sz w:val="22"/>
                <w:szCs w:val="22"/>
              </w:rPr>
              <w:t>P</w:t>
            </w:r>
            <w:r w:rsidR="000A6CCE" w:rsidRPr="000A6CCE">
              <w:rPr>
                <w:rFonts w:ascii="Arial" w:hAnsi="Arial" w:cs="Arial"/>
                <w:sz w:val="22"/>
                <w:szCs w:val="22"/>
              </w:rPr>
              <w:t xml:space="preserve">opulation aged 65 and over with a limiting long-term illness </w:t>
            </w:r>
            <w:r w:rsidR="0032393D">
              <w:rPr>
                <w:rFonts w:ascii="Arial" w:hAnsi="Arial" w:cs="Arial"/>
                <w:sz w:val="22"/>
                <w:szCs w:val="22"/>
              </w:rPr>
              <w:t xml:space="preserve">(LLTI) </w:t>
            </w:r>
            <w:r w:rsidR="000A6CCE" w:rsidRPr="000A6CCE">
              <w:rPr>
                <w:rFonts w:ascii="Arial" w:hAnsi="Arial" w:cs="Arial"/>
                <w:sz w:val="22"/>
                <w:szCs w:val="22"/>
              </w:rPr>
              <w:t>whose day-to-day activities are limited a lot</w:t>
            </w:r>
          </w:p>
        </w:tc>
        <w:tc>
          <w:tcPr>
            <w:tcW w:w="1209" w:type="dxa"/>
            <w:noWrap/>
            <w:hideMark/>
          </w:tcPr>
          <w:p w:rsidR="000A6CCE" w:rsidRPr="000A6CCE" w:rsidRDefault="000A6CCE" w:rsidP="0032393D">
            <w:pPr>
              <w:spacing w:line="300" w:lineRule="atLeast"/>
              <w:jc w:val="right"/>
              <w:rPr>
                <w:rFonts w:ascii="Arial" w:hAnsi="Arial" w:cs="Arial"/>
                <w:sz w:val="22"/>
                <w:szCs w:val="22"/>
              </w:rPr>
            </w:pPr>
            <w:r w:rsidRPr="000A6CCE">
              <w:rPr>
                <w:rFonts w:ascii="Arial" w:hAnsi="Arial" w:cs="Arial"/>
                <w:sz w:val="22"/>
                <w:szCs w:val="22"/>
              </w:rPr>
              <w:t>46,588</w:t>
            </w:r>
          </w:p>
        </w:tc>
        <w:tc>
          <w:tcPr>
            <w:tcW w:w="1210" w:type="dxa"/>
            <w:noWrap/>
            <w:hideMark/>
          </w:tcPr>
          <w:p w:rsidR="000A6CCE" w:rsidRPr="000A6CCE" w:rsidRDefault="000A6CCE" w:rsidP="0032393D">
            <w:pPr>
              <w:spacing w:line="300" w:lineRule="atLeast"/>
              <w:jc w:val="right"/>
              <w:rPr>
                <w:rFonts w:ascii="Arial" w:hAnsi="Arial" w:cs="Arial"/>
                <w:sz w:val="22"/>
                <w:szCs w:val="22"/>
              </w:rPr>
            </w:pPr>
            <w:r w:rsidRPr="000A6CCE">
              <w:rPr>
                <w:rFonts w:ascii="Arial" w:hAnsi="Arial" w:cs="Arial"/>
                <w:sz w:val="22"/>
                <w:szCs w:val="22"/>
              </w:rPr>
              <w:t>47,028</w:t>
            </w:r>
          </w:p>
        </w:tc>
        <w:tc>
          <w:tcPr>
            <w:tcW w:w="1210" w:type="dxa"/>
            <w:noWrap/>
            <w:hideMark/>
          </w:tcPr>
          <w:p w:rsidR="000A6CCE" w:rsidRPr="000A6CCE" w:rsidRDefault="000A6CCE" w:rsidP="0032393D">
            <w:pPr>
              <w:spacing w:line="300" w:lineRule="atLeast"/>
              <w:jc w:val="right"/>
              <w:rPr>
                <w:rFonts w:ascii="Arial" w:hAnsi="Arial" w:cs="Arial"/>
                <w:sz w:val="22"/>
                <w:szCs w:val="22"/>
              </w:rPr>
            </w:pPr>
            <w:r w:rsidRPr="000A6CCE">
              <w:rPr>
                <w:rFonts w:ascii="Arial" w:hAnsi="Arial" w:cs="Arial"/>
                <w:sz w:val="22"/>
                <w:szCs w:val="22"/>
              </w:rPr>
              <w:t>50,611</w:t>
            </w:r>
          </w:p>
        </w:tc>
        <w:tc>
          <w:tcPr>
            <w:tcW w:w="1210" w:type="dxa"/>
            <w:noWrap/>
            <w:hideMark/>
          </w:tcPr>
          <w:p w:rsidR="000A6CCE" w:rsidRPr="000A6CCE" w:rsidRDefault="000A6CCE" w:rsidP="0032393D">
            <w:pPr>
              <w:spacing w:line="300" w:lineRule="atLeast"/>
              <w:jc w:val="right"/>
              <w:rPr>
                <w:rFonts w:ascii="Arial" w:hAnsi="Arial" w:cs="Arial"/>
                <w:sz w:val="22"/>
                <w:szCs w:val="22"/>
              </w:rPr>
            </w:pPr>
            <w:r w:rsidRPr="000A6CCE">
              <w:rPr>
                <w:rFonts w:ascii="Arial" w:hAnsi="Arial" w:cs="Arial"/>
                <w:sz w:val="22"/>
                <w:szCs w:val="22"/>
              </w:rPr>
              <w:t>55,730</w:t>
            </w:r>
          </w:p>
        </w:tc>
        <w:tc>
          <w:tcPr>
            <w:tcW w:w="1210" w:type="dxa"/>
            <w:noWrap/>
            <w:hideMark/>
          </w:tcPr>
          <w:p w:rsidR="000A6CCE" w:rsidRPr="000A6CCE" w:rsidRDefault="000A6CCE" w:rsidP="0032393D">
            <w:pPr>
              <w:spacing w:line="300" w:lineRule="atLeast"/>
              <w:jc w:val="right"/>
              <w:rPr>
                <w:rFonts w:ascii="Arial" w:hAnsi="Arial" w:cs="Arial"/>
                <w:sz w:val="22"/>
                <w:szCs w:val="22"/>
              </w:rPr>
            </w:pPr>
            <w:r w:rsidRPr="000A6CCE">
              <w:rPr>
                <w:rFonts w:ascii="Arial" w:hAnsi="Arial" w:cs="Arial"/>
                <w:sz w:val="22"/>
                <w:szCs w:val="22"/>
              </w:rPr>
              <w:t>61,426</w:t>
            </w:r>
          </w:p>
        </w:tc>
      </w:tr>
    </w:tbl>
    <w:p w:rsidR="0032393D" w:rsidRDefault="0032393D" w:rsidP="000A6CCE">
      <w:pPr>
        <w:spacing w:line="300" w:lineRule="atLeast"/>
        <w:rPr>
          <w:rFonts w:ascii="Arial" w:hAnsi="Arial" w:cs="Arial"/>
          <w:sz w:val="22"/>
          <w:szCs w:val="22"/>
        </w:rPr>
      </w:pPr>
    </w:p>
    <w:p w:rsidR="00411EE2" w:rsidRDefault="00411EE2" w:rsidP="000A6CCE">
      <w:pPr>
        <w:spacing w:line="300" w:lineRule="atLeast"/>
        <w:rPr>
          <w:rFonts w:ascii="Arial" w:hAnsi="Arial" w:cs="Arial"/>
          <w:sz w:val="22"/>
          <w:szCs w:val="22"/>
        </w:rPr>
      </w:pPr>
      <w:r>
        <w:rPr>
          <w:rFonts w:ascii="Arial" w:hAnsi="Arial" w:cs="Arial"/>
          <w:sz w:val="22"/>
          <w:szCs w:val="22"/>
        </w:rPr>
        <w:tab/>
      </w:r>
    </w:p>
    <w:p w:rsidR="009C3540" w:rsidRDefault="009C3540" w:rsidP="000A6CCE">
      <w:pPr>
        <w:spacing w:line="300" w:lineRule="atLeast"/>
        <w:rPr>
          <w:rFonts w:ascii="Arial" w:hAnsi="Arial" w:cs="Arial"/>
          <w:sz w:val="22"/>
          <w:szCs w:val="22"/>
        </w:rPr>
      </w:pPr>
    </w:p>
    <w:p w:rsidR="00F626FA" w:rsidRDefault="00F626FA" w:rsidP="000A6CCE">
      <w:pPr>
        <w:spacing w:line="300" w:lineRule="atLeast"/>
        <w:rPr>
          <w:rFonts w:ascii="Arial" w:hAnsi="Arial" w:cs="Arial"/>
          <w:sz w:val="22"/>
          <w:szCs w:val="22"/>
        </w:rPr>
      </w:pPr>
    </w:p>
    <w:p w:rsidR="00F626FA" w:rsidRDefault="00F626FA" w:rsidP="000A6CCE">
      <w:pPr>
        <w:spacing w:line="300" w:lineRule="atLeast"/>
        <w:rPr>
          <w:rFonts w:ascii="Arial" w:hAnsi="Arial" w:cs="Arial"/>
          <w:sz w:val="22"/>
          <w:szCs w:val="22"/>
        </w:rPr>
      </w:pPr>
    </w:p>
    <w:p w:rsidR="00F626FA" w:rsidRDefault="00F626FA" w:rsidP="000A6CCE">
      <w:pPr>
        <w:spacing w:line="300" w:lineRule="atLeast"/>
        <w:rPr>
          <w:rFonts w:ascii="Arial" w:hAnsi="Arial" w:cs="Arial"/>
          <w:sz w:val="22"/>
          <w:szCs w:val="22"/>
        </w:rPr>
      </w:pPr>
    </w:p>
    <w:p w:rsidR="009C3540" w:rsidRDefault="009C3540" w:rsidP="000A6CCE">
      <w:pPr>
        <w:spacing w:line="300" w:lineRule="atLeast"/>
        <w:rPr>
          <w:rFonts w:ascii="Arial" w:hAnsi="Arial" w:cs="Arial"/>
          <w:sz w:val="22"/>
          <w:szCs w:val="22"/>
        </w:rPr>
      </w:pPr>
    </w:p>
    <w:p w:rsidR="009C3540" w:rsidRDefault="009C3540" w:rsidP="009C3540">
      <w:pPr>
        <w:spacing w:line="300" w:lineRule="atLeast"/>
        <w:rPr>
          <w:rFonts w:ascii="Arial" w:hAnsi="Arial" w:cs="Arial"/>
          <w:sz w:val="22"/>
          <w:szCs w:val="22"/>
        </w:rPr>
      </w:pPr>
      <w:r>
        <w:rPr>
          <w:rFonts w:ascii="Arial" w:hAnsi="Arial" w:cs="Arial"/>
          <w:sz w:val="22"/>
          <w:szCs w:val="22"/>
        </w:rPr>
        <w:lastRenderedPageBreak/>
        <w:t xml:space="preserve">Table 11: PANSI Data for Birmingham - </w:t>
      </w:r>
      <w:r w:rsidRPr="009C3540">
        <w:rPr>
          <w:rFonts w:ascii="Arial" w:hAnsi="Arial" w:cs="Arial"/>
          <w:sz w:val="22"/>
          <w:szCs w:val="22"/>
        </w:rPr>
        <w:t>People aged 18-64 predicted to have impaired mobility</w:t>
      </w:r>
      <w:r w:rsidR="00503F40">
        <w:rPr>
          <w:rFonts w:ascii="Arial" w:hAnsi="Arial" w:cs="Arial"/>
          <w:sz w:val="22"/>
          <w:szCs w:val="22"/>
        </w:rPr>
        <w:t xml:space="preserve"> and </w:t>
      </w:r>
      <w:r w:rsidR="00503F40" w:rsidRPr="00503F40">
        <w:rPr>
          <w:rFonts w:ascii="Arial" w:hAnsi="Arial" w:cs="Arial"/>
          <w:sz w:val="22"/>
          <w:szCs w:val="22"/>
        </w:rPr>
        <w:t>have a moderate or severe learning disability and be living with a parent</w:t>
      </w:r>
    </w:p>
    <w:p w:rsidR="009C3540" w:rsidRDefault="009C3540" w:rsidP="000A6CCE">
      <w:pPr>
        <w:spacing w:line="300" w:lineRule="atLeast"/>
        <w:rPr>
          <w:rFonts w:ascii="Arial" w:hAnsi="Arial" w:cs="Arial"/>
          <w:color w:val="FF0000"/>
          <w:sz w:val="22"/>
          <w:szCs w:val="22"/>
        </w:rPr>
      </w:pPr>
    </w:p>
    <w:tbl>
      <w:tblPr>
        <w:tblStyle w:val="TableGrid"/>
        <w:tblW w:w="0" w:type="auto"/>
        <w:tblLayout w:type="fixed"/>
        <w:tblLook w:val="04A0" w:firstRow="1" w:lastRow="0" w:firstColumn="1" w:lastColumn="0" w:noHBand="0" w:noVBand="1"/>
      </w:tblPr>
      <w:tblGrid>
        <w:gridCol w:w="3681"/>
        <w:gridCol w:w="1209"/>
        <w:gridCol w:w="1210"/>
        <w:gridCol w:w="1210"/>
        <w:gridCol w:w="1210"/>
        <w:gridCol w:w="1210"/>
      </w:tblGrid>
      <w:tr w:rsidR="009C3540" w:rsidRPr="000A6CCE" w:rsidTr="00BE70B1">
        <w:trPr>
          <w:trHeight w:val="300"/>
        </w:trPr>
        <w:tc>
          <w:tcPr>
            <w:tcW w:w="3681" w:type="dxa"/>
            <w:shd w:val="clear" w:color="auto" w:fill="BFBFBF" w:themeFill="background1" w:themeFillShade="BF"/>
            <w:noWrap/>
            <w:hideMark/>
          </w:tcPr>
          <w:p w:rsidR="009C3540" w:rsidRPr="000A6CCE" w:rsidRDefault="009C3540" w:rsidP="00BE70B1">
            <w:pPr>
              <w:spacing w:line="300" w:lineRule="atLeast"/>
              <w:rPr>
                <w:rFonts w:ascii="Arial" w:hAnsi="Arial" w:cs="Arial"/>
                <w:b/>
                <w:bCs/>
                <w:sz w:val="22"/>
                <w:szCs w:val="22"/>
              </w:rPr>
            </w:pPr>
          </w:p>
        </w:tc>
        <w:tc>
          <w:tcPr>
            <w:tcW w:w="1209" w:type="dxa"/>
            <w:shd w:val="clear" w:color="auto" w:fill="BFBFBF" w:themeFill="background1" w:themeFillShade="BF"/>
            <w:noWrap/>
            <w:hideMark/>
          </w:tcPr>
          <w:p w:rsidR="009C3540" w:rsidRPr="000A6CCE" w:rsidRDefault="009C3540" w:rsidP="00BE70B1">
            <w:pPr>
              <w:spacing w:line="300" w:lineRule="atLeast"/>
              <w:rPr>
                <w:rFonts w:ascii="Arial" w:hAnsi="Arial" w:cs="Arial"/>
                <w:b/>
                <w:bCs/>
                <w:sz w:val="22"/>
                <w:szCs w:val="22"/>
              </w:rPr>
            </w:pPr>
            <w:r w:rsidRPr="000A6CCE">
              <w:rPr>
                <w:rFonts w:ascii="Arial" w:hAnsi="Arial" w:cs="Arial"/>
                <w:b/>
                <w:bCs/>
                <w:sz w:val="22"/>
                <w:szCs w:val="22"/>
              </w:rPr>
              <w:t>2019</w:t>
            </w:r>
          </w:p>
        </w:tc>
        <w:tc>
          <w:tcPr>
            <w:tcW w:w="1210" w:type="dxa"/>
            <w:shd w:val="clear" w:color="auto" w:fill="BFBFBF" w:themeFill="background1" w:themeFillShade="BF"/>
            <w:noWrap/>
            <w:hideMark/>
          </w:tcPr>
          <w:p w:rsidR="009C3540" w:rsidRPr="000A6CCE" w:rsidRDefault="009C3540" w:rsidP="00BE70B1">
            <w:pPr>
              <w:spacing w:line="300" w:lineRule="atLeast"/>
              <w:rPr>
                <w:rFonts w:ascii="Arial" w:hAnsi="Arial" w:cs="Arial"/>
                <w:b/>
                <w:bCs/>
                <w:sz w:val="22"/>
                <w:szCs w:val="22"/>
              </w:rPr>
            </w:pPr>
            <w:r w:rsidRPr="000A6CCE">
              <w:rPr>
                <w:rFonts w:ascii="Arial" w:hAnsi="Arial" w:cs="Arial"/>
                <w:b/>
                <w:bCs/>
                <w:sz w:val="22"/>
                <w:szCs w:val="22"/>
              </w:rPr>
              <w:t>2020</w:t>
            </w:r>
          </w:p>
        </w:tc>
        <w:tc>
          <w:tcPr>
            <w:tcW w:w="1210" w:type="dxa"/>
            <w:shd w:val="clear" w:color="auto" w:fill="BFBFBF" w:themeFill="background1" w:themeFillShade="BF"/>
            <w:noWrap/>
            <w:hideMark/>
          </w:tcPr>
          <w:p w:rsidR="009C3540" w:rsidRPr="000A6CCE" w:rsidRDefault="009C3540" w:rsidP="00BE70B1">
            <w:pPr>
              <w:spacing w:line="300" w:lineRule="atLeast"/>
              <w:rPr>
                <w:rFonts w:ascii="Arial" w:hAnsi="Arial" w:cs="Arial"/>
                <w:b/>
                <w:bCs/>
                <w:sz w:val="22"/>
                <w:szCs w:val="22"/>
              </w:rPr>
            </w:pPr>
            <w:r w:rsidRPr="000A6CCE">
              <w:rPr>
                <w:rFonts w:ascii="Arial" w:hAnsi="Arial" w:cs="Arial"/>
                <w:b/>
                <w:bCs/>
                <w:sz w:val="22"/>
                <w:szCs w:val="22"/>
              </w:rPr>
              <w:t>2025</w:t>
            </w:r>
          </w:p>
        </w:tc>
        <w:tc>
          <w:tcPr>
            <w:tcW w:w="1210" w:type="dxa"/>
            <w:shd w:val="clear" w:color="auto" w:fill="BFBFBF" w:themeFill="background1" w:themeFillShade="BF"/>
            <w:noWrap/>
            <w:hideMark/>
          </w:tcPr>
          <w:p w:rsidR="009C3540" w:rsidRPr="000A6CCE" w:rsidRDefault="009C3540" w:rsidP="00BE70B1">
            <w:pPr>
              <w:spacing w:line="300" w:lineRule="atLeast"/>
              <w:rPr>
                <w:rFonts w:ascii="Arial" w:hAnsi="Arial" w:cs="Arial"/>
                <w:b/>
                <w:bCs/>
                <w:sz w:val="22"/>
                <w:szCs w:val="22"/>
              </w:rPr>
            </w:pPr>
            <w:r w:rsidRPr="000A6CCE">
              <w:rPr>
                <w:rFonts w:ascii="Arial" w:hAnsi="Arial" w:cs="Arial"/>
                <w:b/>
                <w:bCs/>
                <w:sz w:val="22"/>
                <w:szCs w:val="22"/>
              </w:rPr>
              <w:t>2030</w:t>
            </w:r>
          </w:p>
        </w:tc>
        <w:tc>
          <w:tcPr>
            <w:tcW w:w="1210" w:type="dxa"/>
            <w:shd w:val="clear" w:color="auto" w:fill="BFBFBF" w:themeFill="background1" w:themeFillShade="BF"/>
            <w:noWrap/>
            <w:hideMark/>
          </w:tcPr>
          <w:p w:rsidR="009C3540" w:rsidRPr="000A6CCE" w:rsidRDefault="009C3540" w:rsidP="00BE70B1">
            <w:pPr>
              <w:spacing w:line="300" w:lineRule="atLeast"/>
              <w:rPr>
                <w:rFonts w:ascii="Arial" w:hAnsi="Arial" w:cs="Arial"/>
                <w:b/>
                <w:bCs/>
                <w:sz w:val="22"/>
                <w:szCs w:val="22"/>
              </w:rPr>
            </w:pPr>
            <w:r w:rsidRPr="000A6CCE">
              <w:rPr>
                <w:rFonts w:ascii="Arial" w:hAnsi="Arial" w:cs="Arial"/>
                <w:b/>
                <w:bCs/>
                <w:sz w:val="22"/>
                <w:szCs w:val="22"/>
              </w:rPr>
              <w:t>2035</w:t>
            </w:r>
          </w:p>
        </w:tc>
      </w:tr>
      <w:tr w:rsidR="009C3540" w:rsidRPr="000A6CCE" w:rsidTr="00BE70B1">
        <w:trPr>
          <w:trHeight w:val="300"/>
        </w:trPr>
        <w:tc>
          <w:tcPr>
            <w:tcW w:w="3681" w:type="dxa"/>
            <w:noWrap/>
            <w:hideMark/>
          </w:tcPr>
          <w:p w:rsidR="009C3540" w:rsidRPr="000A6CCE" w:rsidRDefault="009C3540" w:rsidP="00BE70B1">
            <w:pPr>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 xml:space="preserve">Total </w:t>
            </w:r>
            <w:r>
              <w:rPr>
                <w:rFonts w:ascii="Arial" w:eastAsia="Times New Roman" w:hAnsi="Arial" w:cs="Arial"/>
                <w:color w:val="000000"/>
                <w:sz w:val="22"/>
                <w:szCs w:val="22"/>
                <w:lang w:val="en-GB" w:eastAsia="en-GB"/>
              </w:rPr>
              <w:t xml:space="preserve">Birmingham </w:t>
            </w:r>
            <w:r w:rsidRPr="000A6CCE">
              <w:rPr>
                <w:rFonts w:ascii="Arial" w:eastAsia="Times New Roman" w:hAnsi="Arial" w:cs="Arial"/>
                <w:color w:val="000000"/>
                <w:sz w:val="22"/>
                <w:szCs w:val="22"/>
                <w:lang w:val="en-GB" w:eastAsia="en-GB"/>
              </w:rPr>
              <w:t>population</w:t>
            </w:r>
          </w:p>
        </w:tc>
        <w:tc>
          <w:tcPr>
            <w:tcW w:w="1209" w:type="dxa"/>
            <w:noWrap/>
            <w:hideMark/>
          </w:tcPr>
          <w:p w:rsidR="009C3540" w:rsidRPr="000A6CCE" w:rsidRDefault="009C3540" w:rsidP="00BE70B1">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1,156,200</w:t>
            </w:r>
          </w:p>
        </w:tc>
        <w:tc>
          <w:tcPr>
            <w:tcW w:w="1210" w:type="dxa"/>
            <w:noWrap/>
            <w:hideMark/>
          </w:tcPr>
          <w:p w:rsidR="009C3540" w:rsidRPr="000A6CCE" w:rsidRDefault="009C3540" w:rsidP="00BE70B1">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1,164,400</w:t>
            </w:r>
          </w:p>
        </w:tc>
        <w:tc>
          <w:tcPr>
            <w:tcW w:w="1210" w:type="dxa"/>
            <w:noWrap/>
            <w:hideMark/>
          </w:tcPr>
          <w:p w:rsidR="009C3540" w:rsidRPr="000A6CCE" w:rsidRDefault="009C3540" w:rsidP="00BE70B1">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1,201,900</w:t>
            </w:r>
          </w:p>
        </w:tc>
        <w:tc>
          <w:tcPr>
            <w:tcW w:w="1210" w:type="dxa"/>
            <w:noWrap/>
            <w:hideMark/>
          </w:tcPr>
          <w:p w:rsidR="009C3540" w:rsidRPr="000A6CCE" w:rsidRDefault="009C3540" w:rsidP="00BE70B1">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1,239,400</w:t>
            </w:r>
          </w:p>
        </w:tc>
        <w:tc>
          <w:tcPr>
            <w:tcW w:w="1210" w:type="dxa"/>
            <w:noWrap/>
            <w:hideMark/>
          </w:tcPr>
          <w:p w:rsidR="009C3540" w:rsidRPr="000A6CCE" w:rsidRDefault="009C3540" w:rsidP="00BE70B1">
            <w:pPr>
              <w:jc w:val="right"/>
              <w:rPr>
                <w:rFonts w:ascii="Arial" w:eastAsia="Times New Roman" w:hAnsi="Arial" w:cs="Arial"/>
                <w:color w:val="000000"/>
                <w:sz w:val="22"/>
                <w:szCs w:val="22"/>
                <w:lang w:val="en-GB" w:eastAsia="en-GB"/>
              </w:rPr>
            </w:pPr>
            <w:r w:rsidRPr="000A6CCE">
              <w:rPr>
                <w:rFonts w:ascii="Arial" w:eastAsia="Times New Roman" w:hAnsi="Arial" w:cs="Arial"/>
                <w:color w:val="000000"/>
                <w:sz w:val="22"/>
                <w:szCs w:val="22"/>
                <w:lang w:val="en-GB" w:eastAsia="en-GB"/>
              </w:rPr>
              <w:t>1,274,200</w:t>
            </w:r>
          </w:p>
        </w:tc>
      </w:tr>
      <w:tr w:rsidR="009C3540" w:rsidRPr="000A6CCE" w:rsidTr="00BE70B1">
        <w:trPr>
          <w:trHeight w:val="300"/>
        </w:trPr>
        <w:tc>
          <w:tcPr>
            <w:tcW w:w="3681" w:type="dxa"/>
            <w:noWrap/>
            <w:hideMark/>
          </w:tcPr>
          <w:p w:rsidR="009C3540" w:rsidRPr="000A6CCE" w:rsidRDefault="009C3540" w:rsidP="00BE70B1">
            <w:pPr>
              <w:spacing w:line="300" w:lineRule="atLeast"/>
              <w:rPr>
                <w:rFonts w:ascii="Arial" w:hAnsi="Arial" w:cs="Arial"/>
                <w:sz w:val="22"/>
                <w:szCs w:val="22"/>
              </w:rPr>
            </w:pPr>
            <w:r w:rsidRPr="009C3540">
              <w:rPr>
                <w:rFonts w:ascii="Arial" w:hAnsi="Arial" w:cs="Arial"/>
                <w:sz w:val="22"/>
                <w:szCs w:val="22"/>
              </w:rPr>
              <w:t>Total population aged 18-64 predicted to have impaired mobility</w:t>
            </w:r>
          </w:p>
        </w:tc>
        <w:tc>
          <w:tcPr>
            <w:tcW w:w="1209" w:type="dxa"/>
            <w:noWrap/>
            <w:hideMark/>
          </w:tcPr>
          <w:p w:rsidR="009C3540" w:rsidRPr="000A6CCE" w:rsidRDefault="009C3540" w:rsidP="00BE70B1">
            <w:pPr>
              <w:spacing w:line="300" w:lineRule="atLeast"/>
              <w:jc w:val="right"/>
              <w:rPr>
                <w:rFonts w:ascii="Arial" w:hAnsi="Arial" w:cs="Arial"/>
                <w:sz w:val="22"/>
                <w:szCs w:val="22"/>
              </w:rPr>
            </w:pPr>
            <w:r>
              <w:rPr>
                <w:rFonts w:ascii="Arial" w:hAnsi="Arial" w:cs="Arial"/>
                <w:sz w:val="22"/>
                <w:szCs w:val="22"/>
              </w:rPr>
              <w:t>32,517</w:t>
            </w:r>
          </w:p>
        </w:tc>
        <w:tc>
          <w:tcPr>
            <w:tcW w:w="1210" w:type="dxa"/>
            <w:noWrap/>
            <w:hideMark/>
          </w:tcPr>
          <w:p w:rsidR="009C3540" w:rsidRPr="000A6CCE" w:rsidRDefault="009C3540" w:rsidP="00BE70B1">
            <w:pPr>
              <w:spacing w:line="300" w:lineRule="atLeast"/>
              <w:jc w:val="right"/>
              <w:rPr>
                <w:rFonts w:ascii="Arial" w:hAnsi="Arial" w:cs="Arial"/>
                <w:sz w:val="22"/>
                <w:szCs w:val="22"/>
              </w:rPr>
            </w:pPr>
            <w:r>
              <w:rPr>
                <w:rFonts w:ascii="Arial" w:hAnsi="Arial" w:cs="Arial"/>
                <w:sz w:val="22"/>
                <w:szCs w:val="22"/>
              </w:rPr>
              <w:t>32,911</w:t>
            </w:r>
          </w:p>
        </w:tc>
        <w:tc>
          <w:tcPr>
            <w:tcW w:w="1210" w:type="dxa"/>
            <w:noWrap/>
            <w:hideMark/>
          </w:tcPr>
          <w:p w:rsidR="009C3540" w:rsidRPr="000A6CCE" w:rsidRDefault="009C3540" w:rsidP="00BE70B1">
            <w:pPr>
              <w:spacing w:line="300" w:lineRule="atLeast"/>
              <w:jc w:val="right"/>
              <w:rPr>
                <w:rFonts w:ascii="Arial" w:hAnsi="Arial" w:cs="Arial"/>
                <w:sz w:val="22"/>
                <w:szCs w:val="22"/>
              </w:rPr>
            </w:pPr>
            <w:r>
              <w:rPr>
                <w:rFonts w:ascii="Arial" w:hAnsi="Arial" w:cs="Arial"/>
                <w:sz w:val="22"/>
                <w:szCs w:val="22"/>
              </w:rPr>
              <w:t>34,424</w:t>
            </w:r>
          </w:p>
        </w:tc>
        <w:tc>
          <w:tcPr>
            <w:tcW w:w="1210" w:type="dxa"/>
            <w:noWrap/>
            <w:hideMark/>
          </w:tcPr>
          <w:p w:rsidR="009C3540" w:rsidRPr="000A6CCE" w:rsidRDefault="009C3540" w:rsidP="00BE70B1">
            <w:pPr>
              <w:spacing w:line="300" w:lineRule="atLeast"/>
              <w:jc w:val="right"/>
              <w:rPr>
                <w:rFonts w:ascii="Arial" w:hAnsi="Arial" w:cs="Arial"/>
                <w:sz w:val="22"/>
                <w:szCs w:val="22"/>
              </w:rPr>
            </w:pPr>
            <w:r>
              <w:rPr>
                <w:rFonts w:ascii="Arial" w:hAnsi="Arial" w:cs="Arial"/>
                <w:sz w:val="22"/>
                <w:szCs w:val="22"/>
              </w:rPr>
              <w:t>34,929</w:t>
            </w:r>
          </w:p>
        </w:tc>
        <w:tc>
          <w:tcPr>
            <w:tcW w:w="1210" w:type="dxa"/>
            <w:noWrap/>
            <w:hideMark/>
          </w:tcPr>
          <w:p w:rsidR="009C3540" w:rsidRPr="000A6CCE" w:rsidRDefault="009C3540" w:rsidP="00BE70B1">
            <w:pPr>
              <w:spacing w:line="300" w:lineRule="atLeast"/>
              <w:jc w:val="right"/>
              <w:rPr>
                <w:rFonts w:ascii="Arial" w:hAnsi="Arial" w:cs="Arial"/>
                <w:sz w:val="22"/>
                <w:szCs w:val="22"/>
              </w:rPr>
            </w:pPr>
            <w:r>
              <w:rPr>
                <w:rFonts w:ascii="Arial" w:hAnsi="Arial" w:cs="Arial"/>
                <w:sz w:val="22"/>
                <w:szCs w:val="22"/>
              </w:rPr>
              <w:t>35,019</w:t>
            </w:r>
          </w:p>
        </w:tc>
      </w:tr>
      <w:tr w:rsidR="00503F40" w:rsidRPr="000A6CCE" w:rsidTr="00BE70B1">
        <w:trPr>
          <w:trHeight w:val="300"/>
        </w:trPr>
        <w:tc>
          <w:tcPr>
            <w:tcW w:w="3681" w:type="dxa"/>
            <w:noWrap/>
          </w:tcPr>
          <w:p w:rsidR="00503F40" w:rsidRPr="009C3540" w:rsidRDefault="00503F40" w:rsidP="00BE70B1">
            <w:pPr>
              <w:spacing w:line="300" w:lineRule="atLeast"/>
              <w:rPr>
                <w:rFonts w:ascii="Arial" w:hAnsi="Arial" w:cs="Arial"/>
                <w:sz w:val="22"/>
                <w:szCs w:val="22"/>
              </w:rPr>
            </w:pPr>
            <w:r w:rsidRPr="00503F40">
              <w:rPr>
                <w:rFonts w:ascii="Arial" w:hAnsi="Arial" w:cs="Arial"/>
                <w:sz w:val="22"/>
                <w:szCs w:val="22"/>
              </w:rPr>
              <w:t>Total population aged 18-64</w:t>
            </w:r>
            <w:r w:rsidR="00C31881">
              <w:rPr>
                <w:rFonts w:ascii="Arial" w:hAnsi="Arial" w:cs="Arial"/>
                <w:sz w:val="22"/>
                <w:szCs w:val="22"/>
              </w:rPr>
              <w:t xml:space="preserve"> </w:t>
            </w:r>
            <w:r w:rsidR="00312819">
              <w:rPr>
                <w:rFonts w:ascii="Arial" w:hAnsi="Arial" w:cs="Arial"/>
                <w:sz w:val="22"/>
                <w:szCs w:val="22"/>
              </w:rPr>
              <w:t>with moderate or severe learning disa</w:t>
            </w:r>
            <w:r w:rsidR="00C31881">
              <w:rPr>
                <w:rFonts w:ascii="Arial" w:hAnsi="Arial" w:cs="Arial"/>
                <w:sz w:val="22"/>
                <w:szCs w:val="22"/>
              </w:rPr>
              <w:t xml:space="preserve">bility </w:t>
            </w:r>
            <w:r w:rsidRPr="00503F40">
              <w:rPr>
                <w:rFonts w:ascii="Arial" w:hAnsi="Arial" w:cs="Arial"/>
                <w:sz w:val="22"/>
                <w:szCs w:val="22"/>
              </w:rPr>
              <w:t>predicted to be living with a parent</w:t>
            </w:r>
          </w:p>
        </w:tc>
        <w:tc>
          <w:tcPr>
            <w:tcW w:w="1209" w:type="dxa"/>
            <w:noWrap/>
          </w:tcPr>
          <w:p w:rsidR="00503F40" w:rsidRDefault="00503F40" w:rsidP="00BE70B1">
            <w:pPr>
              <w:spacing w:line="300" w:lineRule="atLeast"/>
              <w:jc w:val="right"/>
              <w:rPr>
                <w:rFonts w:ascii="Arial" w:hAnsi="Arial" w:cs="Arial"/>
                <w:sz w:val="22"/>
                <w:szCs w:val="22"/>
              </w:rPr>
            </w:pPr>
            <w:r>
              <w:rPr>
                <w:rFonts w:ascii="Arial" w:hAnsi="Arial" w:cs="Arial"/>
                <w:sz w:val="22"/>
                <w:szCs w:val="22"/>
              </w:rPr>
              <w:t>70,078</w:t>
            </w:r>
          </w:p>
        </w:tc>
        <w:tc>
          <w:tcPr>
            <w:tcW w:w="1210" w:type="dxa"/>
            <w:noWrap/>
          </w:tcPr>
          <w:p w:rsidR="00503F40" w:rsidRDefault="00503F40" w:rsidP="00BE70B1">
            <w:pPr>
              <w:spacing w:line="300" w:lineRule="atLeast"/>
              <w:jc w:val="right"/>
              <w:rPr>
                <w:rFonts w:ascii="Arial" w:hAnsi="Arial" w:cs="Arial"/>
                <w:sz w:val="22"/>
                <w:szCs w:val="22"/>
              </w:rPr>
            </w:pPr>
            <w:r>
              <w:rPr>
                <w:rFonts w:ascii="Arial" w:hAnsi="Arial" w:cs="Arial"/>
                <w:sz w:val="22"/>
                <w:szCs w:val="22"/>
              </w:rPr>
              <w:t>69,905</w:t>
            </w:r>
          </w:p>
        </w:tc>
        <w:tc>
          <w:tcPr>
            <w:tcW w:w="1210" w:type="dxa"/>
            <w:noWrap/>
          </w:tcPr>
          <w:p w:rsidR="00503F40" w:rsidRDefault="00503F40" w:rsidP="00BE70B1">
            <w:pPr>
              <w:spacing w:line="300" w:lineRule="atLeast"/>
              <w:jc w:val="right"/>
              <w:rPr>
                <w:rFonts w:ascii="Arial" w:hAnsi="Arial" w:cs="Arial"/>
                <w:sz w:val="22"/>
                <w:szCs w:val="22"/>
              </w:rPr>
            </w:pPr>
            <w:r>
              <w:rPr>
                <w:rFonts w:ascii="Arial" w:hAnsi="Arial" w:cs="Arial"/>
                <w:sz w:val="22"/>
                <w:szCs w:val="22"/>
              </w:rPr>
              <w:t>70,106</w:t>
            </w:r>
          </w:p>
        </w:tc>
        <w:tc>
          <w:tcPr>
            <w:tcW w:w="1210" w:type="dxa"/>
            <w:noWrap/>
          </w:tcPr>
          <w:p w:rsidR="00503F40" w:rsidRDefault="00503F40" w:rsidP="00BE70B1">
            <w:pPr>
              <w:spacing w:line="300" w:lineRule="atLeast"/>
              <w:jc w:val="right"/>
              <w:rPr>
                <w:rFonts w:ascii="Arial" w:hAnsi="Arial" w:cs="Arial"/>
                <w:sz w:val="22"/>
                <w:szCs w:val="22"/>
              </w:rPr>
            </w:pPr>
            <w:r>
              <w:rPr>
                <w:rFonts w:ascii="Arial" w:hAnsi="Arial" w:cs="Arial"/>
                <w:sz w:val="22"/>
                <w:szCs w:val="22"/>
              </w:rPr>
              <w:t>71,777</w:t>
            </w:r>
          </w:p>
        </w:tc>
        <w:tc>
          <w:tcPr>
            <w:tcW w:w="1210" w:type="dxa"/>
            <w:noWrap/>
          </w:tcPr>
          <w:p w:rsidR="00503F40" w:rsidRDefault="00503F40" w:rsidP="00BE70B1">
            <w:pPr>
              <w:spacing w:line="300" w:lineRule="atLeast"/>
              <w:jc w:val="right"/>
              <w:rPr>
                <w:rFonts w:ascii="Arial" w:hAnsi="Arial" w:cs="Arial"/>
                <w:sz w:val="22"/>
                <w:szCs w:val="22"/>
              </w:rPr>
            </w:pPr>
            <w:r>
              <w:rPr>
                <w:rFonts w:ascii="Arial" w:hAnsi="Arial" w:cs="Arial"/>
                <w:sz w:val="22"/>
                <w:szCs w:val="22"/>
              </w:rPr>
              <w:t>72,665</w:t>
            </w:r>
          </w:p>
        </w:tc>
      </w:tr>
    </w:tbl>
    <w:p w:rsidR="009C3540" w:rsidRDefault="009C3540" w:rsidP="000A6CCE">
      <w:pPr>
        <w:spacing w:line="300" w:lineRule="atLeast"/>
        <w:rPr>
          <w:rFonts w:ascii="Arial" w:hAnsi="Arial" w:cs="Arial"/>
          <w:color w:val="FF0000"/>
          <w:sz w:val="22"/>
          <w:szCs w:val="22"/>
        </w:rPr>
      </w:pPr>
    </w:p>
    <w:p w:rsidR="00C31881" w:rsidRDefault="00C31881" w:rsidP="00071525">
      <w:pPr>
        <w:pStyle w:val="ListParagraph"/>
        <w:numPr>
          <w:ilvl w:val="0"/>
          <w:numId w:val="23"/>
        </w:numPr>
        <w:spacing w:line="300" w:lineRule="atLeast"/>
        <w:rPr>
          <w:rFonts w:ascii="Arial" w:hAnsi="Arial" w:cs="Arial"/>
          <w:sz w:val="22"/>
          <w:szCs w:val="22"/>
        </w:rPr>
      </w:pPr>
      <w:bookmarkStart w:id="3" w:name="_Hlk45621267"/>
      <w:r>
        <w:rPr>
          <w:rFonts w:ascii="Arial" w:hAnsi="Arial" w:cs="Arial"/>
          <w:sz w:val="22"/>
          <w:szCs w:val="22"/>
        </w:rPr>
        <w:t>There is predicted to be a 7.4% increase in p</w:t>
      </w:r>
      <w:r w:rsidRPr="00C31881">
        <w:rPr>
          <w:rFonts w:ascii="Arial" w:hAnsi="Arial" w:cs="Arial"/>
          <w:sz w:val="22"/>
          <w:szCs w:val="22"/>
        </w:rPr>
        <w:t>eople aged 18-64 hav</w:t>
      </w:r>
      <w:r w:rsidR="00E96826">
        <w:rPr>
          <w:rFonts w:ascii="Arial" w:hAnsi="Arial" w:cs="Arial"/>
          <w:sz w:val="22"/>
          <w:szCs w:val="22"/>
        </w:rPr>
        <w:t>ing</w:t>
      </w:r>
      <w:r w:rsidRPr="00C31881">
        <w:rPr>
          <w:rFonts w:ascii="Arial" w:hAnsi="Arial" w:cs="Arial"/>
          <w:sz w:val="22"/>
          <w:szCs w:val="22"/>
        </w:rPr>
        <w:t xml:space="preserve"> impaired mobility</w:t>
      </w:r>
      <w:r>
        <w:rPr>
          <w:rFonts w:ascii="Arial" w:hAnsi="Arial" w:cs="Arial"/>
          <w:sz w:val="22"/>
          <w:szCs w:val="22"/>
        </w:rPr>
        <w:t>.</w:t>
      </w:r>
    </w:p>
    <w:p w:rsidR="00C31881" w:rsidRDefault="006269DB" w:rsidP="00071525">
      <w:pPr>
        <w:pStyle w:val="ListParagraph"/>
        <w:numPr>
          <w:ilvl w:val="0"/>
          <w:numId w:val="23"/>
        </w:numPr>
        <w:spacing w:line="300" w:lineRule="atLeast"/>
        <w:rPr>
          <w:rFonts w:ascii="Arial" w:hAnsi="Arial" w:cs="Arial"/>
          <w:sz w:val="22"/>
          <w:szCs w:val="22"/>
        </w:rPr>
      </w:pPr>
      <w:r>
        <w:rPr>
          <w:rFonts w:ascii="Arial" w:hAnsi="Arial" w:cs="Arial"/>
          <w:sz w:val="22"/>
          <w:szCs w:val="22"/>
        </w:rPr>
        <w:t>In addition, t</w:t>
      </w:r>
      <w:r w:rsidR="00C31881" w:rsidRPr="00C31881">
        <w:rPr>
          <w:rFonts w:ascii="Arial" w:hAnsi="Arial" w:cs="Arial"/>
          <w:sz w:val="22"/>
          <w:szCs w:val="22"/>
        </w:rPr>
        <w:t xml:space="preserve">here is predicted to be a </w:t>
      </w:r>
      <w:bookmarkStart w:id="4" w:name="_Hlk45621720"/>
      <w:r w:rsidR="00C31881" w:rsidRPr="00C31881">
        <w:rPr>
          <w:rFonts w:ascii="Arial" w:hAnsi="Arial" w:cs="Arial"/>
          <w:sz w:val="22"/>
          <w:szCs w:val="22"/>
        </w:rPr>
        <w:t xml:space="preserve">3.7% increase in people aged 18-64 </w:t>
      </w:r>
      <w:r w:rsidR="00C31881">
        <w:rPr>
          <w:rFonts w:ascii="Arial" w:hAnsi="Arial" w:cs="Arial"/>
          <w:sz w:val="22"/>
          <w:szCs w:val="22"/>
        </w:rPr>
        <w:t xml:space="preserve">with </w:t>
      </w:r>
      <w:r w:rsidR="00E96826">
        <w:rPr>
          <w:rFonts w:ascii="Arial" w:hAnsi="Arial" w:cs="Arial"/>
          <w:sz w:val="22"/>
          <w:szCs w:val="22"/>
        </w:rPr>
        <w:t xml:space="preserve">a </w:t>
      </w:r>
      <w:r w:rsidR="00C31881">
        <w:rPr>
          <w:rFonts w:ascii="Arial" w:hAnsi="Arial" w:cs="Arial"/>
          <w:sz w:val="22"/>
          <w:szCs w:val="22"/>
        </w:rPr>
        <w:t xml:space="preserve">moderate or severe learning disability </w:t>
      </w:r>
      <w:r w:rsidR="00C31881" w:rsidRPr="00503F40">
        <w:rPr>
          <w:rFonts w:ascii="Arial" w:hAnsi="Arial" w:cs="Arial"/>
          <w:sz w:val="22"/>
          <w:szCs w:val="22"/>
        </w:rPr>
        <w:t>living with a parent</w:t>
      </w:r>
      <w:bookmarkEnd w:id="4"/>
      <w:r w:rsidR="00C31881">
        <w:rPr>
          <w:rFonts w:ascii="Arial" w:hAnsi="Arial" w:cs="Arial"/>
          <w:sz w:val="22"/>
          <w:szCs w:val="22"/>
        </w:rPr>
        <w:t>.</w:t>
      </w:r>
    </w:p>
    <w:p w:rsidR="00E96826" w:rsidRPr="00E96826" w:rsidRDefault="00E96826" w:rsidP="00E96826">
      <w:pPr>
        <w:pStyle w:val="ListParagraph"/>
        <w:numPr>
          <w:ilvl w:val="0"/>
          <w:numId w:val="23"/>
        </w:numPr>
        <w:spacing w:line="276" w:lineRule="auto"/>
        <w:rPr>
          <w:rFonts w:ascii="Arial" w:hAnsi="Arial" w:cs="Arial"/>
          <w:sz w:val="22"/>
          <w:szCs w:val="22"/>
        </w:rPr>
      </w:pPr>
      <w:r>
        <w:rPr>
          <w:rFonts w:ascii="Arial" w:hAnsi="Arial" w:cs="Arial"/>
          <w:sz w:val="22"/>
          <w:szCs w:val="22"/>
        </w:rPr>
        <w:t>These groups will account for 8.6% of the total Birmingham population. As well as older people, i</w:t>
      </w:r>
      <w:r w:rsidRPr="006559A6">
        <w:rPr>
          <w:rFonts w:ascii="Arial" w:hAnsi="Arial" w:cs="Arial"/>
          <w:sz w:val="22"/>
          <w:szCs w:val="22"/>
        </w:rPr>
        <w:t xml:space="preserve">t is likely that these people will benefit from accessible and adaptable homes. </w:t>
      </w:r>
    </w:p>
    <w:p w:rsidR="006269DB" w:rsidRDefault="006269DB" w:rsidP="00071525">
      <w:pPr>
        <w:pStyle w:val="ListParagraph"/>
        <w:numPr>
          <w:ilvl w:val="0"/>
          <w:numId w:val="23"/>
        </w:numPr>
        <w:spacing w:line="300" w:lineRule="atLeast"/>
        <w:rPr>
          <w:rFonts w:ascii="Arial" w:hAnsi="Arial" w:cs="Arial"/>
          <w:sz w:val="22"/>
          <w:szCs w:val="22"/>
        </w:rPr>
      </w:pPr>
      <w:r>
        <w:rPr>
          <w:rFonts w:ascii="Arial" w:hAnsi="Arial" w:cs="Arial"/>
          <w:sz w:val="22"/>
          <w:szCs w:val="22"/>
        </w:rPr>
        <w:t xml:space="preserve">Overall, those aged 65+ with a LLTID (limited a lot and a little) and those aged 18-64 with impaired mobility or with a learning disability living with a parent will comprise </w:t>
      </w:r>
      <w:r w:rsidR="00E96826">
        <w:rPr>
          <w:rFonts w:ascii="Arial" w:hAnsi="Arial" w:cs="Arial"/>
          <w:sz w:val="22"/>
          <w:szCs w:val="22"/>
        </w:rPr>
        <w:t>17%</w:t>
      </w:r>
      <w:r>
        <w:rPr>
          <w:rFonts w:ascii="Arial" w:hAnsi="Arial" w:cs="Arial"/>
          <w:sz w:val="22"/>
          <w:szCs w:val="22"/>
        </w:rPr>
        <w:t xml:space="preserve"> of the total Birmingham population.</w:t>
      </w:r>
    </w:p>
    <w:bookmarkEnd w:id="3"/>
    <w:p w:rsidR="00E96826" w:rsidRPr="00E96826" w:rsidRDefault="00E96826" w:rsidP="00E96826">
      <w:pPr>
        <w:spacing w:line="300" w:lineRule="atLeast"/>
        <w:rPr>
          <w:rFonts w:ascii="Arial" w:hAnsi="Arial" w:cs="Arial"/>
          <w:sz w:val="22"/>
          <w:szCs w:val="22"/>
        </w:rPr>
      </w:pPr>
    </w:p>
    <w:p w:rsidR="005C5D5B" w:rsidRDefault="007E0BC8" w:rsidP="005C5D5B">
      <w:pPr>
        <w:spacing w:line="300" w:lineRule="atLeast"/>
        <w:ind w:left="709" w:hanging="709"/>
        <w:rPr>
          <w:rFonts w:ascii="Arial" w:hAnsi="Arial" w:cs="Arial"/>
          <w:sz w:val="22"/>
          <w:szCs w:val="22"/>
        </w:rPr>
      </w:pPr>
      <w:r>
        <w:rPr>
          <w:rFonts w:ascii="Arial" w:hAnsi="Arial" w:cs="Arial"/>
          <w:sz w:val="22"/>
          <w:szCs w:val="22"/>
        </w:rPr>
        <w:t>4.</w:t>
      </w:r>
      <w:r w:rsidR="006F190C">
        <w:rPr>
          <w:rFonts w:ascii="Arial" w:hAnsi="Arial" w:cs="Arial"/>
          <w:sz w:val="22"/>
          <w:szCs w:val="22"/>
        </w:rPr>
        <w:t>1</w:t>
      </w:r>
      <w:r w:rsidR="00F626FA">
        <w:rPr>
          <w:rFonts w:ascii="Arial" w:hAnsi="Arial" w:cs="Arial"/>
          <w:sz w:val="22"/>
          <w:szCs w:val="22"/>
        </w:rPr>
        <w:t>3</w:t>
      </w:r>
      <w:r w:rsidR="005C5D5B">
        <w:rPr>
          <w:rFonts w:ascii="Arial" w:hAnsi="Arial" w:cs="Arial"/>
          <w:sz w:val="22"/>
          <w:szCs w:val="22"/>
        </w:rPr>
        <w:tab/>
        <w:t xml:space="preserve">Building </w:t>
      </w:r>
      <w:r w:rsidR="005C5D5B" w:rsidRPr="0048286E">
        <w:rPr>
          <w:rFonts w:ascii="Arial" w:hAnsi="Arial" w:cs="Arial"/>
          <w:sz w:val="22"/>
          <w:szCs w:val="22"/>
        </w:rPr>
        <w:t>accessible housing can make a substantial difference to quality of</w:t>
      </w:r>
      <w:r w:rsidR="005C5D5B">
        <w:rPr>
          <w:rFonts w:ascii="Arial" w:hAnsi="Arial" w:cs="Arial"/>
          <w:sz w:val="22"/>
          <w:szCs w:val="22"/>
        </w:rPr>
        <w:t xml:space="preserve"> life, whether you need support </w:t>
      </w:r>
      <w:r w:rsidR="005C5D5B" w:rsidRPr="0048286E">
        <w:rPr>
          <w:rFonts w:ascii="Arial" w:hAnsi="Arial" w:cs="Arial"/>
          <w:sz w:val="22"/>
          <w:szCs w:val="22"/>
        </w:rPr>
        <w:t>yourself or are caring for someone else. The wider be</w:t>
      </w:r>
      <w:r w:rsidR="005C5D5B">
        <w:rPr>
          <w:rFonts w:ascii="Arial" w:hAnsi="Arial" w:cs="Arial"/>
          <w:sz w:val="22"/>
          <w:szCs w:val="22"/>
        </w:rPr>
        <w:t xml:space="preserve">nefits of delivering accessible </w:t>
      </w:r>
      <w:r w:rsidR="005C5D5B" w:rsidRPr="0048286E">
        <w:rPr>
          <w:rFonts w:ascii="Arial" w:hAnsi="Arial" w:cs="Arial"/>
          <w:sz w:val="22"/>
          <w:szCs w:val="22"/>
        </w:rPr>
        <w:t xml:space="preserve">and adaptable housing </w:t>
      </w:r>
      <w:r>
        <w:rPr>
          <w:rFonts w:ascii="Arial" w:hAnsi="Arial" w:cs="Arial"/>
          <w:sz w:val="22"/>
          <w:szCs w:val="22"/>
        </w:rPr>
        <w:t>are</w:t>
      </w:r>
      <w:r w:rsidR="005C5D5B" w:rsidRPr="0048286E">
        <w:rPr>
          <w:rFonts w:ascii="Arial" w:hAnsi="Arial" w:cs="Arial"/>
          <w:sz w:val="22"/>
          <w:szCs w:val="22"/>
        </w:rPr>
        <w:t xml:space="preserve"> improv</w:t>
      </w:r>
      <w:r>
        <w:rPr>
          <w:rFonts w:ascii="Arial" w:hAnsi="Arial" w:cs="Arial"/>
          <w:sz w:val="22"/>
          <w:szCs w:val="22"/>
        </w:rPr>
        <w:t>ing</w:t>
      </w:r>
      <w:r w:rsidR="005C5D5B" w:rsidRPr="0048286E">
        <w:rPr>
          <w:rFonts w:ascii="Arial" w:hAnsi="Arial" w:cs="Arial"/>
          <w:sz w:val="22"/>
          <w:szCs w:val="22"/>
        </w:rPr>
        <w:t xml:space="preserve"> the quality of life for residents no</w:t>
      </w:r>
      <w:r w:rsidR="005C5D5B">
        <w:rPr>
          <w:rFonts w:ascii="Arial" w:hAnsi="Arial" w:cs="Arial"/>
          <w:sz w:val="22"/>
          <w:szCs w:val="22"/>
        </w:rPr>
        <w:t xml:space="preserve">w </w:t>
      </w:r>
      <w:r>
        <w:rPr>
          <w:rFonts w:ascii="Arial" w:hAnsi="Arial" w:cs="Arial"/>
          <w:sz w:val="22"/>
          <w:szCs w:val="22"/>
        </w:rPr>
        <w:t>and</w:t>
      </w:r>
      <w:r w:rsidRPr="0048286E">
        <w:rPr>
          <w:rFonts w:ascii="Arial" w:hAnsi="Arial" w:cs="Arial"/>
          <w:sz w:val="22"/>
          <w:szCs w:val="22"/>
        </w:rPr>
        <w:t xml:space="preserve"> ensuring</w:t>
      </w:r>
      <w:r w:rsidR="005C5D5B" w:rsidRPr="0048286E">
        <w:rPr>
          <w:rFonts w:ascii="Arial" w:hAnsi="Arial" w:cs="Arial"/>
          <w:sz w:val="22"/>
          <w:szCs w:val="22"/>
        </w:rPr>
        <w:t xml:space="preserve"> that future need is </w:t>
      </w:r>
      <w:r>
        <w:rPr>
          <w:rFonts w:ascii="Arial" w:hAnsi="Arial" w:cs="Arial"/>
          <w:sz w:val="22"/>
          <w:szCs w:val="22"/>
        </w:rPr>
        <w:t>met</w:t>
      </w:r>
      <w:r w:rsidR="005C5D5B" w:rsidRPr="0048286E">
        <w:rPr>
          <w:rFonts w:ascii="Arial" w:hAnsi="Arial" w:cs="Arial"/>
          <w:sz w:val="22"/>
          <w:szCs w:val="22"/>
        </w:rPr>
        <w:t>.</w:t>
      </w:r>
      <w:r w:rsidR="005C5D5B">
        <w:rPr>
          <w:rFonts w:ascii="Arial" w:hAnsi="Arial" w:cs="Arial"/>
          <w:sz w:val="22"/>
          <w:szCs w:val="22"/>
        </w:rPr>
        <w:t xml:space="preserve"> </w:t>
      </w:r>
    </w:p>
    <w:p w:rsidR="00605B71" w:rsidRDefault="00605B71" w:rsidP="00605B71">
      <w:pPr>
        <w:spacing w:line="300" w:lineRule="atLeast"/>
        <w:rPr>
          <w:rFonts w:ascii="Arial" w:hAnsi="Arial" w:cs="Arial"/>
          <w:b/>
          <w:sz w:val="22"/>
          <w:szCs w:val="22"/>
        </w:rPr>
      </w:pPr>
    </w:p>
    <w:p w:rsidR="00605B71" w:rsidRDefault="006014D3" w:rsidP="00605B71">
      <w:pPr>
        <w:spacing w:line="300" w:lineRule="atLeast"/>
        <w:ind w:left="709" w:hanging="709"/>
        <w:rPr>
          <w:rFonts w:ascii="Arial" w:hAnsi="Arial" w:cs="Arial"/>
          <w:sz w:val="22"/>
          <w:szCs w:val="22"/>
        </w:rPr>
      </w:pPr>
      <w:r>
        <w:rPr>
          <w:rFonts w:ascii="Arial" w:hAnsi="Arial" w:cs="Arial"/>
          <w:sz w:val="22"/>
          <w:szCs w:val="22"/>
        </w:rPr>
        <w:t>4</w:t>
      </w:r>
      <w:r w:rsidR="00E60EEF">
        <w:rPr>
          <w:rFonts w:ascii="Arial" w:hAnsi="Arial" w:cs="Arial"/>
          <w:sz w:val="22"/>
          <w:szCs w:val="22"/>
        </w:rPr>
        <w:t>.</w:t>
      </w:r>
      <w:r w:rsidR="00A85A8F">
        <w:rPr>
          <w:rFonts w:ascii="Arial" w:hAnsi="Arial" w:cs="Arial"/>
          <w:sz w:val="22"/>
          <w:szCs w:val="22"/>
        </w:rPr>
        <w:t>1</w:t>
      </w:r>
      <w:r w:rsidR="00F626FA">
        <w:rPr>
          <w:rFonts w:ascii="Arial" w:hAnsi="Arial" w:cs="Arial"/>
          <w:sz w:val="22"/>
          <w:szCs w:val="22"/>
        </w:rPr>
        <w:t>4</w:t>
      </w:r>
      <w:r w:rsidR="00605B71">
        <w:rPr>
          <w:rFonts w:ascii="Arial" w:hAnsi="Arial" w:cs="Arial"/>
          <w:sz w:val="22"/>
          <w:szCs w:val="22"/>
        </w:rPr>
        <w:tab/>
      </w:r>
      <w:r>
        <w:rPr>
          <w:rFonts w:ascii="Arial" w:hAnsi="Arial" w:cs="Arial"/>
          <w:sz w:val="22"/>
          <w:szCs w:val="22"/>
        </w:rPr>
        <w:t xml:space="preserve">A Part </w:t>
      </w:r>
      <w:r w:rsidR="00605B71">
        <w:rPr>
          <w:rFonts w:ascii="Arial" w:hAnsi="Arial" w:cs="Arial"/>
          <w:sz w:val="22"/>
          <w:szCs w:val="22"/>
        </w:rPr>
        <w:t xml:space="preserve">M4(2) </w:t>
      </w:r>
      <w:r>
        <w:rPr>
          <w:rFonts w:ascii="Arial" w:hAnsi="Arial" w:cs="Arial"/>
          <w:sz w:val="22"/>
          <w:szCs w:val="22"/>
        </w:rPr>
        <w:t>a</w:t>
      </w:r>
      <w:r w:rsidR="00605B71">
        <w:rPr>
          <w:rFonts w:ascii="Arial" w:hAnsi="Arial" w:cs="Arial"/>
          <w:sz w:val="22"/>
          <w:szCs w:val="22"/>
        </w:rPr>
        <w:t xml:space="preserve">ccessible and </w:t>
      </w:r>
      <w:r>
        <w:rPr>
          <w:rFonts w:ascii="Arial" w:hAnsi="Arial" w:cs="Arial"/>
          <w:sz w:val="22"/>
          <w:szCs w:val="22"/>
        </w:rPr>
        <w:t>a</w:t>
      </w:r>
      <w:r w:rsidR="00605B71">
        <w:rPr>
          <w:rFonts w:ascii="Arial" w:hAnsi="Arial" w:cs="Arial"/>
          <w:sz w:val="22"/>
          <w:szCs w:val="22"/>
        </w:rPr>
        <w:t xml:space="preserve">daptable </w:t>
      </w:r>
      <w:r>
        <w:rPr>
          <w:rFonts w:ascii="Arial" w:hAnsi="Arial" w:cs="Arial"/>
          <w:sz w:val="22"/>
          <w:szCs w:val="22"/>
        </w:rPr>
        <w:t>d</w:t>
      </w:r>
      <w:r w:rsidR="00605B71">
        <w:rPr>
          <w:rFonts w:ascii="Arial" w:hAnsi="Arial" w:cs="Arial"/>
          <w:sz w:val="22"/>
          <w:szCs w:val="22"/>
        </w:rPr>
        <w:t>welling</w:t>
      </w:r>
      <w:r>
        <w:rPr>
          <w:rFonts w:ascii="Arial" w:hAnsi="Arial" w:cs="Arial"/>
          <w:sz w:val="22"/>
          <w:szCs w:val="22"/>
        </w:rPr>
        <w:t xml:space="preserve"> </w:t>
      </w:r>
      <w:r w:rsidR="00605B71">
        <w:rPr>
          <w:rFonts w:ascii="Arial" w:hAnsi="Arial" w:cs="Arial"/>
          <w:sz w:val="22"/>
          <w:szCs w:val="22"/>
        </w:rPr>
        <w:t xml:space="preserve">will be designed with </w:t>
      </w:r>
      <w:proofErr w:type="gramStart"/>
      <w:r w:rsidR="00605B71">
        <w:rPr>
          <w:rFonts w:ascii="Arial" w:hAnsi="Arial" w:cs="Arial"/>
          <w:sz w:val="22"/>
          <w:szCs w:val="22"/>
        </w:rPr>
        <w:t>particular attention</w:t>
      </w:r>
      <w:proofErr w:type="gramEnd"/>
      <w:r w:rsidR="00605B71">
        <w:rPr>
          <w:rFonts w:ascii="Arial" w:hAnsi="Arial" w:cs="Arial"/>
          <w:sz w:val="22"/>
          <w:szCs w:val="22"/>
        </w:rPr>
        <w:t xml:space="preserve"> to circulation within the home and external routes to transport infrastructure.  Pathways, hallways, stairways and access to floors above, doorways and spaces to approach and reach essential facilities and controls in the home will be taken into consideration. Integral design features are ready to assist adaptation for households that </w:t>
      </w:r>
      <w:r w:rsidR="007D1482" w:rsidRPr="008D4D42">
        <w:rPr>
          <w:rFonts w:ascii="Arial" w:hAnsi="Arial" w:cs="Arial"/>
          <w:sz w:val="22"/>
          <w:szCs w:val="22"/>
        </w:rPr>
        <w:t xml:space="preserve">have </w:t>
      </w:r>
      <w:r w:rsidR="00605B71">
        <w:rPr>
          <w:rFonts w:ascii="Arial" w:hAnsi="Arial" w:cs="Arial"/>
          <w:sz w:val="22"/>
          <w:szCs w:val="22"/>
        </w:rPr>
        <w:t xml:space="preserve">a family member with a temporary or permanent disability or a progressive condition that is making movement around the homes or between floors difficult. </w:t>
      </w:r>
    </w:p>
    <w:p w:rsidR="00BC373F" w:rsidRDefault="00BC373F" w:rsidP="00605B71">
      <w:pPr>
        <w:spacing w:line="300" w:lineRule="atLeast"/>
        <w:ind w:left="709" w:hanging="709"/>
        <w:rPr>
          <w:rFonts w:ascii="Arial" w:hAnsi="Arial" w:cs="Arial"/>
          <w:sz w:val="22"/>
          <w:szCs w:val="22"/>
        </w:rPr>
      </w:pPr>
    </w:p>
    <w:p w:rsidR="00BD36B9" w:rsidRDefault="006014D3" w:rsidP="006014D3">
      <w:pPr>
        <w:spacing w:after="120" w:line="300" w:lineRule="atLeast"/>
        <w:ind w:left="709" w:hanging="709"/>
        <w:rPr>
          <w:rFonts w:ascii="Arial" w:hAnsi="Arial" w:cs="Arial"/>
          <w:sz w:val="22"/>
          <w:szCs w:val="22"/>
        </w:rPr>
      </w:pPr>
      <w:r>
        <w:rPr>
          <w:rFonts w:ascii="Arial" w:hAnsi="Arial" w:cs="Arial"/>
          <w:sz w:val="22"/>
          <w:szCs w:val="22"/>
        </w:rPr>
        <w:t>4.</w:t>
      </w:r>
      <w:r w:rsidR="00344A94">
        <w:rPr>
          <w:rFonts w:ascii="Arial" w:hAnsi="Arial" w:cs="Arial"/>
          <w:sz w:val="22"/>
          <w:szCs w:val="22"/>
        </w:rPr>
        <w:t>1</w:t>
      </w:r>
      <w:r w:rsidR="00F626FA">
        <w:rPr>
          <w:rFonts w:ascii="Arial" w:hAnsi="Arial" w:cs="Arial"/>
          <w:sz w:val="22"/>
          <w:szCs w:val="22"/>
        </w:rPr>
        <w:t>5</w:t>
      </w:r>
      <w:r w:rsidR="00BC373F">
        <w:rPr>
          <w:rFonts w:ascii="Arial" w:hAnsi="Arial" w:cs="Arial"/>
          <w:sz w:val="22"/>
          <w:szCs w:val="22"/>
        </w:rPr>
        <w:tab/>
        <w:t xml:space="preserve">Research underpinning the Lifetime Homes </w:t>
      </w:r>
      <w:r>
        <w:rPr>
          <w:rFonts w:ascii="Arial" w:hAnsi="Arial" w:cs="Arial"/>
          <w:sz w:val="22"/>
          <w:szCs w:val="22"/>
        </w:rPr>
        <w:t xml:space="preserve">(now Part M4(2) accessible and adaptable dwelling) </w:t>
      </w:r>
      <w:r w:rsidR="00BC373F">
        <w:rPr>
          <w:rFonts w:ascii="Arial" w:hAnsi="Arial" w:cs="Arial"/>
          <w:sz w:val="22"/>
          <w:szCs w:val="22"/>
        </w:rPr>
        <w:t xml:space="preserve">principles highlighted </w:t>
      </w:r>
      <w:r w:rsidR="00C640AC">
        <w:rPr>
          <w:rFonts w:ascii="Arial" w:hAnsi="Arial" w:cs="Arial"/>
          <w:sz w:val="22"/>
          <w:szCs w:val="22"/>
        </w:rPr>
        <w:t xml:space="preserve">the </w:t>
      </w:r>
      <w:r w:rsidR="00C32006">
        <w:rPr>
          <w:rFonts w:ascii="Arial" w:hAnsi="Arial" w:cs="Arial"/>
          <w:sz w:val="22"/>
          <w:szCs w:val="22"/>
        </w:rPr>
        <w:t>long-term</w:t>
      </w:r>
      <w:r w:rsidR="00C640AC">
        <w:rPr>
          <w:rFonts w:ascii="Arial" w:hAnsi="Arial" w:cs="Arial"/>
          <w:sz w:val="22"/>
          <w:szCs w:val="22"/>
        </w:rPr>
        <w:t xml:space="preserve"> value of providing high quality housing specifically designed for older people as it is this age group that has higher levels of mobility and other health related issues.  The provision of housing for older and less mobile people includes potential saving through:</w:t>
      </w:r>
    </w:p>
    <w:p w:rsidR="00C640AC" w:rsidRDefault="00C640AC" w:rsidP="00071525">
      <w:pPr>
        <w:pStyle w:val="ListParagraph"/>
        <w:numPr>
          <w:ilvl w:val="0"/>
          <w:numId w:val="5"/>
        </w:numPr>
        <w:spacing w:line="300" w:lineRule="atLeast"/>
        <w:rPr>
          <w:rFonts w:ascii="Arial" w:hAnsi="Arial" w:cs="Arial"/>
          <w:sz w:val="22"/>
          <w:szCs w:val="22"/>
        </w:rPr>
      </w:pPr>
      <w:r>
        <w:rPr>
          <w:rFonts w:ascii="Arial" w:hAnsi="Arial" w:cs="Arial"/>
          <w:sz w:val="22"/>
          <w:szCs w:val="22"/>
        </w:rPr>
        <w:t>Reducing the risks of falls;</w:t>
      </w:r>
    </w:p>
    <w:p w:rsidR="00C640AC" w:rsidRDefault="00C640AC" w:rsidP="00071525">
      <w:pPr>
        <w:pStyle w:val="ListParagraph"/>
        <w:numPr>
          <w:ilvl w:val="0"/>
          <w:numId w:val="5"/>
        </w:numPr>
        <w:spacing w:line="300" w:lineRule="atLeast"/>
        <w:rPr>
          <w:rFonts w:ascii="Arial" w:hAnsi="Arial" w:cs="Arial"/>
          <w:sz w:val="22"/>
          <w:szCs w:val="22"/>
        </w:rPr>
      </w:pPr>
      <w:r>
        <w:rPr>
          <w:rFonts w:ascii="Arial" w:hAnsi="Arial" w:cs="Arial"/>
          <w:sz w:val="22"/>
          <w:szCs w:val="22"/>
        </w:rPr>
        <w:t>Protecting against the effects of cold homes and fuel poverty;</w:t>
      </w:r>
    </w:p>
    <w:p w:rsidR="00C640AC" w:rsidRDefault="00C640AC" w:rsidP="00071525">
      <w:pPr>
        <w:pStyle w:val="ListParagraph"/>
        <w:numPr>
          <w:ilvl w:val="0"/>
          <w:numId w:val="5"/>
        </w:numPr>
        <w:spacing w:line="300" w:lineRule="atLeast"/>
        <w:rPr>
          <w:rFonts w:ascii="Arial" w:hAnsi="Arial" w:cs="Arial"/>
          <w:sz w:val="22"/>
          <w:szCs w:val="22"/>
        </w:rPr>
      </w:pPr>
      <w:r>
        <w:rPr>
          <w:rFonts w:ascii="Arial" w:hAnsi="Arial" w:cs="Arial"/>
          <w:sz w:val="22"/>
          <w:szCs w:val="22"/>
        </w:rPr>
        <w:t>Enabling earlier discharge from</w:t>
      </w:r>
      <w:r w:rsidR="009627B0">
        <w:rPr>
          <w:rFonts w:ascii="Arial" w:hAnsi="Arial" w:cs="Arial"/>
          <w:sz w:val="22"/>
          <w:szCs w:val="22"/>
        </w:rPr>
        <w:t xml:space="preserve">, </w:t>
      </w:r>
      <w:r>
        <w:rPr>
          <w:rFonts w:ascii="Arial" w:hAnsi="Arial" w:cs="Arial"/>
          <w:sz w:val="22"/>
          <w:szCs w:val="22"/>
        </w:rPr>
        <w:t xml:space="preserve">and fewer readmissions to hospital; </w:t>
      </w:r>
    </w:p>
    <w:p w:rsidR="00C640AC" w:rsidRDefault="00C640AC" w:rsidP="00071525">
      <w:pPr>
        <w:pStyle w:val="ListParagraph"/>
        <w:numPr>
          <w:ilvl w:val="0"/>
          <w:numId w:val="5"/>
        </w:numPr>
        <w:spacing w:line="300" w:lineRule="atLeast"/>
        <w:rPr>
          <w:rFonts w:ascii="Arial" w:hAnsi="Arial" w:cs="Arial"/>
          <w:sz w:val="22"/>
          <w:szCs w:val="22"/>
        </w:rPr>
      </w:pPr>
      <w:r>
        <w:rPr>
          <w:rFonts w:ascii="Arial" w:hAnsi="Arial" w:cs="Arial"/>
          <w:sz w:val="22"/>
          <w:szCs w:val="22"/>
        </w:rPr>
        <w:t>Preventing the need (both temporary and permanent) for institutional residential care; and</w:t>
      </w:r>
    </w:p>
    <w:p w:rsidR="00605B71" w:rsidRDefault="00C640AC" w:rsidP="00071525">
      <w:pPr>
        <w:pStyle w:val="ListParagraph"/>
        <w:numPr>
          <w:ilvl w:val="0"/>
          <w:numId w:val="5"/>
        </w:numPr>
        <w:spacing w:line="300" w:lineRule="atLeast"/>
        <w:rPr>
          <w:rFonts w:ascii="Arial" w:hAnsi="Arial" w:cs="Arial"/>
          <w:sz w:val="22"/>
          <w:szCs w:val="22"/>
        </w:rPr>
      </w:pPr>
      <w:r>
        <w:rPr>
          <w:rFonts w:ascii="Arial" w:hAnsi="Arial" w:cs="Arial"/>
          <w:sz w:val="22"/>
          <w:szCs w:val="22"/>
        </w:rPr>
        <w:lastRenderedPageBreak/>
        <w:t xml:space="preserve">Reducing ill health costs associated with isolation and loneliness. </w:t>
      </w:r>
    </w:p>
    <w:p w:rsidR="006014D3" w:rsidRDefault="006014D3" w:rsidP="004509DE">
      <w:pPr>
        <w:spacing w:line="300" w:lineRule="atLeast"/>
        <w:rPr>
          <w:rFonts w:ascii="Arial" w:hAnsi="Arial" w:cs="Arial"/>
          <w:sz w:val="22"/>
          <w:szCs w:val="22"/>
        </w:rPr>
      </w:pPr>
    </w:p>
    <w:p w:rsidR="00A85A8F" w:rsidRPr="00890ED8" w:rsidRDefault="00A85A8F" w:rsidP="00A85A8F">
      <w:pPr>
        <w:spacing w:line="300" w:lineRule="atLeast"/>
        <w:ind w:left="709" w:hanging="709"/>
        <w:rPr>
          <w:rFonts w:ascii="Arial" w:hAnsi="Arial" w:cs="Arial"/>
          <w:sz w:val="22"/>
          <w:szCs w:val="22"/>
        </w:rPr>
      </w:pPr>
      <w:r>
        <w:rPr>
          <w:rFonts w:ascii="Arial" w:hAnsi="Arial" w:cs="Arial"/>
          <w:sz w:val="22"/>
          <w:szCs w:val="22"/>
        </w:rPr>
        <w:t>4.</w:t>
      </w:r>
      <w:r w:rsidR="00344A94">
        <w:rPr>
          <w:rFonts w:ascii="Arial" w:hAnsi="Arial" w:cs="Arial"/>
          <w:sz w:val="22"/>
          <w:szCs w:val="22"/>
        </w:rPr>
        <w:t>1</w:t>
      </w:r>
      <w:r w:rsidR="00F626FA">
        <w:rPr>
          <w:rFonts w:ascii="Arial" w:hAnsi="Arial" w:cs="Arial"/>
          <w:sz w:val="22"/>
          <w:szCs w:val="22"/>
        </w:rPr>
        <w:t>6</w:t>
      </w:r>
      <w:r>
        <w:rPr>
          <w:rFonts w:ascii="Arial" w:hAnsi="Arial" w:cs="Arial"/>
          <w:sz w:val="22"/>
          <w:szCs w:val="22"/>
        </w:rPr>
        <w:tab/>
      </w:r>
      <w:r w:rsidRPr="00F24B67">
        <w:rPr>
          <w:rFonts w:ascii="Arial" w:hAnsi="Arial" w:cs="Arial"/>
          <w:sz w:val="22"/>
          <w:szCs w:val="22"/>
        </w:rPr>
        <w:t>In Birmingham the general health of the population is worse than the England average</w:t>
      </w:r>
      <w:r>
        <w:rPr>
          <w:rFonts w:ascii="Arial" w:hAnsi="Arial" w:cs="Arial"/>
          <w:sz w:val="22"/>
          <w:szCs w:val="22"/>
        </w:rPr>
        <w:t>.</w:t>
      </w:r>
      <w:r w:rsidRPr="00F24B67">
        <w:rPr>
          <w:rFonts w:ascii="Arial" w:hAnsi="Arial" w:cs="Arial"/>
          <w:sz w:val="22"/>
          <w:szCs w:val="22"/>
        </w:rPr>
        <w:t xml:space="preserve"> </w:t>
      </w:r>
      <w:r>
        <w:rPr>
          <w:rFonts w:ascii="Arial" w:hAnsi="Arial" w:cs="Arial"/>
          <w:sz w:val="22"/>
          <w:szCs w:val="22"/>
        </w:rPr>
        <w:t>S</w:t>
      </w:r>
      <w:r w:rsidRPr="00F24B67">
        <w:rPr>
          <w:rFonts w:ascii="Arial" w:hAnsi="Arial" w:cs="Arial"/>
          <w:sz w:val="22"/>
          <w:szCs w:val="22"/>
        </w:rPr>
        <w:t xml:space="preserve">pecific local priorities </w:t>
      </w:r>
      <w:r>
        <w:rPr>
          <w:rFonts w:ascii="Arial" w:hAnsi="Arial" w:cs="Arial"/>
          <w:sz w:val="22"/>
          <w:szCs w:val="22"/>
        </w:rPr>
        <w:t xml:space="preserve">for Birmingham </w:t>
      </w:r>
      <w:r w:rsidRPr="00F24B67">
        <w:rPr>
          <w:rFonts w:ascii="Arial" w:hAnsi="Arial" w:cs="Arial"/>
          <w:sz w:val="22"/>
          <w:szCs w:val="22"/>
        </w:rPr>
        <w:t>identified by Public Health include addressing local health inequalities by improving health and wellbeing</w:t>
      </w:r>
      <w:r w:rsidRPr="00F24B67">
        <w:rPr>
          <w:rStyle w:val="FootnoteReference"/>
          <w:rFonts w:ascii="Arial" w:hAnsi="Arial" w:cs="Arial"/>
          <w:sz w:val="22"/>
          <w:szCs w:val="22"/>
        </w:rPr>
        <w:footnoteReference w:id="13"/>
      </w:r>
      <w:r w:rsidRPr="00F24B67">
        <w:rPr>
          <w:rFonts w:ascii="Arial" w:hAnsi="Arial" w:cs="Arial"/>
          <w:sz w:val="22"/>
          <w:szCs w:val="22"/>
        </w:rPr>
        <w:t xml:space="preserve">. </w:t>
      </w:r>
      <w:r w:rsidRPr="00890ED8">
        <w:rPr>
          <w:rFonts w:ascii="Arial" w:hAnsi="Arial" w:cs="Arial"/>
          <w:sz w:val="22"/>
          <w:szCs w:val="22"/>
        </w:rPr>
        <w:t xml:space="preserve">From the evidence available </w:t>
      </w:r>
      <w:proofErr w:type="gramStart"/>
      <w:r w:rsidRPr="00890ED8">
        <w:rPr>
          <w:rFonts w:ascii="Arial" w:hAnsi="Arial" w:cs="Arial"/>
          <w:sz w:val="22"/>
          <w:szCs w:val="22"/>
        </w:rPr>
        <w:t>it is clear that the</w:t>
      </w:r>
      <w:proofErr w:type="gramEnd"/>
      <w:r w:rsidRPr="00890ED8">
        <w:rPr>
          <w:rFonts w:ascii="Arial" w:hAnsi="Arial" w:cs="Arial"/>
          <w:sz w:val="22"/>
          <w:szCs w:val="22"/>
        </w:rPr>
        <w:t xml:space="preserve"> quality of new housing in the </w:t>
      </w:r>
      <w:r>
        <w:rPr>
          <w:rFonts w:ascii="Arial" w:hAnsi="Arial" w:cs="Arial"/>
          <w:sz w:val="22"/>
          <w:szCs w:val="22"/>
        </w:rPr>
        <w:t>city</w:t>
      </w:r>
      <w:r w:rsidRPr="00890ED8">
        <w:rPr>
          <w:rFonts w:ascii="Arial" w:hAnsi="Arial" w:cs="Arial"/>
          <w:sz w:val="22"/>
          <w:szCs w:val="22"/>
        </w:rPr>
        <w:t xml:space="preserve"> (including implementation of the internal space </w:t>
      </w:r>
      <w:r>
        <w:rPr>
          <w:rFonts w:ascii="Arial" w:hAnsi="Arial" w:cs="Arial"/>
          <w:sz w:val="22"/>
          <w:szCs w:val="22"/>
        </w:rPr>
        <w:t xml:space="preserve">and access </w:t>
      </w:r>
      <w:r w:rsidRPr="00890ED8">
        <w:rPr>
          <w:rFonts w:ascii="Arial" w:hAnsi="Arial" w:cs="Arial"/>
          <w:sz w:val="22"/>
          <w:szCs w:val="22"/>
        </w:rPr>
        <w:t xml:space="preserve">standards) has a role to play in addressing these priorities and meeting Council </w:t>
      </w:r>
      <w:r>
        <w:rPr>
          <w:rFonts w:ascii="Arial" w:hAnsi="Arial" w:cs="Arial"/>
          <w:sz w:val="22"/>
          <w:szCs w:val="22"/>
        </w:rPr>
        <w:t>objectives</w:t>
      </w:r>
      <w:r w:rsidRPr="00890ED8">
        <w:rPr>
          <w:rFonts w:ascii="Arial" w:hAnsi="Arial" w:cs="Arial"/>
          <w:sz w:val="22"/>
          <w:szCs w:val="22"/>
        </w:rPr>
        <w:t>.</w:t>
      </w:r>
    </w:p>
    <w:p w:rsidR="00A85A8F" w:rsidRDefault="00A85A8F" w:rsidP="004509DE">
      <w:pPr>
        <w:spacing w:line="300" w:lineRule="atLeast"/>
        <w:rPr>
          <w:rFonts w:ascii="Arial" w:hAnsi="Arial" w:cs="Arial"/>
          <w:sz w:val="22"/>
          <w:szCs w:val="22"/>
        </w:rPr>
      </w:pPr>
    </w:p>
    <w:p w:rsidR="004509DE" w:rsidRPr="004509DE" w:rsidRDefault="004509DE" w:rsidP="004509DE">
      <w:pPr>
        <w:spacing w:line="300" w:lineRule="atLeast"/>
        <w:ind w:left="709" w:firstLine="11"/>
        <w:rPr>
          <w:rFonts w:ascii="Arial" w:hAnsi="Arial" w:cs="Arial"/>
          <w:b/>
          <w:bCs/>
          <w:iCs/>
          <w:sz w:val="22"/>
          <w:szCs w:val="22"/>
        </w:rPr>
      </w:pPr>
      <w:r w:rsidRPr="004509DE">
        <w:rPr>
          <w:rFonts w:ascii="Arial" w:hAnsi="Arial" w:cs="Arial"/>
          <w:b/>
          <w:bCs/>
          <w:iCs/>
          <w:sz w:val="22"/>
          <w:szCs w:val="22"/>
        </w:rPr>
        <w:t>Size, location, type and quality of dwellings needed to meet specifically evidenced needs</w:t>
      </w:r>
    </w:p>
    <w:p w:rsidR="004509DE" w:rsidRPr="004509DE" w:rsidRDefault="004509DE" w:rsidP="004509DE">
      <w:pPr>
        <w:spacing w:line="300" w:lineRule="atLeast"/>
        <w:ind w:left="709"/>
        <w:rPr>
          <w:rFonts w:ascii="Arial" w:hAnsi="Arial" w:cs="Arial"/>
          <w:sz w:val="22"/>
          <w:szCs w:val="22"/>
        </w:rPr>
      </w:pPr>
    </w:p>
    <w:p w:rsidR="000369CE" w:rsidRDefault="006014D3" w:rsidP="000369CE">
      <w:pPr>
        <w:spacing w:line="300" w:lineRule="atLeast"/>
        <w:ind w:left="720" w:hanging="720"/>
        <w:rPr>
          <w:rFonts w:ascii="Arial" w:hAnsi="Arial" w:cs="Arial"/>
          <w:sz w:val="22"/>
          <w:szCs w:val="22"/>
        </w:rPr>
      </w:pPr>
      <w:r>
        <w:rPr>
          <w:rFonts w:ascii="Arial" w:hAnsi="Arial" w:cs="Arial"/>
          <w:sz w:val="22"/>
          <w:szCs w:val="22"/>
        </w:rPr>
        <w:t>4.</w:t>
      </w:r>
      <w:r w:rsidR="00344A94">
        <w:rPr>
          <w:rFonts w:ascii="Arial" w:hAnsi="Arial" w:cs="Arial"/>
          <w:sz w:val="22"/>
          <w:szCs w:val="22"/>
        </w:rPr>
        <w:t>1</w:t>
      </w:r>
      <w:r w:rsidR="00F626FA">
        <w:rPr>
          <w:rFonts w:ascii="Arial" w:hAnsi="Arial" w:cs="Arial"/>
          <w:sz w:val="22"/>
          <w:szCs w:val="22"/>
        </w:rPr>
        <w:t>7</w:t>
      </w:r>
      <w:r w:rsidR="005B2B25">
        <w:rPr>
          <w:rFonts w:ascii="Arial" w:hAnsi="Arial" w:cs="Arial"/>
          <w:sz w:val="22"/>
          <w:szCs w:val="22"/>
        </w:rPr>
        <w:tab/>
      </w:r>
      <w:r w:rsidR="000369CE">
        <w:rPr>
          <w:rFonts w:ascii="Arial" w:hAnsi="Arial" w:cs="Arial"/>
          <w:sz w:val="22"/>
          <w:szCs w:val="22"/>
        </w:rPr>
        <w:t xml:space="preserve">The Strategic Housing Market Assessment (SHMA) (2013) underpinning the housing mix in the BDP did not </w:t>
      </w:r>
      <w:r w:rsidR="007061E8">
        <w:rPr>
          <w:rFonts w:ascii="Arial" w:hAnsi="Arial" w:cs="Arial"/>
          <w:sz w:val="22"/>
          <w:szCs w:val="22"/>
        </w:rPr>
        <w:t xml:space="preserve">breakdown the housing needs into a specific number of dwellings for older and disabled people. The need was expressed by tenure and size (number of bedrooms). </w:t>
      </w:r>
      <w:r w:rsidR="000369CE">
        <w:rPr>
          <w:rFonts w:ascii="Arial" w:hAnsi="Arial" w:cs="Arial"/>
          <w:sz w:val="22"/>
          <w:szCs w:val="22"/>
        </w:rPr>
        <w:t>A summary table of the appropriate proportionate mix of housing as set out in the SHMA is included on page 113 of the BDP. The SHMA identifies a need for new dwellings across all sizes but a greater need for larger dwellings (by number of bedrooms) and notes that high proportions of 3 and 4 person households are inadequately housed</w:t>
      </w:r>
      <w:r w:rsidR="000369CE">
        <w:rPr>
          <w:rStyle w:val="FootnoteReference"/>
          <w:rFonts w:ascii="Arial" w:hAnsi="Arial" w:cs="Arial"/>
          <w:sz w:val="22"/>
          <w:szCs w:val="22"/>
        </w:rPr>
        <w:footnoteReference w:id="14"/>
      </w:r>
      <w:r w:rsidR="000369CE">
        <w:rPr>
          <w:rFonts w:ascii="Arial" w:hAnsi="Arial" w:cs="Arial"/>
          <w:sz w:val="22"/>
          <w:szCs w:val="22"/>
        </w:rPr>
        <w:t>.</w:t>
      </w:r>
    </w:p>
    <w:p w:rsidR="000369CE" w:rsidRDefault="000369CE" w:rsidP="000369CE">
      <w:pPr>
        <w:spacing w:line="300" w:lineRule="atLeast"/>
        <w:ind w:left="720" w:hanging="720"/>
        <w:rPr>
          <w:rFonts w:ascii="Arial" w:hAnsi="Arial" w:cs="Arial"/>
          <w:sz w:val="22"/>
          <w:szCs w:val="22"/>
        </w:rPr>
      </w:pPr>
    </w:p>
    <w:p w:rsidR="000369CE" w:rsidRDefault="00F27047" w:rsidP="000369CE">
      <w:pPr>
        <w:ind w:firstLine="720"/>
        <w:rPr>
          <w:rFonts w:ascii="Arial" w:hAnsi="Arial" w:cs="Arial"/>
          <w:sz w:val="22"/>
          <w:szCs w:val="22"/>
        </w:rPr>
      </w:pPr>
      <w:r>
        <w:rPr>
          <w:rFonts w:ascii="Arial" w:hAnsi="Arial" w:cs="Arial"/>
          <w:sz w:val="22"/>
          <w:szCs w:val="22"/>
        </w:rPr>
        <w:t>Table 1</w:t>
      </w:r>
      <w:r w:rsidR="00333E6C">
        <w:rPr>
          <w:rFonts w:ascii="Arial" w:hAnsi="Arial" w:cs="Arial"/>
          <w:sz w:val="22"/>
          <w:szCs w:val="22"/>
        </w:rPr>
        <w:t>2</w:t>
      </w:r>
      <w:r>
        <w:rPr>
          <w:rFonts w:ascii="Arial" w:hAnsi="Arial" w:cs="Arial"/>
          <w:sz w:val="22"/>
          <w:szCs w:val="22"/>
        </w:rPr>
        <w:t xml:space="preserve">: </w:t>
      </w:r>
      <w:r w:rsidR="000369CE" w:rsidRPr="00F51C8D">
        <w:rPr>
          <w:rFonts w:ascii="Arial" w:hAnsi="Arial" w:cs="Arial"/>
          <w:sz w:val="22"/>
          <w:szCs w:val="22"/>
        </w:rPr>
        <w:t>Birmingham Development Plan / Strategic Housing Market Assessment 201</w:t>
      </w:r>
      <w:r w:rsidR="007061E8">
        <w:rPr>
          <w:rFonts w:ascii="Arial" w:hAnsi="Arial" w:cs="Arial"/>
          <w:sz w:val="22"/>
          <w:szCs w:val="22"/>
        </w:rPr>
        <w:t>3</w:t>
      </w:r>
    </w:p>
    <w:p w:rsidR="000369CE" w:rsidRPr="00F51C8D" w:rsidRDefault="000369CE" w:rsidP="000369CE">
      <w:pPr>
        <w:ind w:firstLine="720"/>
        <w:rPr>
          <w:rFonts w:ascii="Arial" w:hAnsi="Arial" w:cs="Arial"/>
          <w:sz w:val="22"/>
          <w:szCs w:val="22"/>
        </w:rPr>
      </w:pPr>
    </w:p>
    <w:tbl>
      <w:tblPr>
        <w:tblW w:w="9072" w:type="dxa"/>
        <w:tblInd w:w="657" w:type="dxa"/>
        <w:tblCellMar>
          <w:left w:w="0" w:type="dxa"/>
          <w:right w:w="0" w:type="dxa"/>
        </w:tblCellMar>
        <w:tblLook w:val="04A0" w:firstRow="1" w:lastRow="0" w:firstColumn="1" w:lastColumn="0" w:noHBand="0" w:noVBand="1"/>
      </w:tblPr>
      <w:tblGrid>
        <w:gridCol w:w="2977"/>
        <w:gridCol w:w="1418"/>
        <w:gridCol w:w="1134"/>
        <w:gridCol w:w="1134"/>
        <w:gridCol w:w="1094"/>
        <w:gridCol w:w="1315"/>
      </w:tblGrid>
      <w:tr w:rsidR="000369CE" w:rsidRPr="00F51C8D" w:rsidTr="00BA18CD">
        <w:tc>
          <w:tcPr>
            <w:tcW w:w="2977"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69CE" w:rsidRPr="00F51C8D" w:rsidRDefault="000369CE" w:rsidP="00BA18CD">
            <w:pPr>
              <w:ind w:hanging="108"/>
              <w:rPr>
                <w:rFonts w:ascii="Arial" w:hAnsi="Arial" w:cs="Arial"/>
                <w:b/>
                <w:bCs/>
                <w:sz w:val="22"/>
                <w:szCs w:val="22"/>
              </w:rPr>
            </w:pPr>
            <w:r w:rsidRPr="00F51C8D">
              <w:rPr>
                <w:rFonts w:ascii="Arial" w:hAnsi="Arial" w:cs="Arial"/>
                <w:b/>
                <w:bCs/>
                <w:sz w:val="22"/>
                <w:szCs w:val="22"/>
              </w:rPr>
              <w:t>Tenure</w:t>
            </w:r>
          </w:p>
        </w:tc>
        <w:tc>
          <w:tcPr>
            <w:tcW w:w="6095" w:type="dxa"/>
            <w:gridSpan w:val="5"/>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369CE" w:rsidRPr="00F51C8D" w:rsidRDefault="000369CE" w:rsidP="00BA18CD">
            <w:pPr>
              <w:jc w:val="center"/>
              <w:rPr>
                <w:rFonts w:ascii="Arial" w:hAnsi="Arial" w:cs="Arial"/>
                <w:b/>
                <w:bCs/>
                <w:sz w:val="22"/>
                <w:szCs w:val="22"/>
              </w:rPr>
            </w:pPr>
            <w:r w:rsidRPr="00F51C8D">
              <w:rPr>
                <w:rFonts w:ascii="Arial" w:hAnsi="Arial" w:cs="Arial"/>
                <w:b/>
                <w:bCs/>
                <w:sz w:val="22"/>
                <w:szCs w:val="22"/>
              </w:rPr>
              <w:t>% of Dwellings</w:t>
            </w:r>
          </w:p>
        </w:tc>
      </w:tr>
      <w:tr w:rsidR="000369CE" w:rsidRPr="00F51C8D" w:rsidTr="00BA18CD">
        <w:tc>
          <w:tcPr>
            <w:tcW w:w="2977" w:type="dxa"/>
            <w:vMerge/>
            <w:tcBorders>
              <w:top w:val="single" w:sz="8" w:space="0" w:color="auto"/>
              <w:left w:val="single" w:sz="8" w:space="0" w:color="auto"/>
              <w:bottom w:val="single" w:sz="8" w:space="0" w:color="auto"/>
              <w:right w:val="single" w:sz="8" w:space="0" w:color="auto"/>
            </w:tcBorders>
            <w:shd w:val="clear" w:color="auto" w:fill="D9D9D9"/>
            <w:vAlign w:val="center"/>
            <w:hideMark/>
          </w:tcPr>
          <w:p w:rsidR="000369CE" w:rsidRPr="00F51C8D" w:rsidRDefault="000369CE" w:rsidP="00BA18CD">
            <w:pPr>
              <w:rPr>
                <w:rFonts w:ascii="Arial" w:hAnsi="Arial" w:cs="Arial"/>
                <w:bCs/>
                <w:sz w:val="22"/>
                <w:szCs w:val="22"/>
              </w:rPr>
            </w:pPr>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369CE" w:rsidRPr="00F51C8D" w:rsidRDefault="000369CE" w:rsidP="00BA18CD">
            <w:pPr>
              <w:jc w:val="center"/>
              <w:rPr>
                <w:rFonts w:ascii="Arial" w:hAnsi="Arial" w:cs="Arial"/>
                <w:b/>
                <w:bCs/>
                <w:sz w:val="22"/>
                <w:szCs w:val="22"/>
              </w:rPr>
            </w:pPr>
            <w:r w:rsidRPr="00F51C8D">
              <w:rPr>
                <w:rFonts w:ascii="Arial" w:hAnsi="Arial" w:cs="Arial"/>
                <w:b/>
                <w:bCs/>
                <w:sz w:val="22"/>
                <w:szCs w:val="22"/>
              </w:rPr>
              <w:t>1 Bed</w:t>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369CE" w:rsidRPr="00F51C8D" w:rsidRDefault="000369CE" w:rsidP="00BA18CD">
            <w:pPr>
              <w:jc w:val="center"/>
              <w:rPr>
                <w:rFonts w:ascii="Arial" w:hAnsi="Arial" w:cs="Arial"/>
                <w:b/>
                <w:bCs/>
                <w:sz w:val="22"/>
                <w:szCs w:val="22"/>
              </w:rPr>
            </w:pPr>
            <w:r w:rsidRPr="00F51C8D">
              <w:rPr>
                <w:rFonts w:ascii="Arial" w:hAnsi="Arial" w:cs="Arial"/>
                <w:b/>
                <w:bCs/>
                <w:sz w:val="22"/>
                <w:szCs w:val="22"/>
              </w:rPr>
              <w:t>2 Bed</w:t>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369CE" w:rsidRPr="00F51C8D" w:rsidRDefault="000369CE" w:rsidP="00BA18CD">
            <w:pPr>
              <w:jc w:val="center"/>
              <w:rPr>
                <w:rFonts w:ascii="Arial" w:hAnsi="Arial" w:cs="Arial"/>
                <w:b/>
                <w:bCs/>
                <w:sz w:val="22"/>
                <w:szCs w:val="22"/>
              </w:rPr>
            </w:pPr>
            <w:r w:rsidRPr="00F51C8D">
              <w:rPr>
                <w:rFonts w:ascii="Arial" w:hAnsi="Arial" w:cs="Arial"/>
                <w:b/>
                <w:bCs/>
                <w:sz w:val="22"/>
                <w:szCs w:val="22"/>
              </w:rPr>
              <w:t>3 Bed</w:t>
            </w:r>
          </w:p>
        </w:tc>
        <w:tc>
          <w:tcPr>
            <w:tcW w:w="109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369CE" w:rsidRPr="00F51C8D" w:rsidRDefault="000369CE" w:rsidP="00BA18CD">
            <w:pPr>
              <w:jc w:val="center"/>
              <w:rPr>
                <w:rFonts w:ascii="Arial" w:hAnsi="Arial" w:cs="Arial"/>
                <w:b/>
                <w:bCs/>
                <w:sz w:val="22"/>
                <w:szCs w:val="22"/>
              </w:rPr>
            </w:pPr>
            <w:r w:rsidRPr="00F51C8D">
              <w:rPr>
                <w:rFonts w:ascii="Arial" w:hAnsi="Arial" w:cs="Arial"/>
                <w:b/>
                <w:bCs/>
                <w:sz w:val="22"/>
                <w:szCs w:val="22"/>
              </w:rPr>
              <w:t>4+ Bed</w:t>
            </w:r>
          </w:p>
        </w:tc>
        <w:tc>
          <w:tcPr>
            <w:tcW w:w="131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369CE" w:rsidRPr="00F51C8D" w:rsidRDefault="000369CE" w:rsidP="00BA18CD">
            <w:pPr>
              <w:jc w:val="center"/>
              <w:rPr>
                <w:rFonts w:ascii="Arial" w:hAnsi="Arial" w:cs="Arial"/>
                <w:b/>
                <w:bCs/>
                <w:sz w:val="22"/>
                <w:szCs w:val="22"/>
              </w:rPr>
            </w:pPr>
            <w:r w:rsidRPr="00F51C8D">
              <w:rPr>
                <w:rFonts w:ascii="Arial" w:hAnsi="Arial" w:cs="Arial"/>
                <w:b/>
                <w:bCs/>
                <w:sz w:val="22"/>
                <w:szCs w:val="22"/>
              </w:rPr>
              <w:t>Total</w:t>
            </w:r>
          </w:p>
        </w:tc>
      </w:tr>
      <w:tr w:rsidR="000369CE" w:rsidRPr="00F51C8D" w:rsidTr="00BA18C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9CE" w:rsidRPr="00F51C8D" w:rsidRDefault="000369CE" w:rsidP="00BA18CD">
            <w:pPr>
              <w:ind w:hanging="108"/>
              <w:rPr>
                <w:rFonts w:ascii="Arial" w:hAnsi="Arial" w:cs="Arial"/>
                <w:sz w:val="22"/>
                <w:szCs w:val="22"/>
              </w:rPr>
            </w:pPr>
            <w:r w:rsidRPr="00F51C8D">
              <w:rPr>
                <w:rFonts w:ascii="Arial" w:hAnsi="Arial" w:cs="Arial"/>
                <w:sz w:val="22"/>
                <w:szCs w:val="22"/>
              </w:rPr>
              <w:t>Market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369CE" w:rsidRPr="00F51C8D" w:rsidRDefault="000369CE" w:rsidP="00BA18CD">
            <w:pPr>
              <w:jc w:val="right"/>
              <w:rPr>
                <w:rFonts w:ascii="Arial" w:hAnsi="Arial" w:cs="Arial"/>
                <w:sz w:val="22"/>
                <w:szCs w:val="22"/>
              </w:rPr>
            </w:pPr>
            <w:r w:rsidRPr="00F51C8D">
              <w:rPr>
                <w:rFonts w:ascii="Arial" w:hAnsi="Arial" w:cs="Arial"/>
                <w:sz w:val="22"/>
                <w:szCs w:val="22"/>
              </w:rPr>
              <w:t>8.1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369CE" w:rsidRPr="00F51C8D" w:rsidRDefault="000369CE" w:rsidP="00BA18CD">
            <w:pPr>
              <w:jc w:val="right"/>
              <w:rPr>
                <w:rFonts w:ascii="Arial" w:hAnsi="Arial" w:cs="Arial"/>
                <w:sz w:val="22"/>
                <w:szCs w:val="22"/>
              </w:rPr>
            </w:pPr>
            <w:r w:rsidRPr="00F51C8D">
              <w:rPr>
                <w:rFonts w:ascii="Arial" w:hAnsi="Arial" w:cs="Arial"/>
                <w:sz w:val="22"/>
                <w:szCs w:val="22"/>
              </w:rPr>
              <w:t>14.9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sz w:val="22"/>
                <w:szCs w:val="22"/>
              </w:rPr>
            </w:pPr>
            <w:r w:rsidRPr="00F51C8D">
              <w:rPr>
                <w:rFonts w:ascii="Arial" w:hAnsi="Arial" w:cs="Arial"/>
                <w:sz w:val="22"/>
                <w:szCs w:val="22"/>
              </w:rPr>
              <w:t>17.3</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sz w:val="22"/>
                <w:szCs w:val="22"/>
              </w:rPr>
            </w:pPr>
            <w:r w:rsidRPr="00F51C8D">
              <w:rPr>
                <w:rFonts w:ascii="Arial" w:hAnsi="Arial" w:cs="Arial"/>
                <w:sz w:val="22"/>
                <w:szCs w:val="22"/>
              </w:rPr>
              <w:t>21.9</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62.2</w:t>
            </w:r>
          </w:p>
        </w:tc>
      </w:tr>
      <w:tr w:rsidR="000369CE" w:rsidRPr="00F51C8D" w:rsidTr="00BA18C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CE" w:rsidRPr="00F51C8D" w:rsidRDefault="000369CE" w:rsidP="00BA18CD">
            <w:pPr>
              <w:ind w:hanging="108"/>
              <w:rPr>
                <w:rFonts w:ascii="Arial" w:hAnsi="Arial" w:cs="Arial"/>
                <w:bCs/>
                <w:sz w:val="22"/>
                <w:szCs w:val="22"/>
              </w:rPr>
            </w:pPr>
            <w:r w:rsidRPr="00F51C8D">
              <w:rPr>
                <w:rFonts w:ascii="Arial" w:hAnsi="Arial" w:cs="Arial"/>
                <w:bCs/>
                <w:sz w:val="22"/>
                <w:szCs w:val="22"/>
              </w:rPr>
              <w:t>Shared ownership</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2.2</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0.3</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4.8</w:t>
            </w:r>
          </w:p>
        </w:tc>
      </w:tr>
      <w:tr w:rsidR="000369CE" w:rsidRPr="00F51C8D" w:rsidTr="00BA18C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CE" w:rsidRPr="00F51C8D" w:rsidRDefault="000369CE" w:rsidP="00BA18CD">
            <w:pPr>
              <w:ind w:hanging="108"/>
              <w:rPr>
                <w:rFonts w:ascii="Arial" w:hAnsi="Arial" w:cs="Arial"/>
                <w:bCs/>
                <w:sz w:val="22"/>
                <w:szCs w:val="22"/>
              </w:rPr>
            </w:pPr>
            <w:r w:rsidRPr="00F51C8D">
              <w:rPr>
                <w:rFonts w:ascii="Arial" w:hAnsi="Arial" w:cs="Arial"/>
                <w:bCs/>
                <w:sz w:val="22"/>
                <w:szCs w:val="22"/>
              </w:rPr>
              <w:t>Affordable rent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3.7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11.6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5.3</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0.9</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21.6</w:t>
            </w:r>
          </w:p>
        </w:tc>
      </w:tr>
      <w:tr w:rsidR="000369CE" w:rsidRPr="00F51C8D" w:rsidTr="00BA18C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CE" w:rsidRPr="00F51C8D" w:rsidRDefault="000369CE" w:rsidP="00BA18CD">
            <w:pPr>
              <w:ind w:hanging="108"/>
              <w:rPr>
                <w:rFonts w:ascii="Arial" w:hAnsi="Arial" w:cs="Arial"/>
                <w:bCs/>
                <w:sz w:val="22"/>
                <w:szCs w:val="22"/>
              </w:rPr>
            </w:pPr>
            <w:r w:rsidRPr="00F51C8D">
              <w:rPr>
                <w:rFonts w:ascii="Arial" w:hAnsi="Arial" w:cs="Arial"/>
                <w:bCs/>
                <w:sz w:val="22"/>
                <w:szCs w:val="22"/>
              </w:rPr>
              <w:t>Social rent/ requires subsidy*</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1.7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1.6</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5.0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bCs/>
                <w:sz w:val="22"/>
                <w:szCs w:val="22"/>
              </w:rPr>
            </w:pPr>
            <w:r w:rsidRPr="00F51C8D">
              <w:rPr>
                <w:rFonts w:ascii="Arial" w:hAnsi="Arial" w:cs="Arial"/>
                <w:bCs/>
                <w:sz w:val="22"/>
                <w:szCs w:val="22"/>
              </w:rPr>
              <w:t>11.4</w:t>
            </w:r>
          </w:p>
        </w:tc>
      </w:tr>
      <w:tr w:rsidR="000369CE" w:rsidRPr="00F51C8D" w:rsidTr="00BA18CD">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CE" w:rsidRPr="00F51C8D" w:rsidRDefault="000369CE" w:rsidP="00BA18CD">
            <w:pPr>
              <w:ind w:hanging="108"/>
              <w:rPr>
                <w:rFonts w:ascii="Arial" w:hAnsi="Arial" w:cs="Arial"/>
                <w:b/>
                <w:sz w:val="22"/>
                <w:szCs w:val="22"/>
              </w:rPr>
            </w:pPr>
            <w:r w:rsidRPr="00F51C8D">
              <w:rPr>
                <w:rFonts w:ascii="Arial" w:hAnsi="Arial" w:cs="Arial"/>
                <w:b/>
                <w:sz w:val="22"/>
                <w:szCs w:val="22"/>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369CE" w:rsidRPr="00F51C8D" w:rsidRDefault="000369CE" w:rsidP="00BA18CD">
            <w:pPr>
              <w:jc w:val="right"/>
              <w:rPr>
                <w:rFonts w:ascii="Arial" w:hAnsi="Arial" w:cs="Arial"/>
                <w:b/>
                <w:sz w:val="22"/>
                <w:szCs w:val="22"/>
              </w:rPr>
            </w:pPr>
            <w:r w:rsidRPr="00F51C8D">
              <w:rPr>
                <w:rFonts w:ascii="Arial" w:hAnsi="Arial" w:cs="Arial"/>
                <w:b/>
                <w:sz w:val="22"/>
                <w:szCs w:val="22"/>
              </w:rPr>
              <w:t>14.6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369CE" w:rsidRPr="00F51C8D" w:rsidRDefault="000369CE" w:rsidP="00BA18CD">
            <w:pPr>
              <w:jc w:val="right"/>
              <w:rPr>
                <w:rFonts w:ascii="Arial" w:hAnsi="Arial" w:cs="Arial"/>
                <w:b/>
                <w:sz w:val="22"/>
                <w:szCs w:val="22"/>
              </w:rPr>
            </w:pPr>
            <w:r w:rsidRPr="00F51C8D">
              <w:rPr>
                <w:rFonts w:ascii="Arial" w:hAnsi="Arial" w:cs="Arial"/>
                <w:b/>
                <w:sz w:val="22"/>
                <w:szCs w:val="22"/>
              </w:rPr>
              <w:t>30.8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b/>
                <w:sz w:val="22"/>
                <w:szCs w:val="22"/>
              </w:rPr>
            </w:pPr>
            <w:r w:rsidRPr="00F51C8D">
              <w:rPr>
                <w:rFonts w:ascii="Arial" w:hAnsi="Arial" w:cs="Arial"/>
                <w:b/>
                <w:sz w:val="22"/>
                <w:szCs w:val="22"/>
              </w:rPr>
              <w:t>26.3</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b/>
                <w:sz w:val="22"/>
                <w:szCs w:val="22"/>
              </w:rPr>
            </w:pPr>
            <w:r w:rsidRPr="00F51C8D">
              <w:rPr>
                <w:rFonts w:ascii="Arial" w:hAnsi="Arial" w:cs="Arial"/>
                <w:b/>
                <w:sz w:val="22"/>
                <w:szCs w:val="22"/>
              </w:rPr>
              <w:t>28.1</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tcPr>
          <w:p w:rsidR="000369CE" w:rsidRPr="00F51C8D" w:rsidRDefault="000369CE" w:rsidP="00BA18CD">
            <w:pPr>
              <w:jc w:val="right"/>
              <w:rPr>
                <w:rFonts w:ascii="Arial" w:hAnsi="Arial" w:cs="Arial"/>
                <w:b/>
                <w:sz w:val="22"/>
                <w:szCs w:val="22"/>
              </w:rPr>
            </w:pPr>
            <w:r w:rsidRPr="00F51C8D">
              <w:rPr>
                <w:rFonts w:ascii="Arial" w:hAnsi="Arial" w:cs="Arial"/>
                <w:b/>
                <w:sz w:val="22"/>
                <w:szCs w:val="22"/>
              </w:rPr>
              <w:t>100</w:t>
            </w:r>
          </w:p>
        </w:tc>
      </w:tr>
    </w:tbl>
    <w:p w:rsidR="007061E8" w:rsidRDefault="007061E8" w:rsidP="006F190C">
      <w:pPr>
        <w:spacing w:line="300" w:lineRule="atLeast"/>
        <w:ind w:left="709" w:hanging="709"/>
        <w:rPr>
          <w:rFonts w:ascii="Arial" w:hAnsi="Arial" w:cs="Arial"/>
          <w:sz w:val="22"/>
          <w:szCs w:val="22"/>
        </w:rPr>
      </w:pPr>
    </w:p>
    <w:p w:rsidR="004A4E88" w:rsidRDefault="007061E8" w:rsidP="007061E8">
      <w:pPr>
        <w:spacing w:line="300" w:lineRule="atLeast"/>
        <w:ind w:left="709" w:hanging="709"/>
        <w:rPr>
          <w:rFonts w:ascii="Arial" w:hAnsi="Arial" w:cs="Arial"/>
          <w:sz w:val="22"/>
          <w:szCs w:val="22"/>
        </w:rPr>
      </w:pPr>
      <w:r>
        <w:rPr>
          <w:rFonts w:ascii="Arial" w:hAnsi="Arial" w:cs="Arial"/>
          <w:sz w:val="22"/>
          <w:szCs w:val="22"/>
        </w:rPr>
        <w:t>4.</w:t>
      </w:r>
      <w:r w:rsidR="00344A94">
        <w:rPr>
          <w:rFonts w:ascii="Arial" w:hAnsi="Arial" w:cs="Arial"/>
          <w:sz w:val="22"/>
          <w:szCs w:val="22"/>
        </w:rPr>
        <w:t>1</w:t>
      </w:r>
      <w:r w:rsidR="00F626FA">
        <w:rPr>
          <w:rFonts w:ascii="Arial" w:hAnsi="Arial" w:cs="Arial"/>
          <w:sz w:val="22"/>
          <w:szCs w:val="22"/>
        </w:rPr>
        <w:t>8</w:t>
      </w:r>
      <w:r>
        <w:rPr>
          <w:rFonts w:ascii="Arial" w:hAnsi="Arial" w:cs="Arial"/>
          <w:sz w:val="22"/>
          <w:szCs w:val="22"/>
        </w:rPr>
        <w:tab/>
      </w:r>
      <w:r w:rsidR="005B2B25">
        <w:rPr>
          <w:rFonts w:ascii="Arial" w:hAnsi="Arial" w:cs="Arial"/>
          <w:sz w:val="22"/>
          <w:szCs w:val="22"/>
        </w:rPr>
        <w:t xml:space="preserve">Increasing the amount of general housing that is suitable for older and less able people  together with more specialist housing, can have the added benefit of freeing up larger homes in </w:t>
      </w:r>
      <w:r w:rsidR="003C013E">
        <w:rPr>
          <w:rFonts w:ascii="Arial" w:hAnsi="Arial" w:cs="Arial"/>
          <w:sz w:val="22"/>
          <w:szCs w:val="22"/>
        </w:rPr>
        <w:t>communities</w:t>
      </w:r>
      <w:r w:rsidR="005B2B25">
        <w:rPr>
          <w:rFonts w:ascii="Arial" w:hAnsi="Arial" w:cs="Arial"/>
          <w:sz w:val="22"/>
          <w:szCs w:val="22"/>
        </w:rPr>
        <w:t xml:space="preserve"> that are required by families, of which t</w:t>
      </w:r>
      <w:r w:rsidR="003C013E">
        <w:rPr>
          <w:rFonts w:ascii="Arial" w:hAnsi="Arial" w:cs="Arial"/>
          <w:sz w:val="22"/>
          <w:szCs w:val="22"/>
        </w:rPr>
        <w:t xml:space="preserve">here is a high level of </w:t>
      </w:r>
      <w:r>
        <w:rPr>
          <w:rFonts w:ascii="Arial" w:hAnsi="Arial" w:cs="Arial"/>
          <w:sz w:val="22"/>
          <w:szCs w:val="22"/>
        </w:rPr>
        <w:t>need for</w:t>
      </w:r>
      <w:r w:rsidR="003C013E">
        <w:rPr>
          <w:rFonts w:ascii="Arial" w:hAnsi="Arial" w:cs="Arial"/>
          <w:sz w:val="22"/>
          <w:szCs w:val="22"/>
        </w:rPr>
        <w:t xml:space="preserve">. </w:t>
      </w:r>
    </w:p>
    <w:p w:rsidR="00865C29" w:rsidRDefault="00865C29" w:rsidP="000E1A5B">
      <w:pPr>
        <w:spacing w:line="300" w:lineRule="atLeast"/>
        <w:rPr>
          <w:rFonts w:ascii="Arial" w:hAnsi="Arial" w:cs="Arial"/>
          <w:i/>
          <w:sz w:val="22"/>
          <w:szCs w:val="22"/>
        </w:rPr>
      </w:pPr>
    </w:p>
    <w:p w:rsidR="009D4D39" w:rsidRPr="004509DE" w:rsidRDefault="009D4D39" w:rsidP="009D4D39">
      <w:pPr>
        <w:spacing w:line="300" w:lineRule="atLeast"/>
        <w:ind w:firstLine="720"/>
        <w:rPr>
          <w:rFonts w:ascii="Arial" w:hAnsi="Arial" w:cs="Arial"/>
          <w:b/>
          <w:bCs/>
          <w:sz w:val="22"/>
          <w:szCs w:val="22"/>
          <w:lang w:val="en-GB"/>
        </w:rPr>
      </w:pPr>
      <w:r w:rsidRPr="004509DE">
        <w:rPr>
          <w:rFonts w:ascii="Arial" w:hAnsi="Arial" w:cs="Arial"/>
          <w:b/>
          <w:bCs/>
          <w:sz w:val="22"/>
          <w:szCs w:val="22"/>
          <w:lang w:val="en-GB"/>
        </w:rPr>
        <w:t xml:space="preserve">The accessibility and adaptability of existing housing stock </w:t>
      </w:r>
    </w:p>
    <w:p w:rsidR="009D4D39" w:rsidRDefault="009D4D39" w:rsidP="000E1A5B">
      <w:pPr>
        <w:spacing w:line="300" w:lineRule="atLeast"/>
        <w:rPr>
          <w:rFonts w:ascii="Arial" w:hAnsi="Arial" w:cs="Arial"/>
          <w:i/>
          <w:sz w:val="22"/>
          <w:szCs w:val="22"/>
        </w:rPr>
      </w:pPr>
    </w:p>
    <w:p w:rsidR="009D4D39" w:rsidRDefault="00865C29" w:rsidP="00865C29">
      <w:pPr>
        <w:spacing w:after="120" w:line="276" w:lineRule="auto"/>
        <w:ind w:left="720" w:hanging="720"/>
        <w:rPr>
          <w:rFonts w:ascii="Arial" w:hAnsi="Arial" w:cs="Arial"/>
          <w:iCs/>
          <w:sz w:val="22"/>
          <w:szCs w:val="22"/>
          <w:lang w:val="en-GB"/>
        </w:rPr>
      </w:pPr>
      <w:r>
        <w:rPr>
          <w:rFonts w:ascii="Arial" w:hAnsi="Arial" w:cs="Arial"/>
          <w:iCs/>
          <w:sz w:val="22"/>
          <w:szCs w:val="22"/>
        </w:rPr>
        <w:t>4.</w:t>
      </w:r>
      <w:r w:rsidR="00F626FA">
        <w:rPr>
          <w:rFonts w:ascii="Arial" w:hAnsi="Arial" w:cs="Arial"/>
          <w:iCs/>
          <w:sz w:val="22"/>
          <w:szCs w:val="22"/>
        </w:rPr>
        <w:t>19</w:t>
      </w:r>
      <w:r w:rsidR="009D4D39">
        <w:rPr>
          <w:rFonts w:ascii="Arial" w:hAnsi="Arial" w:cs="Arial"/>
          <w:iCs/>
          <w:sz w:val="22"/>
          <w:szCs w:val="22"/>
        </w:rPr>
        <w:tab/>
      </w:r>
      <w:r w:rsidR="009D4D39" w:rsidRPr="009D4D39">
        <w:rPr>
          <w:rFonts w:ascii="Arial" w:hAnsi="Arial" w:cs="Arial"/>
          <w:iCs/>
          <w:sz w:val="22"/>
          <w:szCs w:val="22"/>
          <w:lang w:val="en-GB"/>
        </w:rPr>
        <w:t xml:space="preserve">The English Housing Survey </w:t>
      </w:r>
      <w:r w:rsidR="002F556B">
        <w:rPr>
          <w:rFonts w:ascii="Arial" w:hAnsi="Arial" w:cs="Arial"/>
          <w:iCs/>
          <w:sz w:val="22"/>
          <w:szCs w:val="22"/>
          <w:lang w:val="en-GB"/>
        </w:rPr>
        <w:t>2014-15</w:t>
      </w:r>
      <w:r w:rsidR="002F556B">
        <w:rPr>
          <w:rStyle w:val="FootnoteReference"/>
          <w:rFonts w:ascii="Arial" w:hAnsi="Arial" w:cs="Arial"/>
          <w:iCs/>
          <w:sz w:val="22"/>
          <w:szCs w:val="22"/>
          <w:lang w:val="en-GB"/>
        </w:rPr>
        <w:footnoteReference w:id="15"/>
      </w:r>
      <w:r w:rsidR="002F556B">
        <w:rPr>
          <w:rFonts w:ascii="Arial" w:hAnsi="Arial" w:cs="Arial"/>
          <w:iCs/>
          <w:sz w:val="22"/>
          <w:szCs w:val="22"/>
          <w:lang w:val="en-GB"/>
        </w:rPr>
        <w:t xml:space="preserve"> </w:t>
      </w:r>
      <w:r w:rsidR="009D4D39" w:rsidRPr="009D4D39">
        <w:rPr>
          <w:rFonts w:ascii="Arial" w:hAnsi="Arial" w:cs="Arial"/>
          <w:iCs/>
          <w:sz w:val="22"/>
          <w:szCs w:val="22"/>
          <w:lang w:val="en-GB"/>
        </w:rPr>
        <w:t xml:space="preserve">provides a useful general picture of the accessibility of the existing housing stock across England. </w:t>
      </w:r>
      <w:r w:rsidR="00226795">
        <w:rPr>
          <w:rFonts w:ascii="Arial" w:hAnsi="Arial" w:cs="Arial"/>
          <w:iCs/>
          <w:sz w:val="22"/>
          <w:szCs w:val="22"/>
          <w:lang w:val="en-GB"/>
        </w:rPr>
        <w:t>The key relevant findings were:</w:t>
      </w:r>
    </w:p>
    <w:p w:rsidR="00226795" w:rsidRDefault="00226795" w:rsidP="00071525">
      <w:pPr>
        <w:pStyle w:val="ListParagraph"/>
        <w:numPr>
          <w:ilvl w:val="0"/>
          <w:numId w:val="14"/>
        </w:numPr>
        <w:spacing w:line="276" w:lineRule="auto"/>
        <w:rPr>
          <w:rFonts w:ascii="Arial" w:hAnsi="Arial" w:cs="Arial"/>
          <w:iCs/>
          <w:sz w:val="22"/>
          <w:szCs w:val="22"/>
          <w:lang w:val="en-GB"/>
        </w:rPr>
      </w:pPr>
      <w:r>
        <w:rPr>
          <w:rFonts w:ascii="Arial" w:hAnsi="Arial" w:cs="Arial"/>
          <w:iCs/>
          <w:sz w:val="22"/>
          <w:szCs w:val="22"/>
          <w:lang w:val="en-GB"/>
        </w:rPr>
        <w:t>In 2014-15, 9% of all hou</w:t>
      </w:r>
      <w:r w:rsidR="000E7AC6">
        <w:rPr>
          <w:rFonts w:ascii="Arial" w:hAnsi="Arial" w:cs="Arial"/>
          <w:iCs/>
          <w:sz w:val="22"/>
          <w:szCs w:val="22"/>
          <w:lang w:val="en-GB"/>
        </w:rPr>
        <w:t>s</w:t>
      </w:r>
      <w:r>
        <w:rPr>
          <w:rFonts w:ascii="Arial" w:hAnsi="Arial" w:cs="Arial"/>
          <w:iCs/>
          <w:sz w:val="22"/>
          <w:szCs w:val="22"/>
          <w:lang w:val="en-GB"/>
        </w:rPr>
        <w:t>eholds in England had one or more people with a long-term limiting disability that required adaptations to the home. This has not change since 2011-12.</w:t>
      </w:r>
    </w:p>
    <w:p w:rsidR="00C0088D" w:rsidRDefault="00226795" w:rsidP="00071525">
      <w:pPr>
        <w:pStyle w:val="ListParagraph"/>
        <w:numPr>
          <w:ilvl w:val="0"/>
          <w:numId w:val="14"/>
        </w:numPr>
        <w:spacing w:line="276" w:lineRule="auto"/>
        <w:rPr>
          <w:rFonts w:ascii="Arial" w:hAnsi="Arial" w:cs="Arial"/>
          <w:iCs/>
          <w:sz w:val="22"/>
          <w:szCs w:val="22"/>
          <w:lang w:val="en-GB"/>
        </w:rPr>
      </w:pPr>
      <w:r>
        <w:rPr>
          <w:rFonts w:ascii="Arial" w:hAnsi="Arial" w:cs="Arial"/>
          <w:iCs/>
          <w:sz w:val="22"/>
          <w:szCs w:val="22"/>
          <w:lang w:val="en-GB"/>
        </w:rPr>
        <w:t xml:space="preserve">In 2014-15, one in ten </w:t>
      </w:r>
      <w:r w:rsidR="00C0088D">
        <w:rPr>
          <w:rFonts w:ascii="Arial" w:hAnsi="Arial" w:cs="Arial"/>
          <w:iCs/>
          <w:sz w:val="22"/>
          <w:szCs w:val="22"/>
          <w:lang w:val="en-GB"/>
        </w:rPr>
        <w:t>households</w:t>
      </w:r>
      <w:r>
        <w:rPr>
          <w:rFonts w:ascii="Arial" w:hAnsi="Arial" w:cs="Arial"/>
          <w:iCs/>
          <w:sz w:val="22"/>
          <w:szCs w:val="22"/>
          <w:lang w:val="en-GB"/>
        </w:rPr>
        <w:t xml:space="preserve"> (10%) that included a person with a long-term disability requiring </w:t>
      </w:r>
      <w:r w:rsidR="00C0088D">
        <w:rPr>
          <w:rFonts w:ascii="Arial" w:hAnsi="Arial" w:cs="Arial"/>
          <w:iCs/>
          <w:sz w:val="22"/>
          <w:szCs w:val="22"/>
          <w:lang w:val="en-GB"/>
        </w:rPr>
        <w:t>adaptations</w:t>
      </w:r>
      <w:r>
        <w:rPr>
          <w:rFonts w:ascii="Arial" w:hAnsi="Arial" w:cs="Arial"/>
          <w:iCs/>
          <w:sz w:val="22"/>
          <w:szCs w:val="22"/>
          <w:lang w:val="en-GB"/>
        </w:rPr>
        <w:t xml:space="preserve"> wanted to, or were trying to, move somewhere more suitable for their needs.</w:t>
      </w:r>
    </w:p>
    <w:p w:rsidR="00C0088D" w:rsidRPr="00C0088D" w:rsidRDefault="00C0088D" w:rsidP="00071525">
      <w:pPr>
        <w:pStyle w:val="ListParagraph"/>
        <w:numPr>
          <w:ilvl w:val="0"/>
          <w:numId w:val="14"/>
        </w:numPr>
        <w:spacing w:line="276" w:lineRule="auto"/>
        <w:rPr>
          <w:rFonts w:ascii="Arial" w:hAnsi="Arial" w:cs="Arial"/>
          <w:iCs/>
          <w:sz w:val="22"/>
          <w:szCs w:val="22"/>
          <w:lang w:val="en-GB"/>
        </w:rPr>
      </w:pPr>
      <w:r w:rsidRPr="00C0088D">
        <w:rPr>
          <w:rFonts w:ascii="Arial" w:hAnsi="Arial" w:cs="Arial"/>
          <w:iCs/>
          <w:sz w:val="22"/>
          <w:szCs w:val="22"/>
          <w:lang w:val="en-GB"/>
        </w:rPr>
        <w:lastRenderedPageBreak/>
        <w:t xml:space="preserve">Less than one in ten homes (7%) had all four accessibility features that provide </w:t>
      </w:r>
      <w:proofErr w:type="spellStart"/>
      <w:r w:rsidRPr="00C0088D">
        <w:rPr>
          <w:rFonts w:ascii="Arial" w:hAnsi="Arial" w:cs="Arial"/>
          <w:iCs/>
          <w:sz w:val="22"/>
          <w:szCs w:val="22"/>
          <w:lang w:val="en-GB"/>
        </w:rPr>
        <w:t>visitability</w:t>
      </w:r>
      <w:proofErr w:type="spellEnd"/>
      <w:r w:rsidRPr="00C0088D">
        <w:rPr>
          <w:rFonts w:ascii="Arial" w:hAnsi="Arial" w:cs="Arial"/>
          <w:iCs/>
          <w:sz w:val="22"/>
          <w:szCs w:val="22"/>
          <w:lang w:val="en-GB"/>
        </w:rPr>
        <w:t>: level access to the entrance, flush threshold</w:t>
      </w:r>
      <w:r>
        <w:rPr>
          <w:rFonts w:ascii="Arial" w:hAnsi="Arial" w:cs="Arial"/>
          <w:iCs/>
          <w:sz w:val="22"/>
          <w:szCs w:val="22"/>
          <w:lang w:val="en-GB"/>
        </w:rPr>
        <w:t>s</w:t>
      </w:r>
      <w:r w:rsidRPr="00C0088D">
        <w:rPr>
          <w:rFonts w:ascii="Arial" w:hAnsi="Arial" w:cs="Arial"/>
          <w:iCs/>
          <w:sz w:val="22"/>
          <w:szCs w:val="22"/>
          <w:lang w:val="en-GB"/>
        </w:rPr>
        <w:t xml:space="preserve">, sufficiently wide </w:t>
      </w:r>
      <w:r w:rsidRPr="00C0088D">
        <w:rPr>
          <w:rFonts w:ascii="Arial" w:hAnsi="Arial" w:cs="Arial"/>
          <w:iCs/>
          <w:sz w:val="22"/>
          <w:szCs w:val="22"/>
        </w:rPr>
        <w:t xml:space="preserve">wide </w:t>
      </w:r>
      <w:proofErr w:type="spellStart"/>
      <w:r w:rsidRPr="00C0088D">
        <w:rPr>
          <w:rFonts w:ascii="Arial" w:hAnsi="Arial" w:cs="Arial"/>
          <w:iCs/>
          <w:sz w:val="22"/>
          <w:szCs w:val="22"/>
        </w:rPr>
        <w:t>doorsets</w:t>
      </w:r>
      <w:proofErr w:type="spellEnd"/>
      <w:r w:rsidRPr="00C0088D">
        <w:rPr>
          <w:rFonts w:ascii="Arial" w:hAnsi="Arial" w:cs="Arial"/>
          <w:iCs/>
          <w:sz w:val="22"/>
          <w:szCs w:val="22"/>
        </w:rPr>
        <w:t xml:space="preserve"> and circulation space, and a toilet at entrance level. Around two thirds (64%) of homes had a toilet at entrance level but the presence </w:t>
      </w:r>
    </w:p>
    <w:p w:rsidR="00C0088D" w:rsidRDefault="00C0088D" w:rsidP="00071525">
      <w:pPr>
        <w:pStyle w:val="ListParagraph"/>
        <w:numPr>
          <w:ilvl w:val="0"/>
          <w:numId w:val="14"/>
        </w:numPr>
        <w:spacing w:line="276" w:lineRule="auto"/>
        <w:rPr>
          <w:rFonts w:ascii="Arial" w:hAnsi="Arial" w:cs="Arial"/>
          <w:iCs/>
          <w:sz w:val="22"/>
          <w:szCs w:val="22"/>
          <w:lang w:val="en-GB"/>
        </w:rPr>
      </w:pPr>
      <w:r w:rsidRPr="00C0088D">
        <w:rPr>
          <w:rFonts w:ascii="Arial" w:hAnsi="Arial" w:cs="Arial"/>
          <w:iCs/>
          <w:sz w:val="22"/>
          <w:szCs w:val="22"/>
          <w:lang w:val="en-GB"/>
        </w:rPr>
        <w:t xml:space="preserve">Almost three quarters (72%, around 15.7 million) of all the homes that lacked full </w:t>
      </w:r>
      <w:proofErr w:type="spellStart"/>
      <w:r w:rsidRPr="00C0088D">
        <w:rPr>
          <w:rFonts w:ascii="Arial" w:hAnsi="Arial" w:cs="Arial"/>
          <w:iCs/>
          <w:sz w:val="22"/>
          <w:szCs w:val="22"/>
          <w:lang w:val="en-GB"/>
        </w:rPr>
        <w:t>visitability</w:t>
      </w:r>
      <w:proofErr w:type="spellEnd"/>
      <w:r w:rsidRPr="00C0088D">
        <w:rPr>
          <w:rFonts w:ascii="Arial" w:hAnsi="Arial" w:cs="Arial"/>
          <w:iCs/>
          <w:sz w:val="22"/>
          <w:szCs w:val="22"/>
          <w:lang w:val="en-GB"/>
        </w:rPr>
        <w:t xml:space="preserve"> could be adapted to provide all these four features, but this was not feasible in the remaining 6.0 million (28%) homes.</w:t>
      </w:r>
    </w:p>
    <w:p w:rsidR="00C0088D" w:rsidRDefault="00C0088D" w:rsidP="00071525">
      <w:pPr>
        <w:pStyle w:val="ListParagraph"/>
        <w:numPr>
          <w:ilvl w:val="0"/>
          <w:numId w:val="14"/>
        </w:numPr>
        <w:spacing w:line="276" w:lineRule="auto"/>
        <w:rPr>
          <w:rFonts w:ascii="Arial" w:hAnsi="Arial" w:cs="Arial"/>
          <w:iCs/>
          <w:sz w:val="22"/>
          <w:szCs w:val="22"/>
          <w:lang w:val="en-GB"/>
        </w:rPr>
      </w:pPr>
      <w:r w:rsidRPr="00C0088D">
        <w:rPr>
          <w:rFonts w:ascii="Arial" w:hAnsi="Arial" w:cs="Arial"/>
          <w:iCs/>
          <w:sz w:val="22"/>
          <w:szCs w:val="22"/>
          <w:lang w:val="en-GB"/>
        </w:rPr>
        <w:t xml:space="preserve">Terraced houses were the most likely dwelling type to be not feasible to be made fully </w:t>
      </w:r>
      <w:proofErr w:type="spellStart"/>
      <w:r w:rsidRPr="00C0088D">
        <w:rPr>
          <w:rFonts w:ascii="Arial" w:hAnsi="Arial" w:cs="Arial"/>
          <w:iCs/>
          <w:sz w:val="22"/>
          <w:szCs w:val="22"/>
          <w:lang w:val="en-GB"/>
        </w:rPr>
        <w:t>visitable</w:t>
      </w:r>
      <w:proofErr w:type="spellEnd"/>
      <w:r w:rsidRPr="00C0088D">
        <w:rPr>
          <w:rFonts w:ascii="Arial" w:hAnsi="Arial" w:cs="Arial"/>
          <w:iCs/>
          <w:sz w:val="22"/>
          <w:szCs w:val="22"/>
          <w:lang w:val="en-GB"/>
        </w:rPr>
        <w:t xml:space="preserve"> (50%) compared with flats (27%), and other houses (semi- detached, 15% and detached, 14%).</w:t>
      </w:r>
    </w:p>
    <w:p w:rsidR="00C0088D" w:rsidRDefault="00C0088D" w:rsidP="00071525">
      <w:pPr>
        <w:pStyle w:val="ListParagraph"/>
        <w:numPr>
          <w:ilvl w:val="0"/>
          <w:numId w:val="14"/>
        </w:numPr>
        <w:spacing w:line="276" w:lineRule="auto"/>
        <w:rPr>
          <w:rFonts w:ascii="Arial" w:hAnsi="Arial" w:cs="Arial"/>
          <w:iCs/>
          <w:sz w:val="22"/>
          <w:szCs w:val="22"/>
          <w:lang w:val="en-GB"/>
        </w:rPr>
      </w:pPr>
      <w:r w:rsidRPr="00C0088D">
        <w:rPr>
          <w:rFonts w:ascii="Arial" w:hAnsi="Arial" w:cs="Arial"/>
          <w:iCs/>
          <w:sz w:val="22"/>
          <w:szCs w:val="22"/>
          <w:lang w:val="en-GB"/>
        </w:rPr>
        <w:t xml:space="preserve">Over half of homes built before 1919 were not feasible to be made fully </w:t>
      </w:r>
      <w:proofErr w:type="spellStart"/>
      <w:r w:rsidRPr="00C0088D">
        <w:rPr>
          <w:rFonts w:ascii="Arial" w:hAnsi="Arial" w:cs="Arial"/>
          <w:iCs/>
          <w:sz w:val="22"/>
          <w:szCs w:val="22"/>
          <w:lang w:val="en-GB"/>
        </w:rPr>
        <w:t>visitable</w:t>
      </w:r>
      <w:proofErr w:type="spellEnd"/>
      <w:r w:rsidRPr="00C0088D">
        <w:rPr>
          <w:rFonts w:ascii="Arial" w:hAnsi="Arial" w:cs="Arial"/>
          <w:iCs/>
          <w:sz w:val="22"/>
          <w:szCs w:val="22"/>
          <w:lang w:val="en-GB"/>
        </w:rPr>
        <w:t xml:space="preserve"> (55%). Homes built from 1919 onwards tended to need moderate work to ensure full </w:t>
      </w:r>
      <w:proofErr w:type="spellStart"/>
      <w:r w:rsidRPr="00C0088D">
        <w:rPr>
          <w:rFonts w:ascii="Arial" w:hAnsi="Arial" w:cs="Arial"/>
          <w:iCs/>
          <w:sz w:val="22"/>
          <w:szCs w:val="22"/>
          <w:lang w:val="en-GB"/>
        </w:rPr>
        <w:t>visitability</w:t>
      </w:r>
      <w:proofErr w:type="spellEnd"/>
      <w:r w:rsidRPr="00C0088D">
        <w:rPr>
          <w:rFonts w:ascii="Arial" w:hAnsi="Arial" w:cs="Arial"/>
          <w:iCs/>
          <w:sz w:val="22"/>
          <w:szCs w:val="22"/>
          <w:lang w:val="en-GB"/>
        </w:rPr>
        <w:t xml:space="preserve">. </w:t>
      </w:r>
    </w:p>
    <w:p w:rsidR="00345BDC" w:rsidRPr="00345BDC" w:rsidRDefault="00345BDC" w:rsidP="00071525">
      <w:pPr>
        <w:pStyle w:val="ListParagraph"/>
        <w:numPr>
          <w:ilvl w:val="0"/>
          <w:numId w:val="14"/>
        </w:numPr>
        <w:spacing w:line="276" w:lineRule="auto"/>
        <w:rPr>
          <w:rFonts w:ascii="Arial" w:hAnsi="Arial" w:cs="Arial"/>
          <w:iCs/>
          <w:sz w:val="22"/>
          <w:szCs w:val="22"/>
          <w:lang w:val="en-GB"/>
        </w:rPr>
      </w:pPr>
      <w:r w:rsidRPr="00345BDC">
        <w:rPr>
          <w:rFonts w:ascii="Arial" w:hAnsi="Arial" w:cs="Arial"/>
          <w:iCs/>
          <w:sz w:val="22"/>
          <w:szCs w:val="22"/>
          <w:lang w:val="en-GB"/>
        </w:rPr>
        <w:t>Owner occupied and private rented housing is generally the least accessible.</w:t>
      </w:r>
    </w:p>
    <w:p w:rsidR="00345BDC" w:rsidRPr="00C0088D" w:rsidRDefault="00345BDC" w:rsidP="00071525">
      <w:pPr>
        <w:pStyle w:val="ListParagraph"/>
        <w:numPr>
          <w:ilvl w:val="0"/>
          <w:numId w:val="14"/>
        </w:numPr>
        <w:spacing w:line="276" w:lineRule="auto"/>
        <w:rPr>
          <w:rFonts w:ascii="Arial" w:hAnsi="Arial" w:cs="Arial"/>
          <w:iCs/>
          <w:sz w:val="22"/>
          <w:szCs w:val="22"/>
          <w:lang w:val="en-GB"/>
        </w:rPr>
      </w:pPr>
      <w:r w:rsidRPr="00345BDC">
        <w:rPr>
          <w:rFonts w:ascii="Arial" w:hAnsi="Arial" w:cs="Arial"/>
          <w:iCs/>
          <w:sz w:val="22"/>
          <w:szCs w:val="22"/>
          <w:lang w:val="en-GB"/>
        </w:rPr>
        <w:t>Housing association properties are the most likely to possess all four visibility features (generally due to the newer age of these properties).</w:t>
      </w:r>
    </w:p>
    <w:p w:rsidR="00C0088D" w:rsidRDefault="00C0088D" w:rsidP="00C0088D">
      <w:pPr>
        <w:spacing w:line="276" w:lineRule="auto"/>
        <w:rPr>
          <w:rFonts w:ascii="Arial" w:hAnsi="Arial" w:cs="Arial"/>
          <w:iCs/>
          <w:sz w:val="22"/>
          <w:szCs w:val="22"/>
          <w:lang w:val="en-GB"/>
        </w:rPr>
      </w:pPr>
    </w:p>
    <w:p w:rsidR="009D4D39" w:rsidRPr="0035645D" w:rsidRDefault="00440B07" w:rsidP="0035645D">
      <w:pPr>
        <w:spacing w:line="276" w:lineRule="auto"/>
        <w:ind w:left="720" w:hanging="720"/>
        <w:rPr>
          <w:rFonts w:ascii="Arial" w:hAnsi="Arial" w:cs="Arial"/>
          <w:iCs/>
          <w:sz w:val="22"/>
          <w:szCs w:val="22"/>
        </w:rPr>
      </w:pPr>
      <w:r>
        <w:rPr>
          <w:rFonts w:ascii="Arial" w:hAnsi="Arial" w:cs="Arial"/>
          <w:iCs/>
          <w:sz w:val="22"/>
          <w:szCs w:val="22"/>
          <w:lang w:val="en-GB"/>
        </w:rPr>
        <w:t>4.2</w:t>
      </w:r>
      <w:r w:rsidR="00F626FA">
        <w:rPr>
          <w:rFonts w:ascii="Arial" w:hAnsi="Arial" w:cs="Arial"/>
          <w:iCs/>
          <w:sz w:val="22"/>
          <w:szCs w:val="22"/>
          <w:lang w:val="en-GB"/>
        </w:rPr>
        <w:t>0</w:t>
      </w:r>
      <w:r w:rsidR="00C0088D">
        <w:rPr>
          <w:rFonts w:ascii="Arial" w:hAnsi="Arial" w:cs="Arial"/>
          <w:iCs/>
          <w:sz w:val="22"/>
          <w:szCs w:val="22"/>
          <w:lang w:val="en-GB"/>
        </w:rPr>
        <w:tab/>
      </w:r>
      <w:r w:rsidR="00C0088D" w:rsidRPr="00C0088D">
        <w:rPr>
          <w:rFonts w:ascii="Arial" w:hAnsi="Arial" w:cs="Arial"/>
          <w:iCs/>
          <w:sz w:val="22"/>
          <w:szCs w:val="22"/>
          <w:lang w:val="en-GB"/>
        </w:rPr>
        <w:t xml:space="preserve">The survey </w:t>
      </w:r>
      <w:r>
        <w:rPr>
          <w:rFonts w:ascii="Arial" w:hAnsi="Arial" w:cs="Arial"/>
          <w:iCs/>
          <w:sz w:val="22"/>
          <w:szCs w:val="22"/>
          <w:lang w:val="en-GB"/>
        </w:rPr>
        <w:t xml:space="preserve">gives a </w:t>
      </w:r>
      <w:r w:rsidR="00C0088D" w:rsidRPr="00C0088D">
        <w:rPr>
          <w:rFonts w:ascii="Arial" w:hAnsi="Arial" w:cs="Arial"/>
          <w:iCs/>
          <w:sz w:val="22"/>
          <w:szCs w:val="22"/>
          <w:lang w:val="en-GB"/>
        </w:rPr>
        <w:t xml:space="preserve">broad indication of the accessibility and adaptability of housing stock across the country and highlights that the accessibility and adaptability of the existing housing stock is generally quite poor, particularly in older properties. </w:t>
      </w:r>
      <w:r w:rsidR="00AD22F6">
        <w:rPr>
          <w:rFonts w:ascii="Arial" w:hAnsi="Arial" w:cs="Arial"/>
          <w:iCs/>
          <w:sz w:val="22"/>
          <w:szCs w:val="22"/>
          <w:lang w:val="en-GB"/>
        </w:rPr>
        <w:t xml:space="preserve">Census 2011 data shows that 29.5% of Birmingham’s housing stock comprised of </w:t>
      </w:r>
      <w:r>
        <w:rPr>
          <w:rFonts w:ascii="Arial" w:hAnsi="Arial" w:cs="Arial"/>
          <w:iCs/>
          <w:sz w:val="22"/>
          <w:szCs w:val="22"/>
          <w:lang w:val="en-GB"/>
        </w:rPr>
        <w:t xml:space="preserve">a higher than national average (24.6%) of </w:t>
      </w:r>
      <w:r w:rsidR="00AD22F6">
        <w:rPr>
          <w:rFonts w:ascii="Arial" w:hAnsi="Arial" w:cs="Arial"/>
          <w:iCs/>
          <w:sz w:val="22"/>
          <w:szCs w:val="22"/>
          <w:lang w:val="en-GB"/>
        </w:rPr>
        <w:t xml:space="preserve">terraced housing compared </w:t>
      </w:r>
      <w:r>
        <w:rPr>
          <w:rFonts w:ascii="Arial" w:hAnsi="Arial" w:cs="Arial"/>
          <w:iCs/>
          <w:sz w:val="22"/>
          <w:szCs w:val="22"/>
          <w:lang w:val="en-GB"/>
        </w:rPr>
        <w:t xml:space="preserve">which is older and consequently more difficult to adapt. </w:t>
      </w:r>
    </w:p>
    <w:p w:rsidR="006C2BDB" w:rsidRDefault="006C2BDB" w:rsidP="006C2BDB">
      <w:pPr>
        <w:spacing w:line="276" w:lineRule="auto"/>
        <w:rPr>
          <w:rFonts w:ascii="Arial" w:hAnsi="Arial" w:cs="Arial"/>
          <w:iCs/>
          <w:sz w:val="22"/>
          <w:szCs w:val="22"/>
          <w:lang w:val="en-GB"/>
        </w:rPr>
      </w:pPr>
    </w:p>
    <w:p w:rsidR="009D4D39" w:rsidRDefault="00440B07" w:rsidP="00C0088D">
      <w:pPr>
        <w:spacing w:line="276" w:lineRule="auto"/>
        <w:ind w:left="720" w:hanging="720"/>
        <w:rPr>
          <w:rFonts w:ascii="Arial" w:hAnsi="Arial" w:cs="Arial"/>
          <w:iCs/>
          <w:sz w:val="22"/>
          <w:szCs w:val="22"/>
        </w:rPr>
      </w:pPr>
      <w:r>
        <w:rPr>
          <w:rFonts w:ascii="Arial" w:hAnsi="Arial" w:cs="Arial"/>
          <w:iCs/>
          <w:sz w:val="22"/>
          <w:szCs w:val="22"/>
        </w:rPr>
        <w:t>4.2</w:t>
      </w:r>
      <w:r w:rsidR="00F626FA">
        <w:rPr>
          <w:rFonts w:ascii="Arial" w:hAnsi="Arial" w:cs="Arial"/>
          <w:iCs/>
          <w:sz w:val="22"/>
          <w:szCs w:val="22"/>
        </w:rPr>
        <w:t>1</w:t>
      </w:r>
      <w:r w:rsidR="006C2BDB">
        <w:rPr>
          <w:rFonts w:ascii="Arial" w:hAnsi="Arial" w:cs="Arial"/>
          <w:iCs/>
          <w:sz w:val="22"/>
          <w:szCs w:val="22"/>
        </w:rPr>
        <w:tab/>
      </w:r>
      <w:r w:rsidR="00FC76A4">
        <w:rPr>
          <w:rFonts w:ascii="Arial" w:hAnsi="Arial" w:cs="Arial"/>
          <w:iCs/>
          <w:sz w:val="22"/>
          <w:szCs w:val="22"/>
        </w:rPr>
        <w:t>The 2018/19 survey</w:t>
      </w:r>
      <w:r w:rsidR="00FC76A4">
        <w:rPr>
          <w:rStyle w:val="FootnoteReference"/>
          <w:rFonts w:ascii="Arial" w:hAnsi="Arial" w:cs="Arial"/>
          <w:iCs/>
          <w:sz w:val="22"/>
          <w:szCs w:val="22"/>
        </w:rPr>
        <w:footnoteReference w:id="16"/>
      </w:r>
      <w:r w:rsidR="00FC76A4">
        <w:rPr>
          <w:rFonts w:ascii="Arial" w:hAnsi="Arial" w:cs="Arial"/>
          <w:iCs/>
          <w:sz w:val="22"/>
          <w:szCs w:val="22"/>
        </w:rPr>
        <w:t xml:space="preserve"> showed that over half of households in the social rented sector had one or more household member with a L</w:t>
      </w:r>
      <w:r w:rsidR="00F0507D">
        <w:rPr>
          <w:rFonts w:ascii="Arial" w:hAnsi="Arial" w:cs="Arial"/>
          <w:iCs/>
          <w:sz w:val="22"/>
          <w:szCs w:val="22"/>
        </w:rPr>
        <w:t>LTID</w:t>
      </w:r>
      <w:r w:rsidR="00FC76A4">
        <w:rPr>
          <w:rFonts w:ascii="Arial" w:hAnsi="Arial" w:cs="Arial"/>
          <w:iCs/>
          <w:sz w:val="22"/>
          <w:szCs w:val="22"/>
        </w:rPr>
        <w:t xml:space="preserve"> (53%). For private renters, this figure was just over one quarter (27%). </w:t>
      </w:r>
      <w:bookmarkStart w:id="5" w:name="_Hlk45581957"/>
      <w:r w:rsidR="00FC76A4">
        <w:rPr>
          <w:rFonts w:ascii="Arial" w:hAnsi="Arial" w:cs="Arial"/>
          <w:iCs/>
          <w:sz w:val="22"/>
          <w:szCs w:val="22"/>
        </w:rPr>
        <w:t xml:space="preserve">While a similar proportion of </w:t>
      </w:r>
      <w:r w:rsidR="00052430">
        <w:rPr>
          <w:rFonts w:ascii="Arial" w:hAnsi="Arial" w:cs="Arial"/>
          <w:iCs/>
          <w:sz w:val="22"/>
          <w:szCs w:val="22"/>
        </w:rPr>
        <w:t>owner-occupied</w:t>
      </w:r>
      <w:r w:rsidR="00FC76A4">
        <w:rPr>
          <w:rFonts w:ascii="Arial" w:hAnsi="Arial" w:cs="Arial"/>
          <w:iCs/>
          <w:sz w:val="22"/>
          <w:szCs w:val="22"/>
        </w:rPr>
        <w:t xml:space="preserve"> households had one or more household members with a L</w:t>
      </w:r>
      <w:r w:rsidR="00F0507D">
        <w:rPr>
          <w:rFonts w:ascii="Arial" w:hAnsi="Arial" w:cs="Arial"/>
          <w:iCs/>
          <w:sz w:val="22"/>
          <w:szCs w:val="22"/>
        </w:rPr>
        <w:t>LTID</w:t>
      </w:r>
      <w:r w:rsidR="00FC76A4">
        <w:rPr>
          <w:rFonts w:ascii="Arial" w:hAnsi="Arial" w:cs="Arial"/>
          <w:iCs/>
          <w:sz w:val="22"/>
          <w:szCs w:val="22"/>
        </w:rPr>
        <w:t xml:space="preserve"> (31%) reflecting their older age profile</w:t>
      </w:r>
      <w:r w:rsidR="00345BDC">
        <w:rPr>
          <w:rFonts w:ascii="Arial" w:hAnsi="Arial" w:cs="Arial"/>
          <w:iCs/>
          <w:sz w:val="22"/>
          <w:szCs w:val="22"/>
        </w:rPr>
        <w:t>.</w:t>
      </w:r>
      <w:r w:rsidR="00FC76A4">
        <w:rPr>
          <w:rFonts w:ascii="Arial" w:hAnsi="Arial" w:cs="Arial"/>
          <w:iCs/>
          <w:sz w:val="22"/>
          <w:szCs w:val="22"/>
        </w:rPr>
        <w:t xml:space="preserve"> </w:t>
      </w:r>
    </w:p>
    <w:bookmarkEnd w:id="5"/>
    <w:p w:rsidR="0051408B" w:rsidRDefault="0051408B" w:rsidP="00440B07">
      <w:pPr>
        <w:spacing w:line="276" w:lineRule="auto"/>
        <w:rPr>
          <w:rFonts w:ascii="Arial" w:hAnsi="Arial" w:cs="Arial"/>
          <w:iCs/>
          <w:sz w:val="22"/>
          <w:szCs w:val="22"/>
        </w:rPr>
      </w:pPr>
    </w:p>
    <w:p w:rsidR="009D4D39" w:rsidRDefault="0001715C" w:rsidP="002446C6">
      <w:pPr>
        <w:spacing w:line="276" w:lineRule="auto"/>
        <w:ind w:left="720" w:hanging="720"/>
        <w:rPr>
          <w:rFonts w:ascii="Arial" w:hAnsi="Arial" w:cs="Arial"/>
          <w:iCs/>
          <w:sz w:val="22"/>
          <w:szCs w:val="22"/>
        </w:rPr>
      </w:pPr>
      <w:r>
        <w:rPr>
          <w:rFonts w:ascii="Arial" w:hAnsi="Arial" w:cs="Arial"/>
          <w:iCs/>
          <w:sz w:val="22"/>
          <w:szCs w:val="22"/>
        </w:rPr>
        <w:t>4.2</w:t>
      </w:r>
      <w:r w:rsidR="00F626FA">
        <w:rPr>
          <w:rFonts w:ascii="Arial" w:hAnsi="Arial" w:cs="Arial"/>
          <w:iCs/>
          <w:sz w:val="22"/>
          <w:szCs w:val="22"/>
        </w:rPr>
        <w:t>2</w:t>
      </w:r>
      <w:r w:rsidR="0051408B">
        <w:rPr>
          <w:rFonts w:ascii="Arial" w:hAnsi="Arial" w:cs="Arial"/>
          <w:iCs/>
          <w:sz w:val="22"/>
          <w:szCs w:val="22"/>
        </w:rPr>
        <w:tab/>
        <w:t xml:space="preserve">While the development of specialist housing for older people is a growing sector, </w:t>
      </w:r>
      <w:proofErr w:type="gramStart"/>
      <w:r w:rsidR="0051408B">
        <w:rPr>
          <w:rFonts w:ascii="Arial" w:hAnsi="Arial" w:cs="Arial"/>
          <w:iCs/>
          <w:sz w:val="22"/>
          <w:szCs w:val="22"/>
        </w:rPr>
        <w:t>the majority of</w:t>
      </w:r>
      <w:proofErr w:type="gramEnd"/>
      <w:r w:rsidR="0051408B">
        <w:rPr>
          <w:rFonts w:ascii="Arial" w:hAnsi="Arial" w:cs="Arial"/>
          <w:iCs/>
          <w:sz w:val="22"/>
          <w:szCs w:val="22"/>
        </w:rPr>
        <w:t xml:space="preserve"> older people will continue to live outside of specialist housing. Given the significant projected increase in the elderly population, opportunities should therefore be taken to ensure that mainstream housing provides for their needs.</w:t>
      </w:r>
    </w:p>
    <w:p w:rsidR="002A0300" w:rsidRDefault="002A0300" w:rsidP="002446C6">
      <w:pPr>
        <w:spacing w:line="276" w:lineRule="auto"/>
        <w:ind w:left="720" w:hanging="720"/>
        <w:rPr>
          <w:rFonts w:ascii="Arial" w:hAnsi="Arial" w:cs="Arial"/>
          <w:iCs/>
          <w:sz w:val="22"/>
          <w:szCs w:val="22"/>
        </w:rPr>
      </w:pPr>
    </w:p>
    <w:p w:rsidR="002A0300" w:rsidRDefault="002A0300" w:rsidP="002446C6">
      <w:pPr>
        <w:spacing w:line="276" w:lineRule="auto"/>
        <w:ind w:left="720" w:hanging="720"/>
        <w:rPr>
          <w:rFonts w:ascii="Arial" w:hAnsi="Arial" w:cs="Arial"/>
          <w:iCs/>
          <w:sz w:val="22"/>
          <w:szCs w:val="22"/>
        </w:rPr>
      </w:pPr>
      <w:r>
        <w:rPr>
          <w:rFonts w:ascii="Arial" w:hAnsi="Arial" w:cs="Arial"/>
          <w:iCs/>
          <w:sz w:val="22"/>
          <w:szCs w:val="22"/>
        </w:rPr>
        <w:t>4.2</w:t>
      </w:r>
      <w:r w:rsidR="00F626FA">
        <w:rPr>
          <w:rFonts w:ascii="Arial" w:hAnsi="Arial" w:cs="Arial"/>
          <w:iCs/>
          <w:sz w:val="22"/>
          <w:szCs w:val="22"/>
        </w:rPr>
        <w:t>3</w:t>
      </w:r>
      <w:r>
        <w:rPr>
          <w:rFonts w:ascii="Arial" w:hAnsi="Arial" w:cs="Arial"/>
          <w:iCs/>
          <w:sz w:val="22"/>
          <w:szCs w:val="22"/>
        </w:rPr>
        <w:tab/>
      </w:r>
      <w:r w:rsidRPr="002A0300">
        <w:rPr>
          <w:rFonts w:ascii="Arial" w:hAnsi="Arial" w:cs="Arial"/>
          <w:iCs/>
          <w:sz w:val="22"/>
          <w:szCs w:val="22"/>
        </w:rPr>
        <w:t xml:space="preserve">The Birmingham Municipal Housing Trust (the City Council’s housing development arm) builds </w:t>
      </w:r>
      <w:proofErr w:type="gramStart"/>
      <w:r w:rsidRPr="002A0300">
        <w:rPr>
          <w:rFonts w:ascii="Arial" w:hAnsi="Arial" w:cs="Arial"/>
          <w:iCs/>
          <w:sz w:val="22"/>
          <w:szCs w:val="22"/>
        </w:rPr>
        <w:t>all of</w:t>
      </w:r>
      <w:proofErr w:type="gramEnd"/>
      <w:r w:rsidRPr="002A0300">
        <w:rPr>
          <w:rFonts w:ascii="Arial" w:hAnsi="Arial" w:cs="Arial"/>
          <w:iCs/>
          <w:sz w:val="22"/>
          <w:szCs w:val="22"/>
        </w:rPr>
        <w:t xml:space="preserve"> its properties (both private and affordable) to Part M4 (2) standard.</w:t>
      </w:r>
    </w:p>
    <w:p w:rsidR="0051408B" w:rsidRPr="009D4D39" w:rsidRDefault="0051408B" w:rsidP="002446C6">
      <w:pPr>
        <w:spacing w:line="276" w:lineRule="auto"/>
        <w:ind w:left="720" w:hanging="720"/>
        <w:rPr>
          <w:rFonts w:ascii="Arial" w:hAnsi="Arial" w:cs="Arial"/>
          <w:iCs/>
          <w:sz w:val="22"/>
          <w:szCs w:val="22"/>
          <w:lang w:val="en-GB"/>
        </w:rPr>
      </w:pPr>
    </w:p>
    <w:p w:rsidR="009D4D39" w:rsidRPr="0001715C" w:rsidRDefault="00FC486A" w:rsidP="000E1A5B">
      <w:pPr>
        <w:spacing w:line="300" w:lineRule="atLeast"/>
        <w:rPr>
          <w:rFonts w:ascii="Arial" w:hAnsi="Arial" w:cs="Arial"/>
          <w:b/>
          <w:bCs/>
          <w:iCs/>
          <w:sz w:val="22"/>
          <w:szCs w:val="22"/>
        </w:rPr>
      </w:pPr>
      <w:r w:rsidRPr="0001715C">
        <w:rPr>
          <w:rFonts w:ascii="Arial" w:hAnsi="Arial" w:cs="Arial"/>
          <w:b/>
          <w:bCs/>
          <w:iCs/>
          <w:sz w:val="22"/>
          <w:szCs w:val="22"/>
        </w:rPr>
        <w:tab/>
        <w:t>How needs vary across tenures</w:t>
      </w:r>
    </w:p>
    <w:p w:rsidR="00FC486A" w:rsidRDefault="00FC486A" w:rsidP="000E1A5B">
      <w:pPr>
        <w:spacing w:line="300" w:lineRule="atLeast"/>
        <w:rPr>
          <w:rFonts w:ascii="Arial" w:hAnsi="Arial" w:cs="Arial"/>
          <w:i/>
          <w:sz w:val="22"/>
          <w:szCs w:val="22"/>
        </w:rPr>
      </w:pPr>
    </w:p>
    <w:p w:rsidR="002446C6" w:rsidRDefault="0001715C" w:rsidP="00FC486A">
      <w:pPr>
        <w:spacing w:line="300" w:lineRule="atLeast"/>
        <w:ind w:left="720" w:hanging="720"/>
        <w:rPr>
          <w:rFonts w:ascii="Arial" w:hAnsi="Arial" w:cs="Arial"/>
          <w:iCs/>
          <w:sz w:val="22"/>
          <w:szCs w:val="22"/>
        </w:rPr>
      </w:pPr>
      <w:r>
        <w:rPr>
          <w:rFonts w:ascii="Arial" w:hAnsi="Arial" w:cs="Arial"/>
          <w:iCs/>
          <w:sz w:val="22"/>
          <w:szCs w:val="22"/>
        </w:rPr>
        <w:t>4.2</w:t>
      </w:r>
      <w:r w:rsidR="00F626FA">
        <w:rPr>
          <w:rFonts w:ascii="Arial" w:hAnsi="Arial" w:cs="Arial"/>
          <w:iCs/>
          <w:sz w:val="22"/>
          <w:szCs w:val="22"/>
        </w:rPr>
        <w:t>4</w:t>
      </w:r>
      <w:r>
        <w:rPr>
          <w:rFonts w:ascii="Arial" w:hAnsi="Arial" w:cs="Arial"/>
          <w:iCs/>
          <w:sz w:val="22"/>
          <w:szCs w:val="22"/>
        </w:rPr>
        <w:tab/>
      </w:r>
      <w:r w:rsidR="00FC486A">
        <w:rPr>
          <w:rFonts w:ascii="Arial" w:hAnsi="Arial" w:cs="Arial"/>
          <w:iCs/>
          <w:sz w:val="22"/>
          <w:szCs w:val="22"/>
        </w:rPr>
        <w:t xml:space="preserve">It is not considered that the need for accessible and adaptable dwellings differs significantly across tenures. </w:t>
      </w:r>
      <w:r w:rsidR="002446C6">
        <w:rPr>
          <w:rFonts w:ascii="Arial" w:hAnsi="Arial" w:cs="Arial"/>
          <w:iCs/>
          <w:sz w:val="22"/>
          <w:szCs w:val="22"/>
        </w:rPr>
        <w:t>Owner-occupied dwellings tend t</w:t>
      </w:r>
      <w:r w:rsidR="00FC76A4">
        <w:rPr>
          <w:rFonts w:ascii="Arial" w:hAnsi="Arial" w:cs="Arial"/>
          <w:iCs/>
          <w:sz w:val="22"/>
          <w:szCs w:val="22"/>
        </w:rPr>
        <w:t>o</w:t>
      </w:r>
      <w:r w:rsidR="002446C6">
        <w:rPr>
          <w:rFonts w:ascii="Arial" w:hAnsi="Arial" w:cs="Arial"/>
          <w:iCs/>
          <w:sz w:val="22"/>
          <w:szCs w:val="22"/>
        </w:rPr>
        <w:t xml:space="preserve"> have a higher aged household profile than other tenures in Birmingham, but all tenures will experience an increase in their age profile in years to come. </w:t>
      </w:r>
    </w:p>
    <w:p w:rsidR="002446C6" w:rsidRDefault="002446C6" w:rsidP="00FC486A">
      <w:pPr>
        <w:spacing w:line="300" w:lineRule="atLeast"/>
        <w:ind w:left="720" w:hanging="720"/>
        <w:rPr>
          <w:rFonts w:ascii="Arial" w:hAnsi="Arial" w:cs="Arial"/>
          <w:iCs/>
          <w:sz w:val="22"/>
          <w:szCs w:val="22"/>
        </w:rPr>
      </w:pPr>
    </w:p>
    <w:p w:rsidR="0001715C" w:rsidRDefault="0001715C" w:rsidP="0001715C">
      <w:pPr>
        <w:spacing w:line="300" w:lineRule="atLeast"/>
        <w:ind w:left="720" w:hanging="720"/>
        <w:rPr>
          <w:rFonts w:ascii="Arial" w:hAnsi="Arial" w:cs="Arial"/>
          <w:iCs/>
          <w:sz w:val="22"/>
          <w:szCs w:val="22"/>
        </w:rPr>
      </w:pPr>
      <w:r>
        <w:rPr>
          <w:rFonts w:ascii="Arial" w:hAnsi="Arial" w:cs="Arial"/>
          <w:iCs/>
          <w:sz w:val="22"/>
          <w:szCs w:val="22"/>
        </w:rPr>
        <w:lastRenderedPageBreak/>
        <w:t>4.2</w:t>
      </w:r>
      <w:r w:rsidR="00F626FA">
        <w:rPr>
          <w:rFonts w:ascii="Arial" w:hAnsi="Arial" w:cs="Arial"/>
          <w:iCs/>
          <w:sz w:val="22"/>
          <w:szCs w:val="22"/>
        </w:rPr>
        <w:t>5</w:t>
      </w:r>
      <w:r w:rsidR="002446C6">
        <w:rPr>
          <w:rFonts w:ascii="Arial" w:hAnsi="Arial" w:cs="Arial"/>
          <w:iCs/>
          <w:sz w:val="22"/>
          <w:szCs w:val="22"/>
        </w:rPr>
        <w:tab/>
        <w:t>The City Council’s Housing Register provides a useful picture of current needs in the affordable sector</w:t>
      </w:r>
      <w:r>
        <w:rPr>
          <w:rFonts w:ascii="Arial" w:hAnsi="Arial" w:cs="Arial"/>
          <w:iCs/>
          <w:sz w:val="22"/>
          <w:szCs w:val="22"/>
        </w:rPr>
        <w:t>.</w:t>
      </w:r>
      <w:r w:rsidRPr="0001715C">
        <w:t xml:space="preserve"> </w:t>
      </w:r>
      <w:r>
        <w:rPr>
          <w:rFonts w:ascii="Arial" w:hAnsi="Arial" w:cs="Arial"/>
          <w:iCs/>
          <w:sz w:val="22"/>
          <w:szCs w:val="22"/>
        </w:rPr>
        <w:t>At</w:t>
      </w:r>
      <w:r w:rsidRPr="0001715C">
        <w:rPr>
          <w:rFonts w:ascii="Arial" w:hAnsi="Arial" w:cs="Arial"/>
          <w:iCs/>
          <w:sz w:val="22"/>
          <w:szCs w:val="22"/>
        </w:rPr>
        <w:t xml:space="preserve"> July 2019, there were 894 active applications with adaptation requirements. The range of adaptations required include wheelchair access, wider doorways, ramped/ level access from external, through floor lift, ceiling track hoist, lowered kitchen facilities, accessible bathing facilities, level access internal layout and stair lift. This number accounts for 7% of those in total on the housing register (12,911 applications at 29 July 2019). </w:t>
      </w:r>
    </w:p>
    <w:p w:rsidR="0001715C" w:rsidRPr="0001715C" w:rsidRDefault="0001715C" w:rsidP="0001715C">
      <w:pPr>
        <w:spacing w:line="300" w:lineRule="atLeast"/>
        <w:ind w:left="720" w:hanging="720"/>
        <w:rPr>
          <w:rFonts w:ascii="Arial" w:hAnsi="Arial" w:cs="Arial"/>
          <w:iCs/>
          <w:sz w:val="22"/>
          <w:szCs w:val="22"/>
        </w:rPr>
      </w:pPr>
    </w:p>
    <w:p w:rsidR="00FC486A" w:rsidRDefault="0001715C" w:rsidP="0001715C">
      <w:pPr>
        <w:spacing w:line="300" w:lineRule="atLeast"/>
        <w:ind w:left="720" w:hanging="720"/>
        <w:rPr>
          <w:rFonts w:ascii="Arial" w:hAnsi="Arial" w:cs="Arial"/>
          <w:iCs/>
          <w:sz w:val="22"/>
          <w:szCs w:val="22"/>
        </w:rPr>
      </w:pPr>
      <w:r>
        <w:rPr>
          <w:rFonts w:ascii="Arial" w:hAnsi="Arial" w:cs="Arial"/>
          <w:iCs/>
          <w:sz w:val="22"/>
          <w:szCs w:val="22"/>
        </w:rPr>
        <w:t>4.2</w:t>
      </w:r>
      <w:r w:rsidR="00F626FA">
        <w:rPr>
          <w:rFonts w:ascii="Arial" w:hAnsi="Arial" w:cs="Arial"/>
          <w:iCs/>
          <w:sz w:val="22"/>
          <w:szCs w:val="22"/>
        </w:rPr>
        <w:t>6</w:t>
      </w:r>
      <w:r w:rsidRPr="0001715C">
        <w:rPr>
          <w:rFonts w:ascii="Arial" w:hAnsi="Arial" w:cs="Arial"/>
          <w:iCs/>
          <w:sz w:val="22"/>
          <w:szCs w:val="22"/>
        </w:rPr>
        <w:tab/>
      </w:r>
      <w:r w:rsidR="002446C6" w:rsidRPr="008D0D9E">
        <w:rPr>
          <w:rFonts w:ascii="Arial" w:hAnsi="Arial" w:cs="Arial"/>
          <w:iCs/>
          <w:sz w:val="22"/>
          <w:szCs w:val="22"/>
        </w:rPr>
        <w:t xml:space="preserve">Additionally, </w:t>
      </w:r>
      <w:r>
        <w:rPr>
          <w:rFonts w:ascii="Arial" w:hAnsi="Arial" w:cs="Arial"/>
          <w:iCs/>
          <w:sz w:val="22"/>
          <w:szCs w:val="22"/>
        </w:rPr>
        <w:t>2011 C</w:t>
      </w:r>
      <w:r w:rsidR="002446C6" w:rsidRPr="008D0D9E">
        <w:rPr>
          <w:rFonts w:ascii="Arial" w:hAnsi="Arial" w:cs="Arial"/>
          <w:iCs/>
          <w:sz w:val="22"/>
          <w:szCs w:val="22"/>
        </w:rPr>
        <w:t xml:space="preserve">ensus </w:t>
      </w:r>
      <w:r>
        <w:rPr>
          <w:rFonts w:ascii="Arial" w:hAnsi="Arial" w:cs="Arial"/>
          <w:iCs/>
          <w:sz w:val="22"/>
          <w:szCs w:val="22"/>
        </w:rPr>
        <w:t>D</w:t>
      </w:r>
      <w:r w:rsidR="002446C6" w:rsidRPr="008D0D9E">
        <w:rPr>
          <w:rFonts w:ascii="Arial" w:hAnsi="Arial" w:cs="Arial"/>
          <w:iCs/>
          <w:sz w:val="22"/>
          <w:szCs w:val="22"/>
        </w:rPr>
        <w:t xml:space="preserve">ata shows </w:t>
      </w:r>
      <w:r w:rsidR="008D0D9E" w:rsidRPr="008D0D9E">
        <w:rPr>
          <w:rFonts w:ascii="Arial" w:hAnsi="Arial" w:cs="Arial"/>
          <w:iCs/>
          <w:sz w:val="22"/>
          <w:szCs w:val="22"/>
        </w:rPr>
        <w:t xml:space="preserve">a higher proportion of </w:t>
      </w:r>
      <w:r w:rsidR="002446C6" w:rsidRPr="008D0D9E">
        <w:rPr>
          <w:rFonts w:ascii="Arial" w:hAnsi="Arial" w:cs="Arial"/>
          <w:iCs/>
          <w:sz w:val="22"/>
          <w:szCs w:val="22"/>
        </w:rPr>
        <w:t xml:space="preserve">people </w:t>
      </w:r>
      <w:r w:rsidR="008D0D9E" w:rsidRPr="008D0D9E">
        <w:rPr>
          <w:rFonts w:ascii="Arial" w:hAnsi="Arial" w:cs="Arial"/>
          <w:iCs/>
          <w:sz w:val="22"/>
          <w:szCs w:val="22"/>
        </w:rPr>
        <w:t xml:space="preserve">with </w:t>
      </w:r>
      <w:r>
        <w:rPr>
          <w:rFonts w:ascii="Arial" w:hAnsi="Arial" w:cs="Arial"/>
          <w:iCs/>
          <w:sz w:val="22"/>
          <w:szCs w:val="22"/>
        </w:rPr>
        <w:t xml:space="preserve">a </w:t>
      </w:r>
      <w:r w:rsidR="008D0D9E" w:rsidRPr="008D0D9E">
        <w:rPr>
          <w:rFonts w:ascii="Arial" w:hAnsi="Arial" w:cs="Arial"/>
          <w:iCs/>
          <w:sz w:val="22"/>
          <w:szCs w:val="22"/>
        </w:rPr>
        <w:t>L</w:t>
      </w:r>
      <w:r w:rsidR="00333E6C">
        <w:rPr>
          <w:rFonts w:ascii="Arial" w:hAnsi="Arial" w:cs="Arial"/>
          <w:iCs/>
          <w:sz w:val="22"/>
          <w:szCs w:val="22"/>
        </w:rPr>
        <w:t>LTI</w:t>
      </w:r>
      <w:r w:rsidR="008D0D9E" w:rsidRPr="008D0D9E">
        <w:rPr>
          <w:rFonts w:ascii="Arial" w:hAnsi="Arial" w:cs="Arial"/>
          <w:iCs/>
          <w:sz w:val="22"/>
          <w:szCs w:val="22"/>
        </w:rPr>
        <w:t xml:space="preserve"> </w:t>
      </w:r>
      <w:r>
        <w:rPr>
          <w:rFonts w:ascii="Arial" w:hAnsi="Arial" w:cs="Arial"/>
          <w:iCs/>
          <w:sz w:val="22"/>
          <w:szCs w:val="22"/>
        </w:rPr>
        <w:t>who</w:t>
      </w:r>
      <w:r w:rsidR="00A004BC">
        <w:rPr>
          <w:rFonts w:ascii="Arial" w:hAnsi="Arial" w:cs="Arial"/>
          <w:iCs/>
          <w:sz w:val="22"/>
          <w:szCs w:val="22"/>
        </w:rPr>
        <w:t xml:space="preserve"> are</w:t>
      </w:r>
      <w:r>
        <w:rPr>
          <w:rFonts w:ascii="Arial" w:hAnsi="Arial" w:cs="Arial"/>
          <w:iCs/>
          <w:sz w:val="22"/>
          <w:szCs w:val="22"/>
        </w:rPr>
        <w:t xml:space="preserve"> </w:t>
      </w:r>
      <w:r w:rsidRPr="008D0D9E">
        <w:rPr>
          <w:rFonts w:ascii="Arial" w:hAnsi="Arial" w:cs="Arial"/>
          <w:iCs/>
          <w:sz w:val="22"/>
          <w:szCs w:val="22"/>
        </w:rPr>
        <w:t xml:space="preserve">owner occupiers </w:t>
      </w:r>
      <w:r w:rsidR="008D0D9E" w:rsidRPr="008D0D9E">
        <w:rPr>
          <w:rFonts w:ascii="Arial" w:hAnsi="Arial" w:cs="Arial"/>
          <w:iCs/>
          <w:sz w:val="22"/>
          <w:szCs w:val="22"/>
        </w:rPr>
        <w:t>compared to those in</w:t>
      </w:r>
      <w:r>
        <w:rPr>
          <w:rFonts w:ascii="Arial" w:hAnsi="Arial" w:cs="Arial"/>
          <w:iCs/>
          <w:sz w:val="22"/>
          <w:szCs w:val="22"/>
        </w:rPr>
        <w:t xml:space="preserve"> </w:t>
      </w:r>
      <w:r w:rsidR="002446C6" w:rsidRPr="008D0D9E">
        <w:rPr>
          <w:rFonts w:ascii="Arial" w:hAnsi="Arial" w:cs="Arial"/>
          <w:iCs/>
          <w:sz w:val="22"/>
          <w:szCs w:val="22"/>
        </w:rPr>
        <w:t>social rented sector</w:t>
      </w:r>
      <w:r w:rsidR="008D0D9E" w:rsidRPr="008D0D9E">
        <w:rPr>
          <w:rFonts w:ascii="Arial" w:hAnsi="Arial" w:cs="Arial"/>
          <w:iCs/>
          <w:sz w:val="22"/>
          <w:szCs w:val="22"/>
        </w:rPr>
        <w:t xml:space="preserve"> and </w:t>
      </w:r>
      <w:r w:rsidR="002446C6" w:rsidRPr="008D0D9E">
        <w:rPr>
          <w:rFonts w:ascii="Arial" w:hAnsi="Arial" w:cs="Arial"/>
          <w:iCs/>
          <w:sz w:val="22"/>
          <w:szCs w:val="22"/>
        </w:rPr>
        <w:t>private rented sector</w:t>
      </w:r>
      <w:r w:rsidR="008D0D9E" w:rsidRPr="008D0D9E">
        <w:rPr>
          <w:rFonts w:ascii="Arial" w:hAnsi="Arial" w:cs="Arial"/>
          <w:iCs/>
          <w:sz w:val="22"/>
          <w:szCs w:val="22"/>
        </w:rPr>
        <w:t xml:space="preserve"> accommodation</w:t>
      </w:r>
      <w:r w:rsidR="00A004BC">
        <w:rPr>
          <w:rFonts w:ascii="Arial" w:hAnsi="Arial" w:cs="Arial"/>
          <w:iCs/>
          <w:sz w:val="22"/>
          <w:szCs w:val="22"/>
        </w:rPr>
        <w:t>, which reinforces the need to ensure that all housing seeks to provide a proportion of dwellings that are accessible and adaptable.</w:t>
      </w:r>
    </w:p>
    <w:p w:rsidR="008D0D9E" w:rsidRDefault="008D0D9E" w:rsidP="00FC486A">
      <w:pPr>
        <w:spacing w:line="300" w:lineRule="atLeast"/>
        <w:ind w:left="720" w:hanging="720"/>
        <w:rPr>
          <w:rFonts w:ascii="Arial" w:hAnsi="Arial" w:cs="Arial"/>
          <w:iCs/>
          <w:sz w:val="22"/>
          <w:szCs w:val="22"/>
        </w:rPr>
      </w:pPr>
    </w:p>
    <w:p w:rsidR="000E7AC6" w:rsidRDefault="000E7AC6" w:rsidP="003B0BF5">
      <w:pPr>
        <w:spacing w:line="300" w:lineRule="atLeast"/>
        <w:ind w:left="720"/>
        <w:rPr>
          <w:rFonts w:ascii="Arial" w:hAnsi="Arial" w:cs="Arial"/>
          <w:sz w:val="22"/>
          <w:szCs w:val="22"/>
        </w:rPr>
      </w:pPr>
      <w:r>
        <w:rPr>
          <w:rFonts w:ascii="Arial" w:hAnsi="Arial" w:cs="Arial"/>
          <w:sz w:val="22"/>
          <w:szCs w:val="22"/>
        </w:rPr>
        <w:t xml:space="preserve">Table </w:t>
      </w:r>
      <w:r w:rsidR="00610E57">
        <w:rPr>
          <w:rFonts w:ascii="Arial" w:hAnsi="Arial" w:cs="Arial"/>
          <w:sz w:val="22"/>
          <w:szCs w:val="22"/>
        </w:rPr>
        <w:t>1</w:t>
      </w:r>
      <w:r w:rsidR="00333E6C">
        <w:rPr>
          <w:rFonts w:ascii="Arial" w:hAnsi="Arial" w:cs="Arial"/>
          <w:sz w:val="22"/>
          <w:szCs w:val="22"/>
        </w:rPr>
        <w:t>3</w:t>
      </w:r>
      <w:r>
        <w:rPr>
          <w:rFonts w:ascii="Arial" w:hAnsi="Arial" w:cs="Arial"/>
          <w:sz w:val="22"/>
          <w:szCs w:val="22"/>
        </w:rPr>
        <w:t xml:space="preserve">: </w:t>
      </w:r>
      <w:r w:rsidR="003B0BF5">
        <w:rPr>
          <w:rFonts w:ascii="Arial" w:hAnsi="Arial" w:cs="Arial"/>
          <w:sz w:val="22"/>
          <w:szCs w:val="22"/>
        </w:rPr>
        <w:t xml:space="preserve">% Population </w:t>
      </w:r>
      <w:r w:rsidR="0001715C">
        <w:rPr>
          <w:rFonts w:ascii="Arial" w:hAnsi="Arial" w:cs="Arial"/>
          <w:sz w:val="22"/>
          <w:szCs w:val="22"/>
        </w:rPr>
        <w:t xml:space="preserve">(all) </w:t>
      </w:r>
      <w:r w:rsidR="003B0BF5">
        <w:rPr>
          <w:rFonts w:ascii="Arial" w:hAnsi="Arial" w:cs="Arial"/>
          <w:sz w:val="22"/>
          <w:szCs w:val="22"/>
        </w:rPr>
        <w:t xml:space="preserve">living in households with a </w:t>
      </w:r>
      <w:r w:rsidR="0001715C">
        <w:rPr>
          <w:rFonts w:ascii="Arial" w:hAnsi="Arial" w:cs="Arial"/>
          <w:sz w:val="22"/>
          <w:szCs w:val="22"/>
        </w:rPr>
        <w:t>L</w:t>
      </w:r>
      <w:r w:rsidR="00333E6C">
        <w:rPr>
          <w:rFonts w:ascii="Arial" w:hAnsi="Arial" w:cs="Arial"/>
          <w:sz w:val="22"/>
          <w:szCs w:val="22"/>
        </w:rPr>
        <w:t>LTI</w:t>
      </w:r>
      <w:r w:rsidR="00645418">
        <w:rPr>
          <w:rFonts w:ascii="Arial" w:hAnsi="Arial" w:cs="Arial"/>
          <w:sz w:val="22"/>
          <w:szCs w:val="22"/>
        </w:rPr>
        <w:t>D</w:t>
      </w:r>
      <w:r>
        <w:rPr>
          <w:rFonts w:ascii="Arial" w:hAnsi="Arial" w:cs="Arial"/>
          <w:sz w:val="22"/>
          <w:szCs w:val="22"/>
        </w:rPr>
        <w:t>, by tenure</w:t>
      </w:r>
      <w:r w:rsidR="00626DA5">
        <w:rPr>
          <w:rFonts w:ascii="Arial" w:hAnsi="Arial" w:cs="Arial"/>
          <w:sz w:val="22"/>
          <w:szCs w:val="22"/>
        </w:rPr>
        <w:t>,</w:t>
      </w:r>
      <w:r>
        <w:rPr>
          <w:rFonts w:ascii="Arial" w:hAnsi="Arial" w:cs="Arial"/>
          <w:sz w:val="22"/>
          <w:szCs w:val="22"/>
        </w:rPr>
        <w:t xml:space="preserve"> Census 2011</w:t>
      </w:r>
    </w:p>
    <w:p w:rsidR="000E7AC6" w:rsidRDefault="000E7AC6" w:rsidP="00FC486A">
      <w:pPr>
        <w:spacing w:line="300" w:lineRule="atLeast"/>
        <w:ind w:left="720" w:hanging="720"/>
        <w:rPr>
          <w:rFonts w:ascii="Arial" w:hAnsi="Arial" w:cs="Arial"/>
          <w:iCs/>
          <w:sz w:val="22"/>
          <w:szCs w:val="22"/>
        </w:rPr>
      </w:pPr>
    </w:p>
    <w:tbl>
      <w:tblPr>
        <w:tblStyle w:val="TableGrid"/>
        <w:tblW w:w="0" w:type="auto"/>
        <w:tblInd w:w="720" w:type="dxa"/>
        <w:tblLook w:val="04A0" w:firstRow="1" w:lastRow="0" w:firstColumn="1" w:lastColumn="0" w:noHBand="0" w:noVBand="1"/>
      </w:tblPr>
      <w:tblGrid>
        <w:gridCol w:w="2961"/>
        <w:gridCol w:w="1842"/>
        <w:gridCol w:w="1843"/>
        <w:gridCol w:w="1843"/>
      </w:tblGrid>
      <w:tr w:rsidR="005E6FA6" w:rsidRPr="003365A7" w:rsidTr="00BA18CD">
        <w:tc>
          <w:tcPr>
            <w:tcW w:w="2961" w:type="dxa"/>
            <w:shd w:val="clear" w:color="auto" w:fill="D9D9D9" w:themeFill="background1" w:themeFillShade="D9"/>
          </w:tcPr>
          <w:p w:rsidR="005E6FA6" w:rsidRPr="003365A7" w:rsidRDefault="005E6FA6" w:rsidP="00FC486A">
            <w:pPr>
              <w:spacing w:line="300" w:lineRule="atLeast"/>
              <w:rPr>
                <w:rFonts w:ascii="Arial" w:hAnsi="Arial" w:cs="Arial"/>
                <w:b/>
                <w:bCs/>
                <w:iCs/>
                <w:sz w:val="22"/>
                <w:szCs w:val="22"/>
              </w:rPr>
            </w:pPr>
            <w:r w:rsidRPr="003365A7">
              <w:rPr>
                <w:rFonts w:ascii="Arial" w:hAnsi="Arial" w:cs="Arial"/>
                <w:b/>
                <w:bCs/>
                <w:iCs/>
                <w:sz w:val="22"/>
                <w:szCs w:val="22"/>
              </w:rPr>
              <w:t>Tenure</w:t>
            </w:r>
          </w:p>
        </w:tc>
        <w:tc>
          <w:tcPr>
            <w:tcW w:w="1842" w:type="dxa"/>
            <w:shd w:val="clear" w:color="auto" w:fill="D9D9D9" w:themeFill="background1" w:themeFillShade="D9"/>
          </w:tcPr>
          <w:p w:rsidR="005E6FA6" w:rsidRPr="003365A7" w:rsidRDefault="005E6FA6" w:rsidP="00FC486A">
            <w:pPr>
              <w:spacing w:line="300" w:lineRule="atLeast"/>
              <w:rPr>
                <w:rFonts w:ascii="Arial" w:hAnsi="Arial" w:cs="Arial"/>
                <w:b/>
                <w:bCs/>
                <w:iCs/>
                <w:sz w:val="22"/>
                <w:szCs w:val="22"/>
              </w:rPr>
            </w:pPr>
            <w:r w:rsidRPr="003365A7">
              <w:rPr>
                <w:rFonts w:ascii="Arial" w:hAnsi="Arial" w:cs="Arial"/>
                <w:b/>
                <w:bCs/>
                <w:iCs/>
                <w:sz w:val="22"/>
                <w:szCs w:val="22"/>
              </w:rPr>
              <w:t>Limited a lot</w:t>
            </w:r>
          </w:p>
        </w:tc>
        <w:tc>
          <w:tcPr>
            <w:tcW w:w="1843" w:type="dxa"/>
            <w:shd w:val="clear" w:color="auto" w:fill="D9D9D9" w:themeFill="background1" w:themeFillShade="D9"/>
          </w:tcPr>
          <w:p w:rsidR="005E6FA6" w:rsidRPr="003365A7" w:rsidRDefault="005E6FA6" w:rsidP="00FC486A">
            <w:pPr>
              <w:spacing w:line="300" w:lineRule="atLeast"/>
              <w:rPr>
                <w:rFonts w:ascii="Arial" w:hAnsi="Arial" w:cs="Arial"/>
                <w:b/>
                <w:bCs/>
                <w:iCs/>
                <w:sz w:val="22"/>
                <w:szCs w:val="22"/>
              </w:rPr>
            </w:pPr>
            <w:r w:rsidRPr="003365A7">
              <w:rPr>
                <w:rFonts w:ascii="Arial" w:hAnsi="Arial" w:cs="Arial"/>
                <w:b/>
                <w:bCs/>
                <w:iCs/>
                <w:sz w:val="22"/>
                <w:szCs w:val="22"/>
              </w:rPr>
              <w:t>Limited a little</w:t>
            </w:r>
          </w:p>
        </w:tc>
        <w:tc>
          <w:tcPr>
            <w:tcW w:w="1843" w:type="dxa"/>
            <w:shd w:val="clear" w:color="auto" w:fill="D9D9D9" w:themeFill="background1" w:themeFillShade="D9"/>
          </w:tcPr>
          <w:p w:rsidR="005E6FA6" w:rsidRPr="003365A7" w:rsidRDefault="000E7AC6" w:rsidP="00FC486A">
            <w:pPr>
              <w:spacing w:line="300" w:lineRule="atLeast"/>
              <w:rPr>
                <w:rFonts w:ascii="Arial" w:hAnsi="Arial" w:cs="Arial"/>
                <w:b/>
                <w:bCs/>
                <w:iCs/>
                <w:sz w:val="22"/>
                <w:szCs w:val="22"/>
              </w:rPr>
            </w:pPr>
            <w:r w:rsidRPr="003B0BF5">
              <w:rPr>
                <w:rFonts w:ascii="Arial" w:hAnsi="Arial" w:cs="Arial"/>
                <w:b/>
                <w:bCs/>
                <w:iCs/>
                <w:sz w:val="22"/>
                <w:szCs w:val="22"/>
              </w:rPr>
              <w:t>Not limited</w:t>
            </w:r>
          </w:p>
        </w:tc>
      </w:tr>
      <w:tr w:rsidR="005E6FA6" w:rsidTr="00BA18CD">
        <w:tc>
          <w:tcPr>
            <w:tcW w:w="2961" w:type="dxa"/>
          </w:tcPr>
          <w:p w:rsidR="005E6FA6" w:rsidRDefault="005E6FA6" w:rsidP="00FC486A">
            <w:pPr>
              <w:spacing w:line="300" w:lineRule="atLeast"/>
              <w:rPr>
                <w:rFonts w:ascii="Arial" w:hAnsi="Arial" w:cs="Arial"/>
                <w:iCs/>
                <w:sz w:val="22"/>
                <w:szCs w:val="22"/>
              </w:rPr>
            </w:pPr>
            <w:r>
              <w:rPr>
                <w:rFonts w:ascii="Arial" w:hAnsi="Arial" w:cs="Arial"/>
                <w:iCs/>
                <w:sz w:val="22"/>
                <w:szCs w:val="22"/>
              </w:rPr>
              <w:t>Owned outright</w:t>
            </w:r>
          </w:p>
        </w:tc>
        <w:tc>
          <w:tcPr>
            <w:tcW w:w="1842" w:type="dxa"/>
          </w:tcPr>
          <w:p w:rsidR="005E6FA6" w:rsidRDefault="005E6FA6" w:rsidP="00FC486A">
            <w:pPr>
              <w:spacing w:line="300" w:lineRule="atLeast"/>
              <w:rPr>
                <w:rFonts w:ascii="Arial" w:hAnsi="Arial" w:cs="Arial"/>
                <w:iCs/>
                <w:sz w:val="22"/>
                <w:szCs w:val="22"/>
              </w:rPr>
            </w:pPr>
            <w:r>
              <w:rPr>
                <w:rFonts w:ascii="Arial" w:hAnsi="Arial" w:cs="Arial"/>
                <w:iCs/>
                <w:sz w:val="22"/>
                <w:szCs w:val="22"/>
              </w:rPr>
              <w:t>36.3</w:t>
            </w:r>
          </w:p>
        </w:tc>
        <w:tc>
          <w:tcPr>
            <w:tcW w:w="1843" w:type="dxa"/>
          </w:tcPr>
          <w:p w:rsidR="005E6FA6" w:rsidRDefault="005E6FA6" w:rsidP="00FC486A">
            <w:pPr>
              <w:spacing w:line="300" w:lineRule="atLeast"/>
              <w:rPr>
                <w:rFonts w:ascii="Arial" w:hAnsi="Arial" w:cs="Arial"/>
                <w:iCs/>
                <w:sz w:val="22"/>
                <w:szCs w:val="22"/>
              </w:rPr>
            </w:pPr>
            <w:r>
              <w:rPr>
                <w:rFonts w:ascii="Arial" w:hAnsi="Arial" w:cs="Arial"/>
                <w:iCs/>
                <w:sz w:val="22"/>
                <w:szCs w:val="22"/>
              </w:rPr>
              <w:t>37.7</w:t>
            </w:r>
          </w:p>
        </w:tc>
        <w:tc>
          <w:tcPr>
            <w:tcW w:w="1843" w:type="dxa"/>
          </w:tcPr>
          <w:p w:rsidR="005E6FA6" w:rsidRDefault="003B0BF5" w:rsidP="00FC486A">
            <w:pPr>
              <w:spacing w:line="300" w:lineRule="atLeast"/>
              <w:rPr>
                <w:rFonts w:ascii="Arial" w:hAnsi="Arial" w:cs="Arial"/>
                <w:iCs/>
                <w:sz w:val="22"/>
                <w:szCs w:val="22"/>
              </w:rPr>
            </w:pPr>
            <w:r>
              <w:rPr>
                <w:rFonts w:ascii="Arial" w:hAnsi="Arial" w:cs="Arial"/>
                <w:iCs/>
                <w:sz w:val="22"/>
                <w:szCs w:val="22"/>
              </w:rPr>
              <w:t>19.9</w:t>
            </w:r>
          </w:p>
        </w:tc>
      </w:tr>
      <w:tr w:rsidR="005E6FA6" w:rsidTr="00BA18CD">
        <w:tc>
          <w:tcPr>
            <w:tcW w:w="2961" w:type="dxa"/>
          </w:tcPr>
          <w:p w:rsidR="005E6FA6" w:rsidRDefault="005E6FA6" w:rsidP="00FC486A">
            <w:pPr>
              <w:spacing w:line="300" w:lineRule="atLeast"/>
              <w:rPr>
                <w:rFonts w:ascii="Arial" w:hAnsi="Arial" w:cs="Arial"/>
                <w:iCs/>
                <w:sz w:val="22"/>
                <w:szCs w:val="22"/>
              </w:rPr>
            </w:pPr>
            <w:r>
              <w:rPr>
                <w:rFonts w:ascii="Arial" w:hAnsi="Arial" w:cs="Arial"/>
                <w:iCs/>
                <w:sz w:val="22"/>
                <w:szCs w:val="22"/>
              </w:rPr>
              <w:t>Owned with mortgage/ shared ownership</w:t>
            </w:r>
          </w:p>
        </w:tc>
        <w:tc>
          <w:tcPr>
            <w:tcW w:w="1842" w:type="dxa"/>
          </w:tcPr>
          <w:p w:rsidR="005E6FA6" w:rsidRDefault="005E6FA6" w:rsidP="00FC486A">
            <w:pPr>
              <w:spacing w:line="300" w:lineRule="atLeast"/>
              <w:rPr>
                <w:rFonts w:ascii="Arial" w:hAnsi="Arial" w:cs="Arial"/>
                <w:iCs/>
                <w:sz w:val="22"/>
                <w:szCs w:val="22"/>
              </w:rPr>
            </w:pPr>
            <w:r>
              <w:rPr>
                <w:rFonts w:ascii="Arial" w:hAnsi="Arial" w:cs="Arial"/>
                <w:iCs/>
                <w:sz w:val="22"/>
                <w:szCs w:val="22"/>
              </w:rPr>
              <w:t>17.5</w:t>
            </w:r>
          </w:p>
        </w:tc>
        <w:tc>
          <w:tcPr>
            <w:tcW w:w="1843" w:type="dxa"/>
          </w:tcPr>
          <w:p w:rsidR="005E6FA6" w:rsidRDefault="005E6FA6" w:rsidP="00FC486A">
            <w:pPr>
              <w:spacing w:line="300" w:lineRule="atLeast"/>
              <w:rPr>
                <w:rFonts w:ascii="Arial" w:hAnsi="Arial" w:cs="Arial"/>
                <w:iCs/>
                <w:sz w:val="22"/>
                <w:szCs w:val="22"/>
              </w:rPr>
            </w:pPr>
            <w:r>
              <w:rPr>
                <w:rFonts w:ascii="Arial" w:hAnsi="Arial" w:cs="Arial"/>
                <w:iCs/>
                <w:sz w:val="22"/>
                <w:szCs w:val="22"/>
              </w:rPr>
              <w:t>22.8</w:t>
            </w:r>
          </w:p>
        </w:tc>
        <w:tc>
          <w:tcPr>
            <w:tcW w:w="1843" w:type="dxa"/>
          </w:tcPr>
          <w:p w:rsidR="005E6FA6" w:rsidRDefault="003B0BF5" w:rsidP="00FC486A">
            <w:pPr>
              <w:spacing w:line="300" w:lineRule="atLeast"/>
              <w:rPr>
                <w:rFonts w:ascii="Arial" w:hAnsi="Arial" w:cs="Arial"/>
                <w:iCs/>
                <w:sz w:val="22"/>
                <w:szCs w:val="22"/>
              </w:rPr>
            </w:pPr>
            <w:r>
              <w:rPr>
                <w:rFonts w:ascii="Arial" w:hAnsi="Arial" w:cs="Arial"/>
                <w:iCs/>
                <w:sz w:val="22"/>
                <w:szCs w:val="22"/>
              </w:rPr>
              <w:t>39.7</w:t>
            </w:r>
          </w:p>
        </w:tc>
      </w:tr>
      <w:tr w:rsidR="005E6FA6" w:rsidTr="00BA18CD">
        <w:tc>
          <w:tcPr>
            <w:tcW w:w="2961" w:type="dxa"/>
          </w:tcPr>
          <w:p w:rsidR="005E6FA6" w:rsidRDefault="005E6FA6" w:rsidP="00FC486A">
            <w:pPr>
              <w:spacing w:line="300" w:lineRule="atLeast"/>
              <w:rPr>
                <w:rFonts w:ascii="Arial" w:hAnsi="Arial" w:cs="Arial"/>
                <w:iCs/>
                <w:sz w:val="22"/>
                <w:szCs w:val="22"/>
              </w:rPr>
            </w:pPr>
            <w:r>
              <w:rPr>
                <w:rFonts w:ascii="Arial" w:hAnsi="Arial" w:cs="Arial"/>
                <w:iCs/>
                <w:sz w:val="22"/>
                <w:szCs w:val="22"/>
              </w:rPr>
              <w:t>Social rented</w:t>
            </w:r>
          </w:p>
        </w:tc>
        <w:tc>
          <w:tcPr>
            <w:tcW w:w="1842" w:type="dxa"/>
          </w:tcPr>
          <w:p w:rsidR="005E6FA6" w:rsidRDefault="005E6FA6" w:rsidP="00FC486A">
            <w:pPr>
              <w:spacing w:line="300" w:lineRule="atLeast"/>
              <w:rPr>
                <w:rFonts w:ascii="Arial" w:hAnsi="Arial" w:cs="Arial"/>
                <w:iCs/>
                <w:sz w:val="22"/>
                <w:szCs w:val="22"/>
              </w:rPr>
            </w:pPr>
            <w:r>
              <w:rPr>
                <w:rFonts w:ascii="Arial" w:hAnsi="Arial" w:cs="Arial"/>
                <w:iCs/>
                <w:sz w:val="22"/>
                <w:szCs w:val="22"/>
              </w:rPr>
              <w:t>34.9</w:t>
            </w:r>
          </w:p>
        </w:tc>
        <w:tc>
          <w:tcPr>
            <w:tcW w:w="1843" w:type="dxa"/>
          </w:tcPr>
          <w:p w:rsidR="005E6FA6" w:rsidRDefault="005E6FA6" w:rsidP="00FC486A">
            <w:pPr>
              <w:spacing w:line="300" w:lineRule="atLeast"/>
              <w:rPr>
                <w:rFonts w:ascii="Arial" w:hAnsi="Arial" w:cs="Arial"/>
                <w:iCs/>
                <w:sz w:val="22"/>
                <w:szCs w:val="22"/>
              </w:rPr>
            </w:pPr>
            <w:r>
              <w:rPr>
                <w:rFonts w:ascii="Arial" w:hAnsi="Arial" w:cs="Arial"/>
                <w:iCs/>
                <w:sz w:val="22"/>
                <w:szCs w:val="22"/>
              </w:rPr>
              <w:t>27.3</w:t>
            </w:r>
          </w:p>
        </w:tc>
        <w:tc>
          <w:tcPr>
            <w:tcW w:w="1843" w:type="dxa"/>
          </w:tcPr>
          <w:p w:rsidR="005E6FA6" w:rsidRDefault="003B0BF5" w:rsidP="00FC486A">
            <w:pPr>
              <w:spacing w:line="300" w:lineRule="atLeast"/>
              <w:rPr>
                <w:rFonts w:ascii="Arial" w:hAnsi="Arial" w:cs="Arial"/>
                <w:iCs/>
                <w:sz w:val="22"/>
                <w:szCs w:val="22"/>
              </w:rPr>
            </w:pPr>
            <w:r>
              <w:rPr>
                <w:rFonts w:ascii="Arial" w:hAnsi="Arial" w:cs="Arial"/>
                <w:iCs/>
                <w:sz w:val="22"/>
                <w:szCs w:val="22"/>
              </w:rPr>
              <w:t>19.4</w:t>
            </w:r>
          </w:p>
        </w:tc>
      </w:tr>
      <w:tr w:rsidR="005E6FA6" w:rsidTr="00BA18CD">
        <w:tc>
          <w:tcPr>
            <w:tcW w:w="2961" w:type="dxa"/>
          </w:tcPr>
          <w:p w:rsidR="005E6FA6" w:rsidRDefault="005E6FA6" w:rsidP="00FC486A">
            <w:pPr>
              <w:spacing w:line="300" w:lineRule="atLeast"/>
              <w:rPr>
                <w:rFonts w:ascii="Arial" w:hAnsi="Arial" w:cs="Arial"/>
                <w:iCs/>
                <w:sz w:val="22"/>
                <w:szCs w:val="22"/>
              </w:rPr>
            </w:pPr>
            <w:r>
              <w:rPr>
                <w:rFonts w:ascii="Arial" w:hAnsi="Arial" w:cs="Arial"/>
                <w:iCs/>
                <w:sz w:val="22"/>
                <w:szCs w:val="22"/>
              </w:rPr>
              <w:t>Private rented</w:t>
            </w:r>
          </w:p>
        </w:tc>
        <w:tc>
          <w:tcPr>
            <w:tcW w:w="1842" w:type="dxa"/>
          </w:tcPr>
          <w:p w:rsidR="005E6FA6" w:rsidRDefault="005E6FA6" w:rsidP="00FC486A">
            <w:pPr>
              <w:spacing w:line="300" w:lineRule="atLeast"/>
              <w:rPr>
                <w:rFonts w:ascii="Arial" w:hAnsi="Arial" w:cs="Arial"/>
                <w:iCs/>
                <w:sz w:val="22"/>
                <w:szCs w:val="22"/>
              </w:rPr>
            </w:pPr>
            <w:r>
              <w:rPr>
                <w:rFonts w:ascii="Arial" w:hAnsi="Arial" w:cs="Arial"/>
                <w:iCs/>
                <w:sz w:val="22"/>
                <w:szCs w:val="22"/>
              </w:rPr>
              <w:t>11.2</w:t>
            </w:r>
          </w:p>
        </w:tc>
        <w:tc>
          <w:tcPr>
            <w:tcW w:w="1843" w:type="dxa"/>
          </w:tcPr>
          <w:p w:rsidR="005E6FA6" w:rsidRDefault="005E6FA6" w:rsidP="00FC486A">
            <w:pPr>
              <w:spacing w:line="300" w:lineRule="atLeast"/>
              <w:rPr>
                <w:rFonts w:ascii="Arial" w:hAnsi="Arial" w:cs="Arial"/>
                <w:iCs/>
                <w:sz w:val="22"/>
                <w:szCs w:val="22"/>
              </w:rPr>
            </w:pPr>
            <w:r>
              <w:rPr>
                <w:rFonts w:ascii="Arial" w:hAnsi="Arial" w:cs="Arial"/>
                <w:iCs/>
                <w:sz w:val="22"/>
                <w:szCs w:val="22"/>
              </w:rPr>
              <w:t>12.1</w:t>
            </w:r>
          </w:p>
        </w:tc>
        <w:tc>
          <w:tcPr>
            <w:tcW w:w="1843" w:type="dxa"/>
          </w:tcPr>
          <w:p w:rsidR="005E6FA6" w:rsidRDefault="003B0BF5" w:rsidP="00FC486A">
            <w:pPr>
              <w:spacing w:line="300" w:lineRule="atLeast"/>
              <w:rPr>
                <w:rFonts w:ascii="Arial" w:hAnsi="Arial" w:cs="Arial"/>
                <w:iCs/>
                <w:sz w:val="22"/>
                <w:szCs w:val="22"/>
              </w:rPr>
            </w:pPr>
            <w:r>
              <w:rPr>
                <w:rFonts w:ascii="Arial" w:hAnsi="Arial" w:cs="Arial"/>
                <w:iCs/>
                <w:sz w:val="22"/>
                <w:szCs w:val="22"/>
              </w:rPr>
              <w:t>21.0</w:t>
            </w:r>
          </w:p>
        </w:tc>
      </w:tr>
    </w:tbl>
    <w:p w:rsidR="00F03EC5" w:rsidRPr="00FC486A" w:rsidRDefault="00F03EC5" w:rsidP="00052430">
      <w:pPr>
        <w:spacing w:line="300" w:lineRule="atLeast"/>
        <w:rPr>
          <w:rFonts w:ascii="Arial" w:hAnsi="Arial" w:cs="Arial"/>
          <w:iCs/>
          <w:sz w:val="22"/>
          <w:szCs w:val="22"/>
        </w:rPr>
      </w:pPr>
    </w:p>
    <w:p w:rsidR="0097143B" w:rsidRPr="0001715C" w:rsidRDefault="0097143B" w:rsidP="000E1A5B">
      <w:pPr>
        <w:spacing w:line="300" w:lineRule="atLeast"/>
        <w:rPr>
          <w:rFonts w:ascii="Arial" w:hAnsi="Arial" w:cs="Arial"/>
          <w:b/>
          <w:bCs/>
          <w:iCs/>
          <w:sz w:val="22"/>
          <w:szCs w:val="22"/>
        </w:rPr>
      </w:pPr>
      <w:r>
        <w:rPr>
          <w:rFonts w:ascii="Arial" w:hAnsi="Arial" w:cs="Arial"/>
          <w:i/>
          <w:sz w:val="22"/>
          <w:szCs w:val="22"/>
        </w:rPr>
        <w:tab/>
      </w:r>
      <w:r w:rsidRPr="0001715C">
        <w:rPr>
          <w:rFonts w:ascii="Arial" w:hAnsi="Arial" w:cs="Arial"/>
          <w:b/>
          <w:bCs/>
          <w:iCs/>
          <w:sz w:val="22"/>
          <w:szCs w:val="22"/>
        </w:rPr>
        <w:t>Viability</w:t>
      </w:r>
    </w:p>
    <w:p w:rsidR="000E1A5B" w:rsidRPr="000E1A5B" w:rsidRDefault="0097143B" w:rsidP="000E1A5B">
      <w:pPr>
        <w:spacing w:line="300" w:lineRule="atLeast"/>
        <w:rPr>
          <w:rFonts w:ascii="Arial" w:hAnsi="Arial" w:cs="Arial"/>
          <w:i/>
          <w:sz w:val="22"/>
          <w:szCs w:val="22"/>
        </w:rPr>
      </w:pPr>
      <w:r>
        <w:rPr>
          <w:rFonts w:ascii="Arial" w:hAnsi="Arial" w:cs="Arial"/>
          <w:i/>
          <w:sz w:val="22"/>
          <w:szCs w:val="22"/>
        </w:rPr>
        <w:t xml:space="preserve"> </w:t>
      </w:r>
    </w:p>
    <w:p w:rsidR="002A0300" w:rsidRDefault="0001715C" w:rsidP="002A0300">
      <w:pPr>
        <w:spacing w:line="300" w:lineRule="atLeast"/>
        <w:ind w:left="709" w:hanging="709"/>
        <w:rPr>
          <w:rFonts w:ascii="Arial" w:hAnsi="Arial" w:cs="Arial"/>
          <w:sz w:val="22"/>
          <w:szCs w:val="22"/>
        </w:rPr>
      </w:pPr>
      <w:r>
        <w:rPr>
          <w:rFonts w:ascii="Arial" w:hAnsi="Arial" w:cs="Arial"/>
          <w:sz w:val="22"/>
          <w:szCs w:val="22"/>
        </w:rPr>
        <w:t>4.2</w:t>
      </w:r>
      <w:r w:rsidR="00F626FA">
        <w:rPr>
          <w:rFonts w:ascii="Arial" w:hAnsi="Arial" w:cs="Arial"/>
          <w:sz w:val="22"/>
          <w:szCs w:val="22"/>
        </w:rPr>
        <w:t>7</w:t>
      </w:r>
      <w:r w:rsidR="00410B45">
        <w:rPr>
          <w:rFonts w:ascii="Arial" w:hAnsi="Arial" w:cs="Arial"/>
          <w:sz w:val="22"/>
          <w:szCs w:val="22"/>
        </w:rPr>
        <w:tab/>
      </w:r>
      <w:r>
        <w:rPr>
          <w:rFonts w:ascii="Arial" w:hAnsi="Arial" w:cs="Arial"/>
          <w:sz w:val="22"/>
          <w:szCs w:val="22"/>
        </w:rPr>
        <w:t>The</w:t>
      </w:r>
      <w:r w:rsidR="00E35695" w:rsidRPr="00410B45">
        <w:rPr>
          <w:rFonts w:ascii="Arial" w:hAnsi="Arial" w:cs="Arial"/>
          <w:sz w:val="22"/>
          <w:szCs w:val="22"/>
        </w:rPr>
        <w:t xml:space="preserve"> Council commissioned </w:t>
      </w:r>
      <w:r w:rsidR="00410B45" w:rsidRPr="00410B45">
        <w:rPr>
          <w:rFonts w:ascii="Arial" w:hAnsi="Arial" w:cs="Arial"/>
          <w:sz w:val="22"/>
          <w:szCs w:val="22"/>
        </w:rPr>
        <w:t>BNP Paribas Real Estate UK</w:t>
      </w:r>
      <w:r w:rsidR="00CB1A1A" w:rsidRPr="00410B45">
        <w:rPr>
          <w:rFonts w:ascii="Arial" w:hAnsi="Arial" w:cs="Arial"/>
          <w:sz w:val="22"/>
          <w:szCs w:val="22"/>
        </w:rPr>
        <w:t xml:space="preserve"> </w:t>
      </w:r>
      <w:r w:rsidR="00E35695" w:rsidRPr="00410B45">
        <w:rPr>
          <w:rFonts w:ascii="Arial" w:hAnsi="Arial" w:cs="Arial"/>
          <w:sz w:val="22"/>
          <w:szCs w:val="22"/>
        </w:rPr>
        <w:t xml:space="preserve">to undertake a full plan </w:t>
      </w:r>
      <w:r w:rsidR="00B41CA9">
        <w:rPr>
          <w:rFonts w:ascii="Arial" w:hAnsi="Arial" w:cs="Arial"/>
          <w:sz w:val="22"/>
          <w:szCs w:val="22"/>
        </w:rPr>
        <w:t>Financial V</w:t>
      </w:r>
      <w:r w:rsidR="00E35695" w:rsidRPr="00410B45">
        <w:rPr>
          <w:rFonts w:ascii="Arial" w:hAnsi="Arial" w:cs="Arial"/>
          <w:sz w:val="22"/>
          <w:szCs w:val="22"/>
        </w:rPr>
        <w:t xml:space="preserve">iability </w:t>
      </w:r>
      <w:r w:rsidR="00B41CA9">
        <w:rPr>
          <w:rFonts w:ascii="Arial" w:hAnsi="Arial" w:cs="Arial"/>
          <w:sz w:val="22"/>
          <w:szCs w:val="22"/>
        </w:rPr>
        <w:t>A</w:t>
      </w:r>
      <w:r w:rsidR="00E35695" w:rsidRPr="00410B45">
        <w:rPr>
          <w:rFonts w:ascii="Arial" w:hAnsi="Arial" w:cs="Arial"/>
          <w:sz w:val="22"/>
          <w:szCs w:val="22"/>
        </w:rPr>
        <w:t xml:space="preserve">ssessment </w:t>
      </w:r>
      <w:r w:rsidR="00B41CA9">
        <w:rPr>
          <w:rFonts w:ascii="Arial" w:hAnsi="Arial" w:cs="Arial"/>
          <w:sz w:val="22"/>
          <w:szCs w:val="22"/>
        </w:rPr>
        <w:t xml:space="preserve">(FVA) </w:t>
      </w:r>
      <w:r w:rsidR="00CB1A1A" w:rsidRPr="00410B45">
        <w:rPr>
          <w:rFonts w:ascii="Arial" w:hAnsi="Arial" w:cs="Arial"/>
          <w:sz w:val="22"/>
          <w:szCs w:val="22"/>
        </w:rPr>
        <w:t>of the</w:t>
      </w:r>
      <w:r>
        <w:rPr>
          <w:rFonts w:ascii="Arial" w:hAnsi="Arial" w:cs="Arial"/>
          <w:sz w:val="22"/>
          <w:szCs w:val="22"/>
        </w:rPr>
        <w:t xml:space="preserve"> Publication version </w:t>
      </w:r>
      <w:r w:rsidR="00CB1A1A" w:rsidRPr="00410B45">
        <w:rPr>
          <w:rFonts w:ascii="Arial" w:hAnsi="Arial" w:cs="Arial"/>
          <w:sz w:val="22"/>
          <w:szCs w:val="22"/>
        </w:rPr>
        <w:t>DMB.</w:t>
      </w:r>
      <w:r w:rsidR="00E35695" w:rsidRPr="00410B45">
        <w:rPr>
          <w:rFonts w:ascii="Arial" w:hAnsi="Arial" w:cs="Arial"/>
          <w:sz w:val="22"/>
          <w:szCs w:val="22"/>
        </w:rPr>
        <w:t xml:space="preserve"> </w:t>
      </w:r>
      <w:r w:rsidR="00CB1A1A" w:rsidRPr="00410B45">
        <w:rPr>
          <w:rFonts w:ascii="Arial" w:hAnsi="Arial" w:cs="Arial"/>
          <w:sz w:val="22"/>
          <w:szCs w:val="22"/>
        </w:rPr>
        <w:t xml:space="preserve">The </w:t>
      </w:r>
      <w:r w:rsidR="00B41CA9">
        <w:rPr>
          <w:rFonts w:ascii="Arial" w:hAnsi="Arial" w:cs="Arial"/>
          <w:sz w:val="22"/>
          <w:szCs w:val="22"/>
        </w:rPr>
        <w:t xml:space="preserve">FVA </w:t>
      </w:r>
      <w:r w:rsidR="00CB1A1A" w:rsidRPr="00410B45">
        <w:rPr>
          <w:rFonts w:ascii="Arial" w:hAnsi="Arial" w:cs="Arial"/>
          <w:sz w:val="22"/>
          <w:szCs w:val="22"/>
        </w:rPr>
        <w:t xml:space="preserve">has </w:t>
      </w:r>
      <w:r w:rsidR="00E35695" w:rsidRPr="00410B45">
        <w:rPr>
          <w:rFonts w:ascii="Arial" w:hAnsi="Arial" w:cs="Arial"/>
          <w:sz w:val="22"/>
          <w:szCs w:val="22"/>
        </w:rPr>
        <w:t xml:space="preserve">informed </w:t>
      </w:r>
      <w:r w:rsidR="00B41CA9">
        <w:rPr>
          <w:rFonts w:ascii="Arial" w:hAnsi="Arial" w:cs="Arial"/>
          <w:sz w:val="22"/>
          <w:szCs w:val="22"/>
        </w:rPr>
        <w:t xml:space="preserve">the </w:t>
      </w:r>
      <w:r w:rsidR="00E35695" w:rsidRPr="00410B45">
        <w:rPr>
          <w:rFonts w:ascii="Arial" w:hAnsi="Arial" w:cs="Arial"/>
          <w:sz w:val="22"/>
          <w:szCs w:val="22"/>
        </w:rPr>
        <w:t>development of the Publication version of t</w:t>
      </w:r>
      <w:r w:rsidR="00CB1A1A" w:rsidRPr="00410B45">
        <w:rPr>
          <w:rFonts w:ascii="Arial" w:hAnsi="Arial" w:cs="Arial"/>
          <w:sz w:val="22"/>
          <w:szCs w:val="22"/>
        </w:rPr>
        <w:t>he DM</w:t>
      </w:r>
      <w:r w:rsidR="00B41CA9">
        <w:rPr>
          <w:rFonts w:ascii="Arial" w:hAnsi="Arial" w:cs="Arial"/>
          <w:sz w:val="22"/>
          <w:szCs w:val="22"/>
        </w:rPr>
        <w:t>B</w:t>
      </w:r>
      <w:r w:rsidR="00CB1A1A" w:rsidRPr="00410B45">
        <w:rPr>
          <w:rFonts w:ascii="Arial" w:hAnsi="Arial" w:cs="Arial"/>
          <w:sz w:val="22"/>
          <w:szCs w:val="22"/>
        </w:rPr>
        <w:t>, including Policy DM10</w:t>
      </w:r>
      <w:r w:rsidR="00E35695" w:rsidRPr="00410B45">
        <w:rPr>
          <w:rFonts w:ascii="Arial" w:hAnsi="Arial" w:cs="Arial"/>
          <w:sz w:val="22"/>
          <w:szCs w:val="22"/>
        </w:rPr>
        <w:t xml:space="preserve">: </w:t>
      </w:r>
      <w:r w:rsidR="00CB1A1A" w:rsidRPr="00410B45">
        <w:rPr>
          <w:rFonts w:ascii="Arial" w:hAnsi="Arial" w:cs="Arial"/>
          <w:sz w:val="22"/>
          <w:szCs w:val="22"/>
        </w:rPr>
        <w:t>Standards for Residential Development</w:t>
      </w:r>
      <w:r w:rsidR="00E35695" w:rsidRPr="00410B45">
        <w:rPr>
          <w:rFonts w:ascii="Arial" w:hAnsi="Arial" w:cs="Arial"/>
          <w:sz w:val="22"/>
          <w:szCs w:val="22"/>
        </w:rPr>
        <w:t xml:space="preserve">. </w:t>
      </w:r>
    </w:p>
    <w:p w:rsidR="002A0300" w:rsidRDefault="002A0300" w:rsidP="002A0300">
      <w:pPr>
        <w:spacing w:line="300" w:lineRule="atLeast"/>
        <w:ind w:left="709" w:hanging="709"/>
        <w:rPr>
          <w:rFonts w:ascii="Arial" w:hAnsi="Arial" w:cs="Arial"/>
          <w:sz w:val="22"/>
          <w:szCs w:val="22"/>
        </w:rPr>
      </w:pPr>
    </w:p>
    <w:p w:rsidR="00B41CA9" w:rsidRPr="00626DA5" w:rsidRDefault="002A0300" w:rsidP="002A0300">
      <w:pPr>
        <w:spacing w:line="300" w:lineRule="atLeast"/>
        <w:ind w:left="709" w:hanging="709"/>
        <w:rPr>
          <w:rFonts w:ascii="Arial" w:hAnsi="Arial" w:cs="Arial"/>
          <w:sz w:val="22"/>
          <w:szCs w:val="22"/>
        </w:rPr>
      </w:pPr>
      <w:r>
        <w:rPr>
          <w:rFonts w:ascii="Arial" w:hAnsi="Arial" w:cs="Arial"/>
          <w:sz w:val="22"/>
          <w:szCs w:val="22"/>
        </w:rPr>
        <w:t>4.2</w:t>
      </w:r>
      <w:r w:rsidR="00F626FA">
        <w:rPr>
          <w:rFonts w:ascii="Arial" w:hAnsi="Arial" w:cs="Arial"/>
          <w:sz w:val="22"/>
          <w:szCs w:val="22"/>
        </w:rPr>
        <w:t>8</w:t>
      </w:r>
      <w:r>
        <w:rPr>
          <w:rFonts w:ascii="Arial" w:hAnsi="Arial" w:cs="Arial"/>
          <w:sz w:val="22"/>
          <w:szCs w:val="22"/>
        </w:rPr>
        <w:tab/>
      </w:r>
      <w:r w:rsidR="00E35695" w:rsidRPr="00626DA5">
        <w:rPr>
          <w:rFonts w:ascii="Arial" w:hAnsi="Arial" w:cs="Arial"/>
          <w:sz w:val="22"/>
          <w:szCs w:val="22"/>
        </w:rPr>
        <w:t xml:space="preserve">The </w:t>
      </w:r>
      <w:r w:rsidR="00B41CA9" w:rsidRPr="00626DA5">
        <w:rPr>
          <w:rFonts w:ascii="Arial" w:hAnsi="Arial" w:cs="Arial"/>
          <w:sz w:val="22"/>
          <w:szCs w:val="22"/>
        </w:rPr>
        <w:t>FVA</w:t>
      </w:r>
      <w:r w:rsidR="00CB1A1A" w:rsidRPr="00626DA5">
        <w:rPr>
          <w:rFonts w:ascii="Arial" w:hAnsi="Arial" w:cs="Arial"/>
          <w:sz w:val="22"/>
          <w:szCs w:val="22"/>
        </w:rPr>
        <w:t xml:space="preserve"> </w:t>
      </w:r>
      <w:r w:rsidR="00E35695" w:rsidRPr="00626DA5">
        <w:rPr>
          <w:rFonts w:ascii="Arial" w:hAnsi="Arial" w:cs="Arial"/>
          <w:sz w:val="22"/>
          <w:szCs w:val="22"/>
        </w:rPr>
        <w:t>details the site appraisal methodology in full, including the full range of residential</w:t>
      </w:r>
    </w:p>
    <w:p w:rsidR="00E35695" w:rsidRDefault="00E35695" w:rsidP="00B41CA9">
      <w:pPr>
        <w:pStyle w:val="ListParagraph"/>
        <w:spacing w:line="300" w:lineRule="atLeast"/>
        <w:ind w:left="709"/>
        <w:rPr>
          <w:rFonts w:ascii="Arial" w:hAnsi="Arial" w:cs="Arial"/>
          <w:sz w:val="22"/>
          <w:szCs w:val="22"/>
        </w:rPr>
      </w:pPr>
      <w:r w:rsidRPr="00B41CA9">
        <w:rPr>
          <w:rFonts w:ascii="Arial" w:hAnsi="Arial" w:cs="Arial"/>
          <w:sz w:val="22"/>
          <w:szCs w:val="22"/>
        </w:rPr>
        <w:t xml:space="preserve">development scenarios that were tested and employed to ensure that the policies proposed in the plan would not cumulatively threaten the ability for sites to be developed viably. The </w:t>
      </w:r>
      <w:r w:rsidR="00B41CA9">
        <w:rPr>
          <w:rFonts w:ascii="Arial" w:hAnsi="Arial" w:cs="Arial"/>
          <w:sz w:val="22"/>
          <w:szCs w:val="22"/>
        </w:rPr>
        <w:t xml:space="preserve">FVA </w:t>
      </w:r>
      <w:r w:rsidRPr="00B41CA9">
        <w:rPr>
          <w:rFonts w:ascii="Arial" w:hAnsi="Arial" w:cs="Arial"/>
          <w:sz w:val="22"/>
          <w:szCs w:val="22"/>
        </w:rPr>
        <w:t>included an additional amount of £</w:t>
      </w:r>
      <w:r w:rsidR="00F13998" w:rsidRPr="00B41CA9">
        <w:rPr>
          <w:rFonts w:ascii="Arial" w:hAnsi="Arial" w:cs="Arial"/>
          <w:sz w:val="22"/>
          <w:szCs w:val="22"/>
        </w:rPr>
        <w:t xml:space="preserve">521 per house and £921 per flat </w:t>
      </w:r>
      <w:r w:rsidRPr="00B41CA9">
        <w:rPr>
          <w:rFonts w:ascii="Arial" w:hAnsi="Arial" w:cs="Arial"/>
          <w:sz w:val="22"/>
          <w:szCs w:val="22"/>
        </w:rPr>
        <w:t xml:space="preserve">to the build costs to meet the </w:t>
      </w:r>
      <w:r w:rsidR="00E65EB7" w:rsidRPr="00B41CA9">
        <w:rPr>
          <w:rFonts w:ascii="Arial" w:hAnsi="Arial" w:cs="Arial"/>
          <w:sz w:val="22"/>
          <w:szCs w:val="22"/>
        </w:rPr>
        <w:t>a</w:t>
      </w:r>
      <w:r w:rsidRPr="00B41CA9">
        <w:rPr>
          <w:rFonts w:ascii="Arial" w:hAnsi="Arial" w:cs="Arial"/>
          <w:sz w:val="22"/>
          <w:szCs w:val="22"/>
        </w:rPr>
        <w:t>ccess req</w:t>
      </w:r>
      <w:r w:rsidR="00B05453" w:rsidRPr="00B41CA9">
        <w:rPr>
          <w:rFonts w:ascii="Arial" w:hAnsi="Arial" w:cs="Arial"/>
          <w:sz w:val="22"/>
          <w:szCs w:val="22"/>
        </w:rPr>
        <w:t>uirement set out in Policy DM10</w:t>
      </w:r>
      <w:r w:rsidRPr="00B41CA9">
        <w:rPr>
          <w:rFonts w:ascii="Arial" w:hAnsi="Arial" w:cs="Arial"/>
          <w:sz w:val="22"/>
          <w:szCs w:val="22"/>
        </w:rPr>
        <w:t>. As s</w:t>
      </w:r>
      <w:r w:rsidR="00B05453" w:rsidRPr="00B41CA9">
        <w:rPr>
          <w:rFonts w:ascii="Arial" w:hAnsi="Arial" w:cs="Arial"/>
          <w:sz w:val="22"/>
          <w:szCs w:val="22"/>
        </w:rPr>
        <w:t>uch the viability of Policy DM10</w:t>
      </w:r>
      <w:r w:rsidRPr="00B41CA9">
        <w:rPr>
          <w:rFonts w:ascii="Arial" w:hAnsi="Arial" w:cs="Arial"/>
          <w:sz w:val="22"/>
          <w:szCs w:val="22"/>
        </w:rPr>
        <w:t xml:space="preserve"> has been fully assessed in line with the NPPF</w:t>
      </w:r>
      <w:r w:rsidR="00E65EB7" w:rsidRPr="00B41CA9">
        <w:rPr>
          <w:rFonts w:ascii="Arial" w:hAnsi="Arial" w:cs="Arial"/>
          <w:sz w:val="22"/>
          <w:szCs w:val="22"/>
        </w:rPr>
        <w:t xml:space="preserve"> and </w:t>
      </w:r>
      <w:proofErr w:type="gramStart"/>
      <w:r w:rsidR="00E65EB7" w:rsidRPr="00B41CA9">
        <w:rPr>
          <w:rFonts w:ascii="Arial" w:hAnsi="Arial" w:cs="Arial"/>
          <w:sz w:val="22"/>
          <w:szCs w:val="22"/>
        </w:rPr>
        <w:t xml:space="preserve">is </w:t>
      </w:r>
      <w:r w:rsidR="00B400A5">
        <w:rPr>
          <w:rFonts w:ascii="Arial" w:hAnsi="Arial" w:cs="Arial"/>
          <w:sz w:val="22"/>
          <w:szCs w:val="22"/>
        </w:rPr>
        <w:t>considered to be</w:t>
      </w:r>
      <w:proofErr w:type="gramEnd"/>
      <w:r w:rsidR="00B400A5">
        <w:rPr>
          <w:rFonts w:ascii="Arial" w:hAnsi="Arial" w:cs="Arial"/>
          <w:sz w:val="22"/>
          <w:szCs w:val="22"/>
        </w:rPr>
        <w:t xml:space="preserve"> </w:t>
      </w:r>
      <w:r w:rsidR="00E65EB7" w:rsidRPr="00B41CA9">
        <w:rPr>
          <w:rFonts w:ascii="Arial" w:hAnsi="Arial" w:cs="Arial"/>
          <w:sz w:val="22"/>
          <w:szCs w:val="22"/>
        </w:rPr>
        <w:t>viable</w:t>
      </w:r>
      <w:r w:rsidRPr="00B41CA9">
        <w:rPr>
          <w:rFonts w:ascii="Arial" w:hAnsi="Arial" w:cs="Arial"/>
          <w:sz w:val="22"/>
          <w:szCs w:val="22"/>
        </w:rPr>
        <w:t>.</w:t>
      </w:r>
    </w:p>
    <w:p w:rsidR="000E536B" w:rsidRDefault="000E536B" w:rsidP="00B41CA9">
      <w:pPr>
        <w:pStyle w:val="ListParagraph"/>
        <w:spacing w:line="300" w:lineRule="atLeast"/>
        <w:ind w:left="709"/>
        <w:rPr>
          <w:rFonts w:ascii="Arial" w:hAnsi="Arial" w:cs="Arial"/>
          <w:sz w:val="22"/>
          <w:szCs w:val="22"/>
        </w:rPr>
      </w:pPr>
    </w:p>
    <w:p w:rsidR="000E536B" w:rsidRDefault="000E536B" w:rsidP="00B41CA9">
      <w:pPr>
        <w:pStyle w:val="ListParagraph"/>
        <w:spacing w:line="300" w:lineRule="atLeast"/>
        <w:ind w:left="709"/>
        <w:rPr>
          <w:rFonts w:ascii="Arial" w:hAnsi="Arial" w:cs="Arial"/>
          <w:sz w:val="22"/>
          <w:szCs w:val="22"/>
        </w:rPr>
      </w:pPr>
    </w:p>
    <w:p w:rsidR="007C1BF4" w:rsidRDefault="007C1BF4" w:rsidP="00B41CA9">
      <w:pPr>
        <w:pStyle w:val="ListParagraph"/>
        <w:spacing w:line="300" w:lineRule="atLeast"/>
        <w:ind w:left="709"/>
        <w:rPr>
          <w:rFonts w:ascii="Arial" w:hAnsi="Arial" w:cs="Arial"/>
          <w:sz w:val="22"/>
          <w:szCs w:val="22"/>
        </w:rPr>
      </w:pPr>
    </w:p>
    <w:p w:rsidR="007C1BF4" w:rsidRDefault="007C1BF4" w:rsidP="00B41CA9">
      <w:pPr>
        <w:pStyle w:val="ListParagraph"/>
        <w:spacing w:line="300" w:lineRule="atLeast"/>
        <w:ind w:left="709"/>
        <w:rPr>
          <w:rFonts w:ascii="Arial" w:hAnsi="Arial" w:cs="Arial"/>
          <w:sz w:val="22"/>
          <w:szCs w:val="22"/>
        </w:rPr>
      </w:pPr>
    </w:p>
    <w:p w:rsidR="007C1BF4" w:rsidRDefault="007C1BF4" w:rsidP="00B41CA9">
      <w:pPr>
        <w:pStyle w:val="ListParagraph"/>
        <w:spacing w:line="300" w:lineRule="atLeast"/>
        <w:ind w:left="709"/>
        <w:rPr>
          <w:rFonts w:ascii="Arial" w:hAnsi="Arial" w:cs="Arial"/>
          <w:sz w:val="22"/>
          <w:szCs w:val="22"/>
        </w:rPr>
      </w:pPr>
    </w:p>
    <w:p w:rsidR="007C1BF4" w:rsidRDefault="007C1BF4" w:rsidP="00B41CA9">
      <w:pPr>
        <w:pStyle w:val="ListParagraph"/>
        <w:spacing w:line="300" w:lineRule="atLeast"/>
        <w:ind w:left="709"/>
        <w:rPr>
          <w:rFonts w:ascii="Arial" w:hAnsi="Arial" w:cs="Arial"/>
          <w:sz w:val="22"/>
          <w:szCs w:val="22"/>
        </w:rPr>
      </w:pPr>
    </w:p>
    <w:p w:rsidR="007C1BF4" w:rsidRDefault="007C1BF4" w:rsidP="00B41CA9">
      <w:pPr>
        <w:pStyle w:val="ListParagraph"/>
        <w:spacing w:line="300" w:lineRule="atLeast"/>
        <w:ind w:left="709"/>
        <w:rPr>
          <w:rFonts w:ascii="Arial" w:hAnsi="Arial" w:cs="Arial"/>
          <w:sz w:val="22"/>
          <w:szCs w:val="22"/>
        </w:rPr>
      </w:pPr>
    </w:p>
    <w:p w:rsidR="007C1BF4" w:rsidRDefault="007C1BF4" w:rsidP="00B41CA9">
      <w:pPr>
        <w:pStyle w:val="ListParagraph"/>
        <w:spacing w:line="300" w:lineRule="atLeast"/>
        <w:ind w:left="709"/>
        <w:rPr>
          <w:rFonts w:ascii="Arial" w:hAnsi="Arial" w:cs="Arial"/>
          <w:sz w:val="22"/>
          <w:szCs w:val="22"/>
        </w:rPr>
      </w:pPr>
    </w:p>
    <w:p w:rsidR="007C1BF4" w:rsidRDefault="007C1BF4" w:rsidP="00B41CA9">
      <w:pPr>
        <w:pStyle w:val="ListParagraph"/>
        <w:spacing w:line="300" w:lineRule="atLeast"/>
        <w:ind w:left="709"/>
        <w:rPr>
          <w:rFonts w:ascii="Arial" w:hAnsi="Arial" w:cs="Arial"/>
          <w:sz w:val="22"/>
          <w:szCs w:val="22"/>
        </w:rPr>
      </w:pPr>
    </w:p>
    <w:p w:rsidR="007C1BF4" w:rsidRDefault="007C1BF4" w:rsidP="00B41CA9">
      <w:pPr>
        <w:pStyle w:val="ListParagraph"/>
        <w:spacing w:line="300" w:lineRule="atLeast"/>
        <w:ind w:left="709"/>
        <w:rPr>
          <w:rFonts w:ascii="Arial" w:hAnsi="Arial" w:cs="Arial"/>
          <w:sz w:val="22"/>
          <w:szCs w:val="22"/>
        </w:rPr>
      </w:pPr>
    </w:p>
    <w:p w:rsidR="007C1BF4" w:rsidRPr="00BF5F98" w:rsidRDefault="007C1BF4" w:rsidP="00BF5F98">
      <w:pPr>
        <w:spacing w:line="300" w:lineRule="atLeast"/>
        <w:rPr>
          <w:rFonts w:ascii="Arial" w:hAnsi="Arial" w:cs="Arial"/>
          <w:sz w:val="22"/>
          <w:szCs w:val="22"/>
        </w:rPr>
      </w:pPr>
    </w:p>
    <w:p w:rsidR="00620D73" w:rsidRPr="002A0300" w:rsidRDefault="002A0300" w:rsidP="002A0300">
      <w:pPr>
        <w:spacing w:line="300" w:lineRule="atLeast"/>
        <w:rPr>
          <w:rFonts w:ascii="Arial" w:hAnsi="Arial" w:cs="Arial"/>
          <w:b/>
          <w:bCs/>
          <w:iCs/>
          <w:sz w:val="28"/>
          <w:szCs w:val="28"/>
        </w:rPr>
      </w:pPr>
      <w:r w:rsidRPr="002A0300">
        <w:rPr>
          <w:rFonts w:ascii="Arial" w:hAnsi="Arial" w:cs="Arial"/>
          <w:b/>
          <w:bCs/>
          <w:iCs/>
          <w:sz w:val="28"/>
          <w:szCs w:val="28"/>
        </w:rPr>
        <w:lastRenderedPageBreak/>
        <w:t>5.</w:t>
      </w:r>
      <w:r w:rsidRPr="002A0300">
        <w:rPr>
          <w:rFonts w:ascii="Arial" w:hAnsi="Arial" w:cs="Arial"/>
          <w:b/>
          <w:bCs/>
          <w:iCs/>
          <w:sz w:val="28"/>
          <w:szCs w:val="28"/>
        </w:rPr>
        <w:tab/>
      </w:r>
      <w:r w:rsidR="00620D73" w:rsidRPr="002A0300">
        <w:rPr>
          <w:rFonts w:ascii="Arial" w:hAnsi="Arial" w:cs="Arial"/>
          <w:b/>
          <w:bCs/>
          <w:iCs/>
          <w:sz w:val="28"/>
          <w:szCs w:val="28"/>
        </w:rPr>
        <w:t>Conclusions</w:t>
      </w:r>
    </w:p>
    <w:p w:rsidR="00620D73" w:rsidRDefault="00620D73" w:rsidP="00D92A56">
      <w:pPr>
        <w:spacing w:line="300" w:lineRule="atLeast"/>
        <w:rPr>
          <w:rFonts w:ascii="Arial" w:hAnsi="Arial" w:cs="Arial"/>
          <w:i/>
          <w:sz w:val="22"/>
          <w:szCs w:val="22"/>
        </w:rPr>
      </w:pPr>
    </w:p>
    <w:p w:rsidR="00D92A56" w:rsidRDefault="00D92A56" w:rsidP="00D92A56">
      <w:pPr>
        <w:spacing w:line="300" w:lineRule="atLeast"/>
        <w:ind w:left="709" w:hanging="709"/>
        <w:rPr>
          <w:rFonts w:ascii="Arial" w:hAnsi="Arial" w:cs="Arial"/>
          <w:sz w:val="22"/>
          <w:szCs w:val="22"/>
        </w:rPr>
      </w:pPr>
      <w:r>
        <w:rPr>
          <w:rFonts w:ascii="Arial" w:hAnsi="Arial" w:cs="Arial"/>
          <w:sz w:val="22"/>
          <w:szCs w:val="22"/>
        </w:rPr>
        <w:t>5</w:t>
      </w:r>
      <w:r w:rsidRPr="006A6B9F">
        <w:rPr>
          <w:rFonts w:ascii="Arial" w:hAnsi="Arial" w:cs="Arial"/>
          <w:sz w:val="22"/>
          <w:szCs w:val="22"/>
        </w:rPr>
        <w:t>.</w:t>
      </w:r>
      <w:r>
        <w:rPr>
          <w:rFonts w:ascii="Arial" w:hAnsi="Arial" w:cs="Arial"/>
          <w:sz w:val="22"/>
          <w:szCs w:val="22"/>
        </w:rPr>
        <w:t>1</w:t>
      </w:r>
      <w:r w:rsidRPr="006A6B9F">
        <w:rPr>
          <w:rFonts w:ascii="Arial" w:hAnsi="Arial" w:cs="Arial"/>
          <w:sz w:val="22"/>
          <w:szCs w:val="22"/>
        </w:rPr>
        <w:tab/>
      </w:r>
      <w:r>
        <w:rPr>
          <w:rFonts w:ascii="Arial" w:hAnsi="Arial" w:cs="Arial"/>
          <w:sz w:val="22"/>
          <w:szCs w:val="22"/>
        </w:rPr>
        <w:t>The evidence in this paper also suggests that the optional space standards could be justified in Birmingham due to findings from viability testing and a review of recent permissions. The key findings are:</w:t>
      </w:r>
    </w:p>
    <w:p w:rsidR="00D92A56" w:rsidRDefault="00D92A56" w:rsidP="00D92A56">
      <w:pPr>
        <w:spacing w:line="300" w:lineRule="atLeast"/>
        <w:ind w:left="709" w:hanging="709"/>
        <w:rPr>
          <w:rFonts w:ascii="Arial" w:hAnsi="Arial" w:cs="Arial"/>
          <w:sz w:val="22"/>
          <w:szCs w:val="22"/>
        </w:rPr>
      </w:pPr>
    </w:p>
    <w:p w:rsidR="00D92A56" w:rsidRDefault="00D92A56" w:rsidP="00D92A56">
      <w:pPr>
        <w:pStyle w:val="ListParagraph"/>
        <w:numPr>
          <w:ilvl w:val="0"/>
          <w:numId w:val="22"/>
        </w:numPr>
        <w:spacing w:line="300" w:lineRule="atLeast"/>
        <w:rPr>
          <w:rFonts w:ascii="Arial" w:hAnsi="Arial" w:cs="Arial"/>
          <w:sz w:val="22"/>
          <w:szCs w:val="22"/>
        </w:rPr>
      </w:pPr>
      <w:r w:rsidRPr="00BA18CD">
        <w:rPr>
          <w:rFonts w:ascii="Arial" w:hAnsi="Arial" w:cs="Arial"/>
          <w:sz w:val="22"/>
          <w:szCs w:val="22"/>
        </w:rPr>
        <w:t>While the majority (71%) of units are already being designed to accord with the space standards</w:t>
      </w:r>
      <w:r>
        <w:rPr>
          <w:rFonts w:ascii="Arial" w:hAnsi="Arial" w:cs="Arial"/>
          <w:sz w:val="22"/>
          <w:szCs w:val="22"/>
        </w:rPr>
        <w:t>;</w:t>
      </w:r>
      <w:r w:rsidRPr="00BA18CD">
        <w:rPr>
          <w:rFonts w:ascii="Arial" w:hAnsi="Arial" w:cs="Arial"/>
          <w:sz w:val="22"/>
          <w:szCs w:val="22"/>
        </w:rPr>
        <w:t xml:space="preserve"> 27% of units have been found to fall below the standard. Of this number, 41.3% fell more than 10% below the standard. Given that at least 51,100 new dwellings will be delivered in Birmingham over the plan period, this pattern could result in around 13,700 non-NDSS compliant dwellings</w:t>
      </w:r>
      <w:r>
        <w:rPr>
          <w:rFonts w:ascii="Arial" w:hAnsi="Arial" w:cs="Arial"/>
          <w:sz w:val="22"/>
          <w:szCs w:val="22"/>
        </w:rPr>
        <w:t xml:space="preserve"> being created.</w:t>
      </w:r>
    </w:p>
    <w:p w:rsidR="00D92A56" w:rsidRDefault="00D92A56" w:rsidP="00D92A56">
      <w:pPr>
        <w:spacing w:line="300" w:lineRule="atLeast"/>
        <w:rPr>
          <w:rFonts w:ascii="Arial" w:hAnsi="Arial" w:cs="Arial"/>
          <w:sz w:val="22"/>
          <w:szCs w:val="22"/>
        </w:rPr>
      </w:pPr>
    </w:p>
    <w:p w:rsidR="00D92A56" w:rsidRPr="00BA18CD" w:rsidRDefault="00D92A56" w:rsidP="00D92A56">
      <w:pPr>
        <w:pStyle w:val="ListParagraph"/>
        <w:numPr>
          <w:ilvl w:val="0"/>
          <w:numId w:val="22"/>
        </w:numPr>
        <w:spacing w:line="300" w:lineRule="atLeast"/>
        <w:rPr>
          <w:rFonts w:ascii="Arial" w:hAnsi="Arial" w:cs="Arial"/>
          <w:sz w:val="22"/>
          <w:szCs w:val="22"/>
        </w:rPr>
      </w:pPr>
      <w:r>
        <w:rPr>
          <w:rFonts w:ascii="Arial" w:hAnsi="Arial" w:cs="Arial"/>
          <w:sz w:val="22"/>
          <w:szCs w:val="22"/>
        </w:rPr>
        <w:t>The</w:t>
      </w:r>
      <w:r w:rsidRPr="00BA18CD">
        <w:rPr>
          <w:rFonts w:ascii="Arial" w:hAnsi="Arial" w:cs="Arial"/>
          <w:sz w:val="22"/>
          <w:szCs w:val="22"/>
        </w:rPr>
        <w:t xml:space="preserve"> current development trend in the city for 1 and 2 bedroom flats, the sites that are expected to come forward over the plan period (SHLAA 2019) and the varied level of compliance across dwelling types, </w:t>
      </w:r>
      <w:r>
        <w:rPr>
          <w:rFonts w:ascii="Arial" w:hAnsi="Arial" w:cs="Arial"/>
          <w:sz w:val="22"/>
          <w:szCs w:val="22"/>
        </w:rPr>
        <w:t>demonstrates a</w:t>
      </w:r>
      <w:r w:rsidRPr="00BA18CD">
        <w:rPr>
          <w:rFonts w:ascii="Arial" w:hAnsi="Arial" w:cs="Arial"/>
          <w:sz w:val="22"/>
          <w:szCs w:val="22"/>
        </w:rPr>
        <w:t xml:space="preserve"> case for adopting the NDSS to ensure that all new dwellings </w:t>
      </w:r>
      <w:r>
        <w:rPr>
          <w:rFonts w:ascii="Arial" w:hAnsi="Arial" w:cs="Arial"/>
          <w:sz w:val="22"/>
          <w:szCs w:val="22"/>
        </w:rPr>
        <w:t xml:space="preserve">coming forward </w:t>
      </w:r>
      <w:r w:rsidRPr="00BA18CD">
        <w:rPr>
          <w:rFonts w:ascii="Arial" w:hAnsi="Arial" w:cs="Arial"/>
          <w:sz w:val="22"/>
          <w:szCs w:val="22"/>
        </w:rPr>
        <w:t xml:space="preserve">will provide an appropriate amount of space to help contribute to health and welling. </w:t>
      </w:r>
    </w:p>
    <w:p w:rsidR="00D92A56" w:rsidRPr="00BA18CD" w:rsidRDefault="00D92A56" w:rsidP="00D92A56">
      <w:pPr>
        <w:spacing w:line="300" w:lineRule="atLeast"/>
        <w:rPr>
          <w:rFonts w:ascii="Arial" w:hAnsi="Arial" w:cs="Arial"/>
          <w:sz w:val="22"/>
          <w:szCs w:val="22"/>
        </w:rPr>
      </w:pPr>
    </w:p>
    <w:p w:rsidR="00D92A56" w:rsidRPr="00D92A56" w:rsidRDefault="00E96826" w:rsidP="00D92A56">
      <w:pPr>
        <w:pStyle w:val="ListParagraph"/>
        <w:numPr>
          <w:ilvl w:val="0"/>
          <w:numId w:val="22"/>
        </w:numPr>
        <w:spacing w:line="300" w:lineRule="atLeast"/>
        <w:rPr>
          <w:rFonts w:ascii="Arial" w:hAnsi="Arial" w:cs="Arial"/>
          <w:sz w:val="22"/>
          <w:szCs w:val="22"/>
        </w:rPr>
      </w:pPr>
      <w:r w:rsidRPr="00E96826">
        <w:rPr>
          <w:rFonts w:ascii="Arial" w:hAnsi="Arial" w:cs="Arial"/>
          <w:sz w:val="22"/>
          <w:szCs w:val="22"/>
        </w:rPr>
        <w:t xml:space="preserve">The Financial Viability Assessment of the DMB (November 2019) </w:t>
      </w:r>
      <w:r w:rsidR="00D92A56" w:rsidRPr="00BA18CD">
        <w:rPr>
          <w:rFonts w:ascii="Arial" w:hAnsi="Arial" w:cs="Arial"/>
          <w:sz w:val="22"/>
          <w:szCs w:val="22"/>
        </w:rPr>
        <w:t>demonstrates that the introduction of the space standards should not have any significant impact on the viability of delivering housing in the city</w:t>
      </w:r>
      <w:r w:rsidR="00D92A56">
        <w:rPr>
          <w:rFonts w:ascii="Arial" w:hAnsi="Arial" w:cs="Arial"/>
          <w:sz w:val="22"/>
          <w:szCs w:val="22"/>
        </w:rPr>
        <w:t>.</w:t>
      </w:r>
    </w:p>
    <w:p w:rsidR="00D92A56" w:rsidRPr="00620D73" w:rsidRDefault="00D92A56" w:rsidP="00D92A56">
      <w:pPr>
        <w:spacing w:line="300" w:lineRule="atLeast"/>
        <w:rPr>
          <w:rFonts w:ascii="Arial" w:hAnsi="Arial" w:cs="Arial"/>
          <w:i/>
          <w:sz w:val="22"/>
          <w:szCs w:val="22"/>
        </w:rPr>
      </w:pPr>
    </w:p>
    <w:p w:rsidR="00620D73" w:rsidRDefault="002A0300" w:rsidP="00620D73">
      <w:pPr>
        <w:spacing w:line="300" w:lineRule="atLeast"/>
        <w:ind w:left="709" w:hanging="709"/>
        <w:rPr>
          <w:rFonts w:ascii="Arial" w:hAnsi="Arial" w:cs="Arial"/>
          <w:sz w:val="22"/>
          <w:szCs w:val="22"/>
        </w:rPr>
      </w:pPr>
      <w:r>
        <w:rPr>
          <w:rFonts w:ascii="Arial" w:hAnsi="Arial" w:cs="Arial"/>
          <w:sz w:val="22"/>
          <w:szCs w:val="22"/>
        </w:rPr>
        <w:t>5.</w:t>
      </w:r>
      <w:r w:rsidR="0054503F">
        <w:rPr>
          <w:rFonts w:ascii="Arial" w:hAnsi="Arial" w:cs="Arial"/>
          <w:sz w:val="22"/>
          <w:szCs w:val="22"/>
        </w:rPr>
        <w:t>2</w:t>
      </w:r>
      <w:r>
        <w:rPr>
          <w:rFonts w:ascii="Arial" w:hAnsi="Arial" w:cs="Arial"/>
          <w:sz w:val="22"/>
          <w:szCs w:val="22"/>
        </w:rPr>
        <w:tab/>
      </w:r>
      <w:r w:rsidR="00DF5955">
        <w:rPr>
          <w:rFonts w:ascii="Arial" w:hAnsi="Arial" w:cs="Arial"/>
          <w:sz w:val="22"/>
          <w:szCs w:val="22"/>
        </w:rPr>
        <w:t xml:space="preserve">The evidence </w:t>
      </w:r>
      <w:r w:rsidR="00D92A56">
        <w:rPr>
          <w:rFonts w:ascii="Arial" w:hAnsi="Arial" w:cs="Arial"/>
          <w:sz w:val="22"/>
          <w:szCs w:val="22"/>
        </w:rPr>
        <w:t xml:space="preserve">also </w:t>
      </w:r>
      <w:r w:rsidR="00410B45">
        <w:rPr>
          <w:rFonts w:ascii="Arial" w:hAnsi="Arial" w:cs="Arial"/>
          <w:sz w:val="22"/>
          <w:szCs w:val="22"/>
        </w:rPr>
        <w:t>suggests</w:t>
      </w:r>
      <w:r w:rsidR="00DF5955">
        <w:rPr>
          <w:rFonts w:ascii="Arial" w:hAnsi="Arial" w:cs="Arial"/>
          <w:sz w:val="22"/>
          <w:szCs w:val="22"/>
        </w:rPr>
        <w:t xml:space="preserve"> that the optional building regulations M4(2) for accessible and adaptable homes could be justified in Birmingham due to the </w:t>
      </w:r>
      <w:r w:rsidR="00620D73">
        <w:rPr>
          <w:rFonts w:ascii="Arial" w:hAnsi="Arial" w:cs="Arial"/>
          <w:sz w:val="22"/>
          <w:szCs w:val="22"/>
        </w:rPr>
        <w:t>ageing population</w:t>
      </w:r>
      <w:r w:rsidR="00DF5955">
        <w:rPr>
          <w:rFonts w:ascii="Arial" w:hAnsi="Arial" w:cs="Arial"/>
          <w:sz w:val="22"/>
          <w:szCs w:val="22"/>
        </w:rPr>
        <w:t xml:space="preserve"> and the projected increase in the number of people with long term health problems and disability.</w:t>
      </w:r>
      <w:r w:rsidR="00682FF7">
        <w:rPr>
          <w:rFonts w:ascii="Arial" w:hAnsi="Arial" w:cs="Arial"/>
          <w:sz w:val="22"/>
          <w:szCs w:val="22"/>
        </w:rPr>
        <w:t xml:space="preserve"> This will lead to an in increase in the need for housing suitable for older people</w:t>
      </w:r>
      <w:r>
        <w:rPr>
          <w:rFonts w:ascii="Arial" w:hAnsi="Arial" w:cs="Arial"/>
          <w:sz w:val="22"/>
          <w:szCs w:val="22"/>
        </w:rPr>
        <w:t xml:space="preserve"> and people with mobility impairments. The key evidence is that:</w:t>
      </w:r>
    </w:p>
    <w:p w:rsidR="00D67D88" w:rsidRDefault="00D67D88" w:rsidP="00620D73">
      <w:pPr>
        <w:spacing w:line="300" w:lineRule="atLeast"/>
        <w:ind w:left="709" w:hanging="709"/>
        <w:rPr>
          <w:rFonts w:ascii="Arial" w:hAnsi="Arial" w:cs="Arial"/>
          <w:sz w:val="22"/>
          <w:szCs w:val="22"/>
        </w:rPr>
      </w:pPr>
    </w:p>
    <w:p w:rsidR="00D67D88" w:rsidRDefault="00D67D88" w:rsidP="00071525">
      <w:pPr>
        <w:pStyle w:val="ListParagraph"/>
        <w:numPr>
          <w:ilvl w:val="0"/>
          <w:numId w:val="6"/>
        </w:numPr>
        <w:spacing w:line="276" w:lineRule="auto"/>
        <w:rPr>
          <w:rFonts w:ascii="Arial" w:hAnsi="Arial" w:cs="Arial"/>
          <w:sz w:val="22"/>
          <w:szCs w:val="22"/>
        </w:rPr>
      </w:pPr>
      <w:r>
        <w:rPr>
          <w:rFonts w:ascii="Arial" w:hAnsi="Arial" w:cs="Arial"/>
          <w:sz w:val="22"/>
          <w:szCs w:val="22"/>
        </w:rPr>
        <w:t>The housing stock in Birmingham tends to be older, which means that it will be more difficult and more expensive to adapt.</w:t>
      </w:r>
    </w:p>
    <w:p w:rsidR="00D67D88" w:rsidRPr="0000667E" w:rsidRDefault="00D67D88" w:rsidP="00D67D88">
      <w:pPr>
        <w:pStyle w:val="ListParagraph"/>
        <w:rPr>
          <w:rFonts w:ascii="Arial" w:hAnsi="Arial" w:cs="Arial"/>
          <w:sz w:val="22"/>
          <w:szCs w:val="22"/>
        </w:rPr>
      </w:pPr>
    </w:p>
    <w:p w:rsidR="00D67D88" w:rsidRDefault="00D67D88" w:rsidP="00071525">
      <w:pPr>
        <w:pStyle w:val="ListParagraph"/>
        <w:numPr>
          <w:ilvl w:val="0"/>
          <w:numId w:val="6"/>
        </w:numPr>
        <w:spacing w:line="276" w:lineRule="auto"/>
        <w:rPr>
          <w:rFonts w:ascii="Arial" w:hAnsi="Arial" w:cs="Arial"/>
          <w:sz w:val="22"/>
          <w:szCs w:val="22"/>
        </w:rPr>
      </w:pPr>
      <w:r>
        <w:rPr>
          <w:rFonts w:ascii="Arial" w:hAnsi="Arial" w:cs="Arial"/>
          <w:sz w:val="22"/>
          <w:szCs w:val="22"/>
        </w:rPr>
        <w:t xml:space="preserve">Social care and public health strategies in Birmingham are placing more emphasis on supporting people in their own homes. </w:t>
      </w:r>
    </w:p>
    <w:p w:rsidR="00D67D88" w:rsidRPr="002A0300" w:rsidRDefault="00D67D88" w:rsidP="00D67D88">
      <w:pPr>
        <w:pStyle w:val="ListParagraph"/>
        <w:rPr>
          <w:rFonts w:ascii="Arial" w:hAnsi="Arial" w:cs="Arial"/>
          <w:sz w:val="22"/>
          <w:szCs w:val="22"/>
        </w:rPr>
      </w:pPr>
    </w:p>
    <w:p w:rsidR="00E96826" w:rsidRDefault="00D67D88" w:rsidP="00E96826">
      <w:pPr>
        <w:pStyle w:val="ListParagraph"/>
        <w:numPr>
          <w:ilvl w:val="0"/>
          <w:numId w:val="6"/>
        </w:numPr>
        <w:spacing w:line="276" w:lineRule="auto"/>
        <w:rPr>
          <w:rFonts w:ascii="Arial" w:hAnsi="Arial" w:cs="Arial"/>
          <w:sz w:val="22"/>
          <w:szCs w:val="22"/>
        </w:rPr>
      </w:pPr>
      <w:r>
        <w:rPr>
          <w:rFonts w:ascii="Arial" w:hAnsi="Arial" w:cs="Arial"/>
          <w:sz w:val="22"/>
          <w:szCs w:val="22"/>
        </w:rPr>
        <w:t xml:space="preserve">There are well acknowledged links between health and housing. </w:t>
      </w:r>
      <w:r w:rsidRPr="002A0300">
        <w:rPr>
          <w:rFonts w:ascii="Arial" w:hAnsi="Arial" w:cs="Arial"/>
          <w:sz w:val="22"/>
          <w:szCs w:val="22"/>
        </w:rPr>
        <w:t>Accessible and adaptable homes can help to prevent health issues and enabl</w:t>
      </w:r>
      <w:r>
        <w:rPr>
          <w:rFonts w:ascii="Arial" w:hAnsi="Arial" w:cs="Arial"/>
          <w:sz w:val="22"/>
          <w:szCs w:val="22"/>
        </w:rPr>
        <w:t>e</w:t>
      </w:r>
      <w:r w:rsidRPr="002A0300">
        <w:rPr>
          <w:rFonts w:ascii="Arial" w:hAnsi="Arial" w:cs="Arial"/>
          <w:sz w:val="22"/>
          <w:szCs w:val="22"/>
        </w:rPr>
        <w:t xml:space="preserve"> people to live independently for longer as well as being better cared for in their home.</w:t>
      </w:r>
    </w:p>
    <w:p w:rsidR="00E96826" w:rsidRPr="00E96826" w:rsidRDefault="00E96826" w:rsidP="00E96826">
      <w:pPr>
        <w:pStyle w:val="ListParagraph"/>
        <w:rPr>
          <w:rFonts w:ascii="Arial" w:hAnsi="Arial" w:cs="Arial"/>
          <w:sz w:val="22"/>
          <w:szCs w:val="22"/>
        </w:rPr>
      </w:pPr>
    </w:p>
    <w:p w:rsidR="00E96826" w:rsidRPr="00E96826" w:rsidRDefault="00E96826" w:rsidP="00E96826">
      <w:pPr>
        <w:pStyle w:val="ListParagraph"/>
        <w:numPr>
          <w:ilvl w:val="0"/>
          <w:numId w:val="6"/>
        </w:numPr>
        <w:spacing w:line="276" w:lineRule="auto"/>
        <w:rPr>
          <w:rFonts w:ascii="Arial" w:hAnsi="Arial" w:cs="Arial"/>
          <w:sz w:val="22"/>
          <w:szCs w:val="22"/>
        </w:rPr>
      </w:pPr>
      <w:bookmarkStart w:id="6" w:name="_Hlk45724421"/>
      <w:r w:rsidRPr="00E96826">
        <w:rPr>
          <w:rFonts w:ascii="Arial" w:hAnsi="Arial" w:cs="Arial"/>
          <w:sz w:val="22"/>
          <w:szCs w:val="22"/>
        </w:rPr>
        <w:t>31% of owner-occupied households had one or more household members with a LLTID (English Housing Survey 2018-19)</w:t>
      </w:r>
    </w:p>
    <w:bookmarkEnd w:id="6"/>
    <w:p w:rsidR="005F42F8" w:rsidRDefault="005F42F8" w:rsidP="005F42F8">
      <w:pPr>
        <w:spacing w:line="300" w:lineRule="atLeast"/>
        <w:ind w:left="709" w:hanging="709"/>
        <w:rPr>
          <w:rFonts w:ascii="Arial" w:hAnsi="Arial" w:cs="Arial"/>
          <w:sz w:val="22"/>
          <w:szCs w:val="22"/>
        </w:rPr>
      </w:pPr>
    </w:p>
    <w:p w:rsidR="00347B1E" w:rsidRDefault="00347B1E" w:rsidP="00071525">
      <w:pPr>
        <w:pStyle w:val="ListParagraph"/>
        <w:numPr>
          <w:ilvl w:val="0"/>
          <w:numId w:val="6"/>
        </w:numPr>
        <w:spacing w:line="300" w:lineRule="atLeast"/>
        <w:rPr>
          <w:rFonts w:ascii="Arial" w:hAnsi="Arial" w:cs="Arial"/>
          <w:sz w:val="22"/>
          <w:szCs w:val="22"/>
        </w:rPr>
      </w:pPr>
      <w:bookmarkStart w:id="7" w:name="_Hlk45724436"/>
      <w:r>
        <w:rPr>
          <w:rFonts w:ascii="Arial" w:hAnsi="Arial" w:cs="Arial"/>
          <w:sz w:val="22"/>
          <w:szCs w:val="22"/>
        </w:rPr>
        <w:t>Census 2011 data shows that 18.2% of all people</w:t>
      </w:r>
      <w:r w:rsidRPr="00924FB4">
        <w:rPr>
          <w:rFonts w:ascii="Arial" w:hAnsi="Arial" w:cs="Arial"/>
          <w:sz w:val="22"/>
          <w:szCs w:val="22"/>
        </w:rPr>
        <w:t xml:space="preserve"> </w:t>
      </w:r>
      <w:r>
        <w:rPr>
          <w:rFonts w:ascii="Arial" w:hAnsi="Arial" w:cs="Arial"/>
          <w:sz w:val="22"/>
          <w:szCs w:val="22"/>
        </w:rPr>
        <w:t xml:space="preserve">living </w:t>
      </w:r>
      <w:r w:rsidR="00411EE2">
        <w:rPr>
          <w:rFonts w:ascii="Arial" w:hAnsi="Arial" w:cs="Arial"/>
          <w:sz w:val="22"/>
          <w:szCs w:val="22"/>
        </w:rPr>
        <w:t xml:space="preserve">in </w:t>
      </w:r>
      <w:r>
        <w:rPr>
          <w:rFonts w:ascii="Arial" w:hAnsi="Arial" w:cs="Arial"/>
          <w:sz w:val="22"/>
          <w:szCs w:val="22"/>
        </w:rPr>
        <w:t>residential households</w:t>
      </w:r>
      <w:r w:rsidR="00411EE2">
        <w:rPr>
          <w:rFonts w:ascii="Arial" w:hAnsi="Arial" w:cs="Arial"/>
          <w:sz w:val="22"/>
          <w:szCs w:val="22"/>
        </w:rPr>
        <w:t xml:space="preserve"> in Birmingham</w:t>
      </w:r>
      <w:r>
        <w:rPr>
          <w:rFonts w:ascii="Arial" w:hAnsi="Arial" w:cs="Arial"/>
          <w:sz w:val="22"/>
          <w:szCs w:val="22"/>
        </w:rPr>
        <w:t xml:space="preserve">, including those </w:t>
      </w:r>
      <w:r w:rsidR="00411EE2">
        <w:rPr>
          <w:rFonts w:ascii="Arial" w:hAnsi="Arial" w:cs="Arial"/>
          <w:sz w:val="22"/>
          <w:szCs w:val="22"/>
        </w:rPr>
        <w:t xml:space="preserve">aged </w:t>
      </w:r>
      <w:r>
        <w:rPr>
          <w:rFonts w:ascii="Arial" w:hAnsi="Arial" w:cs="Arial"/>
          <w:sz w:val="22"/>
          <w:szCs w:val="22"/>
        </w:rPr>
        <w:t>65+</w:t>
      </w:r>
      <w:r w:rsidRPr="00924FB4">
        <w:rPr>
          <w:rFonts w:ascii="Arial" w:hAnsi="Arial" w:cs="Arial"/>
          <w:sz w:val="22"/>
          <w:szCs w:val="22"/>
        </w:rPr>
        <w:t xml:space="preserve"> </w:t>
      </w:r>
      <w:r>
        <w:rPr>
          <w:rFonts w:ascii="Arial" w:hAnsi="Arial" w:cs="Arial"/>
          <w:sz w:val="22"/>
          <w:szCs w:val="22"/>
        </w:rPr>
        <w:t xml:space="preserve">had </w:t>
      </w:r>
      <w:r w:rsidRPr="00924FB4">
        <w:rPr>
          <w:rFonts w:ascii="Arial" w:hAnsi="Arial" w:cs="Arial"/>
          <w:sz w:val="22"/>
          <w:szCs w:val="22"/>
        </w:rPr>
        <w:t xml:space="preserve">a </w:t>
      </w:r>
      <w:r w:rsidR="00D92A56">
        <w:rPr>
          <w:rFonts w:ascii="Arial" w:hAnsi="Arial" w:cs="Arial"/>
          <w:sz w:val="22"/>
          <w:szCs w:val="22"/>
        </w:rPr>
        <w:t xml:space="preserve">LLTHID. </w:t>
      </w:r>
      <w:bookmarkEnd w:id="7"/>
      <w:r w:rsidRPr="00924FB4">
        <w:rPr>
          <w:rFonts w:ascii="Arial" w:hAnsi="Arial" w:cs="Arial"/>
          <w:sz w:val="22"/>
          <w:szCs w:val="22"/>
        </w:rPr>
        <w:t xml:space="preserve">While there are no projections for individuals with </w:t>
      </w:r>
      <w:r>
        <w:rPr>
          <w:rFonts w:ascii="Arial" w:hAnsi="Arial" w:cs="Arial"/>
          <w:sz w:val="22"/>
          <w:szCs w:val="22"/>
        </w:rPr>
        <w:t>LLTI</w:t>
      </w:r>
      <w:r w:rsidR="00D92A56">
        <w:rPr>
          <w:rFonts w:ascii="Arial" w:hAnsi="Arial" w:cs="Arial"/>
          <w:sz w:val="22"/>
          <w:szCs w:val="22"/>
        </w:rPr>
        <w:t>D</w:t>
      </w:r>
      <w:r w:rsidRPr="00924FB4">
        <w:rPr>
          <w:rFonts w:ascii="Arial" w:hAnsi="Arial" w:cs="Arial"/>
          <w:sz w:val="22"/>
          <w:szCs w:val="22"/>
        </w:rPr>
        <w:t>, it is safe to assume that the projected population will include people with L</w:t>
      </w:r>
      <w:r>
        <w:rPr>
          <w:rFonts w:ascii="Arial" w:hAnsi="Arial" w:cs="Arial"/>
          <w:sz w:val="22"/>
          <w:szCs w:val="22"/>
        </w:rPr>
        <w:t>LTI</w:t>
      </w:r>
      <w:r w:rsidR="00D92A56">
        <w:rPr>
          <w:rFonts w:ascii="Arial" w:hAnsi="Arial" w:cs="Arial"/>
          <w:sz w:val="22"/>
          <w:szCs w:val="22"/>
        </w:rPr>
        <w:t>D</w:t>
      </w:r>
      <w:r>
        <w:rPr>
          <w:rFonts w:ascii="Arial" w:hAnsi="Arial" w:cs="Arial"/>
          <w:sz w:val="22"/>
          <w:szCs w:val="22"/>
        </w:rPr>
        <w:t>.</w:t>
      </w:r>
      <w:r>
        <w:rPr>
          <w:rStyle w:val="FootnoteReference"/>
          <w:rFonts w:ascii="Arial" w:hAnsi="Arial" w:cs="Arial"/>
          <w:sz w:val="22"/>
          <w:szCs w:val="22"/>
        </w:rPr>
        <w:footnoteReference w:id="17"/>
      </w:r>
    </w:p>
    <w:p w:rsidR="00347B1E" w:rsidRDefault="00347B1E" w:rsidP="005F42F8">
      <w:pPr>
        <w:spacing w:line="300" w:lineRule="atLeast"/>
        <w:ind w:left="709" w:hanging="709"/>
        <w:rPr>
          <w:rFonts w:ascii="Arial" w:hAnsi="Arial" w:cs="Arial"/>
          <w:sz w:val="22"/>
          <w:szCs w:val="22"/>
        </w:rPr>
      </w:pPr>
    </w:p>
    <w:p w:rsidR="000E536B" w:rsidRDefault="000E536B" w:rsidP="00D92A56">
      <w:pPr>
        <w:pStyle w:val="ListParagraph"/>
        <w:numPr>
          <w:ilvl w:val="0"/>
          <w:numId w:val="6"/>
        </w:numPr>
        <w:spacing w:line="276" w:lineRule="auto"/>
        <w:rPr>
          <w:rFonts w:ascii="Arial" w:hAnsi="Arial" w:cs="Arial"/>
          <w:sz w:val="22"/>
          <w:szCs w:val="22"/>
        </w:rPr>
      </w:pPr>
      <w:bookmarkStart w:id="8" w:name="_Hlk45724466"/>
      <w:r w:rsidRPr="000E536B">
        <w:rPr>
          <w:rFonts w:ascii="Arial" w:eastAsia="Times New Roman" w:hAnsi="Arial" w:cs="Arial"/>
          <w:sz w:val="22"/>
          <w:szCs w:val="22"/>
        </w:rPr>
        <w:t>Birmingham’s older (65+) population makes up 13.1% of the total Birmingham population</w:t>
      </w:r>
      <w:r w:rsidRPr="000E536B">
        <w:rPr>
          <w:rStyle w:val="FootnoteReference"/>
          <w:rFonts w:ascii="Arial" w:eastAsia="Times New Roman" w:hAnsi="Arial" w:cs="Arial"/>
          <w:sz w:val="22"/>
          <w:szCs w:val="22"/>
        </w:rPr>
        <w:footnoteReference w:id="18"/>
      </w:r>
      <w:r w:rsidRPr="000E536B">
        <w:rPr>
          <w:rFonts w:ascii="Arial" w:eastAsia="Times New Roman" w:hAnsi="Arial" w:cs="Arial"/>
          <w:sz w:val="22"/>
          <w:szCs w:val="22"/>
        </w:rPr>
        <w:t>. Population forecasts show that there will be an additional 38,900 (26%)</w:t>
      </w:r>
      <w:r w:rsidRPr="000E536B">
        <w:rPr>
          <w:rFonts w:ascii="Arial" w:eastAsia="Times New Roman" w:hAnsi="Arial" w:cs="Arial"/>
          <w:color w:val="FF0000"/>
          <w:sz w:val="22"/>
          <w:szCs w:val="22"/>
        </w:rPr>
        <w:t xml:space="preserve"> </w:t>
      </w:r>
      <w:r w:rsidRPr="000E536B">
        <w:rPr>
          <w:rFonts w:ascii="Arial" w:eastAsia="Times New Roman" w:hAnsi="Arial" w:cs="Arial"/>
          <w:sz w:val="22"/>
          <w:szCs w:val="22"/>
        </w:rPr>
        <w:t>older people by 2031</w:t>
      </w:r>
      <w:r w:rsidR="00BF5F98">
        <w:rPr>
          <w:rFonts w:ascii="Arial" w:eastAsia="Times New Roman" w:hAnsi="Arial" w:cs="Arial"/>
          <w:sz w:val="22"/>
          <w:szCs w:val="22"/>
        </w:rPr>
        <w:t xml:space="preserve"> </w:t>
      </w:r>
      <w:r w:rsidRPr="000E536B">
        <w:rPr>
          <w:rFonts w:ascii="Arial" w:eastAsia="Times New Roman" w:hAnsi="Arial" w:cs="Arial"/>
          <w:sz w:val="22"/>
          <w:szCs w:val="22"/>
        </w:rPr>
        <w:t>resulting in this group accounting for 15.1%</w:t>
      </w:r>
      <w:r w:rsidRPr="000E536B">
        <w:rPr>
          <w:rFonts w:ascii="Arial" w:eastAsia="Times New Roman" w:hAnsi="Arial" w:cs="Arial"/>
          <w:color w:val="FF0000"/>
          <w:sz w:val="22"/>
          <w:szCs w:val="22"/>
        </w:rPr>
        <w:t xml:space="preserve"> </w:t>
      </w:r>
      <w:r w:rsidRPr="000E536B">
        <w:rPr>
          <w:rFonts w:ascii="Arial" w:eastAsia="Times New Roman" w:hAnsi="Arial" w:cs="Arial"/>
          <w:sz w:val="22"/>
          <w:szCs w:val="22"/>
        </w:rPr>
        <w:t>of the population in 2031.</w:t>
      </w:r>
      <w:bookmarkEnd w:id="8"/>
      <w:r>
        <w:rPr>
          <w:rStyle w:val="FootnoteReference"/>
          <w:rFonts w:ascii="Arial" w:eastAsia="Times New Roman" w:hAnsi="Arial" w:cs="Arial"/>
          <w:sz w:val="22"/>
          <w:szCs w:val="22"/>
        </w:rPr>
        <w:footnoteReference w:id="19"/>
      </w:r>
      <w:r w:rsidRPr="000E536B">
        <w:rPr>
          <w:rFonts w:ascii="Arial" w:hAnsi="Arial" w:cs="Arial"/>
          <w:sz w:val="22"/>
          <w:szCs w:val="22"/>
        </w:rPr>
        <w:t xml:space="preserve"> </w:t>
      </w:r>
    </w:p>
    <w:p w:rsidR="00F626FA" w:rsidRPr="00F626FA" w:rsidRDefault="00F626FA" w:rsidP="00F626FA">
      <w:pPr>
        <w:pStyle w:val="ListParagraph"/>
        <w:rPr>
          <w:rFonts w:ascii="Arial" w:hAnsi="Arial" w:cs="Arial"/>
          <w:sz w:val="22"/>
          <w:szCs w:val="22"/>
        </w:rPr>
      </w:pPr>
    </w:p>
    <w:p w:rsidR="00F626FA" w:rsidRPr="000E536B" w:rsidRDefault="00F626FA" w:rsidP="00D92A56">
      <w:pPr>
        <w:pStyle w:val="ListParagraph"/>
        <w:numPr>
          <w:ilvl w:val="0"/>
          <w:numId w:val="6"/>
        </w:numPr>
        <w:spacing w:line="276" w:lineRule="auto"/>
        <w:rPr>
          <w:rFonts w:ascii="Arial" w:hAnsi="Arial" w:cs="Arial"/>
          <w:sz w:val="22"/>
          <w:szCs w:val="22"/>
        </w:rPr>
      </w:pPr>
      <w:r>
        <w:rPr>
          <w:rFonts w:ascii="Arial" w:hAnsi="Arial" w:cs="Arial"/>
          <w:sz w:val="22"/>
          <w:szCs w:val="22"/>
        </w:rPr>
        <w:t>By</w:t>
      </w:r>
      <w:r w:rsidRPr="00F626FA">
        <w:rPr>
          <w:rFonts w:ascii="Arial" w:hAnsi="Arial" w:cs="Arial"/>
          <w:sz w:val="22"/>
          <w:szCs w:val="22"/>
        </w:rPr>
        <w:t xml:space="preserve"> 2039, 30% of total households </w:t>
      </w:r>
      <w:r>
        <w:rPr>
          <w:rFonts w:ascii="Arial" w:hAnsi="Arial" w:cs="Arial"/>
          <w:sz w:val="22"/>
          <w:szCs w:val="22"/>
        </w:rPr>
        <w:t xml:space="preserve">in Birmingham </w:t>
      </w:r>
      <w:r w:rsidRPr="00F626FA">
        <w:rPr>
          <w:rFonts w:ascii="Arial" w:hAnsi="Arial" w:cs="Arial"/>
          <w:sz w:val="22"/>
          <w:szCs w:val="22"/>
        </w:rPr>
        <w:t>will be headed by a person aged 65 years and older compared with 22.6% in 2011, an increase of 7.4%.</w:t>
      </w:r>
      <w:r>
        <w:rPr>
          <w:rStyle w:val="FootnoteReference"/>
          <w:rFonts w:ascii="Arial" w:hAnsi="Arial" w:cs="Arial"/>
          <w:sz w:val="22"/>
          <w:szCs w:val="22"/>
        </w:rPr>
        <w:footnoteReference w:id="20"/>
      </w:r>
    </w:p>
    <w:p w:rsidR="000E536B" w:rsidRPr="000E536B" w:rsidRDefault="000E536B" w:rsidP="00D92A56">
      <w:pPr>
        <w:spacing w:line="276" w:lineRule="auto"/>
        <w:rPr>
          <w:rFonts w:ascii="Arial" w:hAnsi="Arial" w:cs="Arial"/>
          <w:sz w:val="22"/>
          <w:szCs w:val="22"/>
        </w:rPr>
      </w:pPr>
    </w:p>
    <w:p w:rsidR="00984070" w:rsidRDefault="00D35D51" w:rsidP="00D92A56">
      <w:pPr>
        <w:pStyle w:val="ListParagraph"/>
        <w:numPr>
          <w:ilvl w:val="0"/>
          <w:numId w:val="6"/>
        </w:numPr>
        <w:spacing w:line="276" w:lineRule="auto"/>
        <w:rPr>
          <w:rFonts w:ascii="Arial" w:hAnsi="Arial" w:cs="Arial"/>
          <w:sz w:val="22"/>
          <w:szCs w:val="22"/>
        </w:rPr>
      </w:pPr>
      <w:bookmarkStart w:id="9" w:name="_Hlk45724526"/>
      <w:r>
        <w:rPr>
          <w:rFonts w:ascii="Arial" w:hAnsi="Arial" w:cs="Arial"/>
          <w:sz w:val="22"/>
          <w:szCs w:val="22"/>
        </w:rPr>
        <w:t>Of</w:t>
      </w:r>
      <w:r w:rsidR="003E3987" w:rsidRPr="003E3987">
        <w:rPr>
          <w:rFonts w:ascii="Arial" w:hAnsi="Arial" w:cs="Arial"/>
          <w:sz w:val="22"/>
          <w:szCs w:val="22"/>
        </w:rPr>
        <w:t xml:space="preserve"> those</w:t>
      </w:r>
      <w:r>
        <w:rPr>
          <w:rFonts w:ascii="Arial" w:hAnsi="Arial" w:cs="Arial"/>
          <w:sz w:val="22"/>
          <w:szCs w:val="22"/>
        </w:rPr>
        <w:t xml:space="preserve"> aged</w:t>
      </w:r>
      <w:r w:rsidR="003E3987" w:rsidRPr="003E3987">
        <w:rPr>
          <w:rFonts w:ascii="Arial" w:hAnsi="Arial" w:cs="Arial"/>
          <w:sz w:val="22"/>
          <w:szCs w:val="22"/>
        </w:rPr>
        <w:t xml:space="preserve"> 65</w:t>
      </w:r>
      <w:r>
        <w:rPr>
          <w:rFonts w:ascii="Arial" w:hAnsi="Arial" w:cs="Arial"/>
          <w:sz w:val="22"/>
          <w:szCs w:val="22"/>
        </w:rPr>
        <w:t xml:space="preserve"> and over</w:t>
      </w:r>
      <w:r w:rsidR="003E3987" w:rsidRPr="003E3987">
        <w:rPr>
          <w:rFonts w:ascii="Arial" w:hAnsi="Arial" w:cs="Arial"/>
          <w:sz w:val="22"/>
          <w:szCs w:val="22"/>
        </w:rPr>
        <w:t xml:space="preserve"> there is predicted to be </w:t>
      </w:r>
      <w:r w:rsidR="00951CB1">
        <w:rPr>
          <w:rFonts w:ascii="Arial" w:hAnsi="Arial" w:cs="Arial"/>
          <w:sz w:val="22"/>
          <w:szCs w:val="22"/>
        </w:rPr>
        <w:t>102,872 people whose day to day activities will be limited a little and a lot by 203</w:t>
      </w:r>
      <w:r w:rsidR="00892C41">
        <w:rPr>
          <w:rFonts w:ascii="Arial" w:hAnsi="Arial" w:cs="Arial"/>
          <w:sz w:val="22"/>
          <w:szCs w:val="22"/>
        </w:rPr>
        <w:t>0</w:t>
      </w:r>
      <w:r w:rsidR="00D92A56">
        <w:rPr>
          <w:rFonts w:ascii="Arial" w:hAnsi="Arial" w:cs="Arial"/>
          <w:sz w:val="22"/>
          <w:szCs w:val="22"/>
        </w:rPr>
        <w:t>,</w:t>
      </w:r>
      <w:r w:rsidR="00A6690E">
        <w:rPr>
          <w:rFonts w:ascii="Arial" w:hAnsi="Arial" w:cs="Arial"/>
          <w:sz w:val="22"/>
          <w:szCs w:val="22"/>
        </w:rPr>
        <w:t xml:space="preserve"> accounting for 8.3% of total projected population.</w:t>
      </w:r>
      <w:r w:rsidR="00411EE2">
        <w:rPr>
          <w:rFonts w:ascii="Arial" w:hAnsi="Arial" w:cs="Arial"/>
          <w:sz w:val="22"/>
          <w:szCs w:val="22"/>
        </w:rPr>
        <w:t xml:space="preserve"> </w:t>
      </w:r>
      <w:bookmarkEnd w:id="9"/>
      <w:r w:rsidR="00892C41">
        <w:rPr>
          <w:rFonts w:ascii="Arial" w:hAnsi="Arial" w:cs="Arial"/>
          <w:sz w:val="22"/>
          <w:szCs w:val="22"/>
        </w:rPr>
        <w:t xml:space="preserve">This represents a </w:t>
      </w:r>
      <w:r>
        <w:rPr>
          <w:rFonts w:ascii="Arial" w:hAnsi="Arial" w:cs="Arial"/>
          <w:sz w:val="22"/>
          <w:szCs w:val="22"/>
        </w:rPr>
        <w:t>19.6</w:t>
      </w:r>
      <w:r w:rsidR="003E3987" w:rsidRPr="003E3987">
        <w:rPr>
          <w:rFonts w:ascii="Arial" w:hAnsi="Arial" w:cs="Arial"/>
          <w:sz w:val="22"/>
          <w:szCs w:val="22"/>
        </w:rPr>
        <w:t xml:space="preserve">% increase </w:t>
      </w:r>
      <w:r w:rsidR="00333E6C">
        <w:rPr>
          <w:rFonts w:ascii="Arial" w:hAnsi="Arial" w:cs="Arial"/>
          <w:sz w:val="22"/>
          <w:szCs w:val="22"/>
        </w:rPr>
        <w:t>from the 2019 baseline</w:t>
      </w:r>
      <w:r w:rsidR="003E3987" w:rsidRPr="003E3987">
        <w:rPr>
          <w:rFonts w:ascii="Arial" w:hAnsi="Arial" w:cs="Arial"/>
          <w:sz w:val="22"/>
          <w:szCs w:val="22"/>
        </w:rPr>
        <w:t>.</w:t>
      </w:r>
      <w:r w:rsidR="00924FB4">
        <w:rPr>
          <w:rStyle w:val="FootnoteReference"/>
          <w:rFonts w:ascii="Arial" w:hAnsi="Arial" w:cs="Arial"/>
          <w:sz w:val="22"/>
          <w:szCs w:val="22"/>
        </w:rPr>
        <w:footnoteReference w:id="21"/>
      </w:r>
      <w:r w:rsidR="003E3987" w:rsidRPr="003E3987">
        <w:rPr>
          <w:rFonts w:ascii="Arial" w:hAnsi="Arial" w:cs="Arial"/>
          <w:sz w:val="22"/>
          <w:szCs w:val="22"/>
        </w:rPr>
        <w:t xml:space="preserve"> </w:t>
      </w:r>
    </w:p>
    <w:p w:rsidR="00333E6C" w:rsidRPr="00C31881" w:rsidRDefault="00333E6C" w:rsidP="00D92A56">
      <w:pPr>
        <w:spacing w:line="276" w:lineRule="auto"/>
        <w:rPr>
          <w:rFonts w:ascii="Arial" w:hAnsi="Arial" w:cs="Arial"/>
          <w:sz w:val="22"/>
          <w:szCs w:val="22"/>
        </w:rPr>
      </w:pPr>
    </w:p>
    <w:p w:rsidR="00333E6C" w:rsidRDefault="00C31881" w:rsidP="00D92A56">
      <w:pPr>
        <w:pStyle w:val="ListParagraph"/>
        <w:numPr>
          <w:ilvl w:val="0"/>
          <w:numId w:val="6"/>
        </w:numPr>
        <w:spacing w:line="276" w:lineRule="auto"/>
        <w:rPr>
          <w:rFonts w:ascii="Arial" w:hAnsi="Arial" w:cs="Arial"/>
          <w:sz w:val="22"/>
          <w:szCs w:val="22"/>
        </w:rPr>
      </w:pPr>
      <w:bookmarkStart w:id="10" w:name="_Hlk45724592"/>
      <w:r w:rsidRPr="006559A6">
        <w:rPr>
          <w:rFonts w:ascii="Arial" w:hAnsi="Arial" w:cs="Arial"/>
          <w:sz w:val="22"/>
          <w:szCs w:val="22"/>
        </w:rPr>
        <w:t xml:space="preserve">There is </w:t>
      </w:r>
      <w:r w:rsidR="000E536B" w:rsidRPr="006559A6">
        <w:rPr>
          <w:rFonts w:ascii="Arial" w:hAnsi="Arial" w:cs="Arial"/>
          <w:sz w:val="22"/>
          <w:szCs w:val="22"/>
        </w:rPr>
        <w:t xml:space="preserve">also </w:t>
      </w:r>
      <w:r w:rsidRPr="006559A6">
        <w:rPr>
          <w:rFonts w:ascii="Arial" w:hAnsi="Arial" w:cs="Arial"/>
          <w:sz w:val="22"/>
          <w:szCs w:val="22"/>
        </w:rPr>
        <w:t xml:space="preserve">predicted to be a 7.4% increase in people aged 18-64 </w:t>
      </w:r>
      <w:r w:rsidR="000E536B" w:rsidRPr="006559A6">
        <w:rPr>
          <w:rFonts w:ascii="Arial" w:hAnsi="Arial" w:cs="Arial"/>
          <w:sz w:val="22"/>
          <w:szCs w:val="22"/>
        </w:rPr>
        <w:t>having</w:t>
      </w:r>
      <w:r w:rsidRPr="006559A6">
        <w:rPr>
          <w:rFonts w:ascii="Arial" w:hAnsi="Arial" w:cs="Arial"/>
          <w:sz w:val="22"/>
          <w:szCs w:val="22"/>
        </w:rPr>
        <w:t xml:space="preserve"> impaired mobilit</w:t>
      </w:r>
      <w:r w:rsidR="000E536B" w:rsidRPr="006559A6">
        <w:rPr>
          <w:rFonts w:ascii="Arial" w:hAnsi="Arial" w:cs="Arial"/>
          <w:sz w:val="22"/>
          <w:szCs w:val="22"/>
        </w:rPr>
        <w:t xml:space="preserve">y </w:t>
      </w:r>
      <w:r w:rsidRPr="006559A6">
        <w:rPr>
          <w:rFonts w:ascii="Arial" w:hAnsi="Arial" w:cs="Arial"/>
          <w:sz w:val="22"/>
          <w:szCs w:val="22"/>
        </w:rPr>
        <w:t xml:space="preserve">and a 3.7% increase in people aged 18-64 with </w:t>
      </w:r>
      <w:r w:rsidR="00D92A56">
        <w:rPr>
          <w:rFonts w:ascii="Arial" w:hAnsi="Arial" w:cs="Arial"/>
          <w:sz w:val="22"/>
          <w:szCs w:val="22"/>
        </w:rPr>
        <w:t xml:space="preserve">a </w:t>
      </w:r>
      <w:r w:rsidRPr="006559A6">
        <w:rPr>
          <w:rFonts w:ascii="Arial" w:hAnsi="Arial" w:cs="Arial"/>
          <w:sz w:val="22"/>
          <w:szCs w:val="22"/>
        </w:rPr>
        <w:t>moderate or severe learning disability living with a parent</w:t>
      </w:r>
      <w:r w:rsidR="000E536B" w:rsidRPr="006559A6">
        <w:rPr>
          <w:rFonts w:ascii="Arial" w:hAnsi="Arial" w:cs="Arial"/>
          <w:sz w:val="22"/>
          <w:szCs w:val="22"/>
        </w:rPr>
        <w:t xml:space="preserve"> by 2030</w:t>
      </w:r>
      <w:r w:rsidRPr="006559A6">
        <w:rPr>
          <w:rFonts w:ascii="Arial" w:hAnsi="Arial" w:cs="Arial"/>
          <w:sz w:val="22"/>
          <w:szCs w:val="22"/>
        </w:rPr>
        <w:t>.</w:t>
      </w:r>
      <w:r w:rsidR="000E536B" w:rsidRPr="006559A6">
        <w:rPr>
          <w:rFonts w:ascii="Arial" w:hAnsi="Arial" w:cs="Arial"/>
          <w:sz w:val="22"/>
          <w:szCs w:val="22"/>
        </w:rPr>
        <w:t xml:space="preserve"> </w:t>
      </w:r>
      <w:r w:rsidR="006559A6">
        <w:rPr>
          <w:rFonts w:ascii="Arial" w:hAnsi="Arial" w:cs="Arial"/>
          <w:sz w:val="22"/>
          <w:szCs w:val="22"/>
        </w:rPr>
        <w:t>These groups will account for 8.6% of the total Birmingham population. As well as older people, i</w:t>
      </w:r>
      <w:r w:rsidR="000E536B" w:rsidRPr="006559A6">
        <w:rPr>
          <w:rFonts w:ascii="Arial" w:hAnsi="Arial" w:cs="Arial"/>
          <w:sz w:val="22"/>
          <w:szCs w:val="22"/>
        </w:rPr>
        <w:t>t is likely that these people will benefit</w:t>
      </w:r>
      <w:r w:rsidR="006559A6" w:rsidRPr="006559A6">
        <w:rPr>
          <w:rFonts w:ascii="Arial" w:hAnsi="Arial" w:cs="Arial"/>
          <w:sz w:val="22"/>
          <w:szCs w:val="22"/>
        </w:rPr>
        <w:t xml:space="preserve"> from accessible and adaptable homes. </w:t>
      </w:r>
    </w:p>
    <w:bookmarkEnd w:id="10"/>
    <w:p w:rsidR="00E96826" w:rsidRPr="00E96826" w:rsidRDefault="00E96826" w:rsidP="00E96826">
      <w:pPr>
        <w:pStyle w:val="ListParagraph"/>
        <w:rPr>
          <w:rFonts w:ascii="Arial" w:hAnsi="Arial" w:cs="Arial"/>
          <w:sz w:val="22"/>
          <w:szCs w:val="22"/>
        </w:rPr>
      </w:pPr>
    </w:p>
    <w:p w:rsidR="00BA18CD" w:rsidRPr="00E96826" w:rsidRDefault="00E96826" w:rsidP="00D67D88">
      <w:pPr>
        <w:pStyle w:val="ListParagraph"/>
        <w:numPr>
          <w:ilvl w:val="0"/>
          <w:numId w:val="6"/>
        </w:numPr>
        <w:rPr>
          <w:rFonts w:ascii="Arial" w:hAnsi="Arial" w:cs="Arial"/>
          <w:sz w:val="22"/>
          <w:szCs w:val="22"/>
        </w:rPr>
      </w:pPr>
      <w:r w:rsidRPr="00E96826">
        <w:rPr>
          <w:rFonts w:ascii="Arial" w:hAnsi="Arial" w:cs="Arial"/>
          <w:sz w:val="22"/>
          <w:szCs w:val="22"/>
        </w:rPr>
        <w:t>The Financial Viability Assessment of the DMB (November 2019) demonstrates that a</w:t>
      </w:r>
      <w:r>
        <w:rPr>
          <w:rFonts w:ascii="Arial" w:hAnsi="Arial" w:cs="Arial"/>
          <w:sz w:val="22"/>
          <w:szCs w:val="22"/>
        </w:rPr>
        <w:t xml:space="preserve"> requirement for 30</w:t>
      </w:r>
      <w:r w:rsidRPr="00E96826">
        <w:rPr>
          <w:rFonts w:ascii="Arial" w:hAnsi="Arial" w:cs="Arial"/>
          <w:sz w:val="22"/>
          <w:szCs w:val="22"/>
        </w:rPr>
        <w:t>%</w:t>
      </w:r>
      <w:r>
        <w:rPr>
          <w:rFonts w:ascii="Arial" w:hAnsi="Arial" w:cs="Arial"/>
          <w:sz w:val="22"/>
          <w:szCs w:val="22"/>
        </w:rPr>
        <w:t xml:space="preserve"> of dwellings on sites of 15 dwellings or more</w:t>
      </w:r>
      <w:r w:rsidRPr="00E96826">
        <w:rPr>
          <w:rFonts w:ascii="Arial" w:hAnsi="Arial" w:cs="Arial"/>
          <w:sz w:val="22"/>
          <w:szCs w:val="22"/>
        </w:rPr>
        <w:t xml:space="preserve"> should not have any significant impact on the viability of delivering housing in the city.</w:t>
      </w:r>
    </w:p>
    <w:p w:rsidR="00071525" w:rsidRDefault="00071525" w:rsidP="006A6B9F">
      <w:pPr>
        <w:spacing w:line="300" w:lineRule="atLeast"/>
        <w:rPr>
          <w:rFonts w:ascii="Arial" w:hAnsi="Arial" w:cs="Arial"/>
          <w:sz w:val="22"/>
          <w:szCs w:val="22"/>
        </w:rPr>
      </w:pPr>
    </w:p>
    <w:p w:rsidR="00D92A56" w:rsidRDefault="00D92A56" w:rsidP="00D92A56">
      <w:pPr>
        <w:spacing w:line="300" w:lineRule="atLeast"/>
        <w:ind w:left="709" w:hanging="709"/>
        <w:rPr>
          <w:rFonts w:ascii="Arial" w:hAnsi="Arial" w:cs="Arial"/>
          <w:sz w:val="22"/>
          <w:szCs w:val="22"/>
        </w:rPr>
      </w:pPr>
      <w:r>
        <w:rPr>
          <w:rFonts w:ascii="Arial" w:hAnsi="Arial" w:cs="Arial"/>
          <w:sz w:val="22"/>
          <w:szCs w:val="22"/>
        </w:rPr>
        <w:t>5.3</w:t>
      </w:r>
      <w:r>
        <w:rPr>
          <w:rFonts w:ascii="Arial" w:hAnsi="Arial" w:cs="Arial"/>
          <w:sz w:val="22"/>
          <w:szCs w:val="22"/>
        </w:rPr>
        <w:tab/>
        <w:t>In conclusion, t</w:t>
      </w:r>
      <w:r w:rsidRPr="006A6B9F">
        <w:rPr>
          <w:rFonts w:ascii="Arial" w:hAnsi="Arial" w:cs="Arial"/>
          <w:sz w:val="22"/>
          <w:szCs w:val="22"/>
        </w:rPr>
        <w:t xml:space="preserve">he Council </w:t>
      </w:r>
      <w:r>
        <w:rPr>
          <w:rFonts w:ascii="Arial" w:hAnsi="Arial" w:cs="Arial"/>
          <w:sz w:val="22"/>
          <w:szCs w:val="22"/>
        </w:rPr>
        <w:t xml:space="preserve">considers that appropriate justification has been provided for inclusion of the </w:t>
      </w:r>
      <w:r w:rsidRPr="00130840">
        <w:rPr>
          <w:rFonts w:ascii="Arial" w:hAnsi="Arial" w:cs="Arial"/>
          <w:sz w:val="22"/>
          <w:szCs w:val="22"/>
        </w:rPr>
        <w:t>access and space standards</w:t>
      </w:r>
      <w:r w:rsidRPr="006A6B9F">
        <w:rPr>
          <w:rFonts w:ascii="Arial" w:hAnsi="Arial" w:cs="Arial"/>
          <w:sz w:val="22"/>
          <w:szCs w:val="22"/>
        </w:rPr>
        <w:t xml:space="preserve"> </w:t>
      </w:r>
      <w:r>
        <w:rPr>
          <w:rFonts w:ascii="Arial" w:hAnsi="Arial" w:cs="Arial"/>
          <w:sz w:val="22"/>
          <w:szCs w:val="22"/>
        </w:rPr>
        <w:t xml:space="preserve">within the emerging DMB and that </w:t>
      </w:r>
      <w:r w:rsidRPr="006A6B9F">
        <w:rPr>
          <w:rFonts w:ascii="Arial" w:hAnsi="Arial" w:cs="Arial"/>
          <w:sz w:val="22"/>
          <w:szCs w:val="22"/>
        </w:rPr>
        <w:t>the requirements of NPPF and the PPG</w:t>
      </w:r>
      <w:r>
        <w:rPr>
          <w:rFonts w:ascii="Arial" w:hAnsi="Arial" w:cs="Arial"/>
          <w:sz w:val="22"/>
          <w:szCs w:val="22"/>
        </w:rPr>
        <w:t xml:space="preserve"> have been met</w:t>
      </w:r>
    </w:p>
    <w:p w:rsidR="00071525" w:rsidRDefault="00071525" w:rsidP="006A6B9F">
      <w:pPr>
        <w:spacing w:line="300" w:lineRule="atLeast"/>
        <w:rPr>
          <w:rFonts w:ascii="Arial" w:hAnsi="Arial" w:cs="Arial"/>
          <w:sz w:val="22"/>
          <w:szCs w:val="22"/>
        </w:rPr>
      </w:pPr>
    </w:p>
    <w:p w:rsidR="006559A6" w:rsidRDefault="006559A6" w:rsidP="006A6B9F">
      <w:pPr>
        <w:spacing w:line="300" w:lineRule="atLeast"/>
        <w:rPr>
          <w:rFonts w:ascii="Arial" w:hAnsi="Arial" w:cs="Arial"/>
          <w:sz w:val="22"/>
          <w:szCs w:val="22"/>
        </w:rPr>
      </w:pPr>
    </w:p>
    <w:p w:rsidR="006559A6" w:rsidRDefault="006559A6" w:rsidP="006A6B9F">
      <w:pPr>
        <w:spacing w:line="300" w:lineRule="atLeast"/>
        <w:rPr>
          <w:rFonts w:ascii="Arial" w:hAnsi="Arial" w:cs="Arial"/>
          <w:sz w:val="22"/>
          <w:szCs w:val="22"/>
        </w:rPr>
      </w:pPr>
    </w:p>
    <w:p w:rsidR="006559A6" w:rsidRDefault="006559A6" w:rsidP="006A6B9F">
      <w:pPr>
        <w:spacing w:line="300" w:lineRule="atLeast"/>
        <w:rPr>
          <w:rFonts w:ascii="Arial" w:hAnsi="Arial" w:cs="Arial"/>
          <w:sz w:val="22"/>
          <w:szCs w:val="22"/>
        </w:rPr>
      </w:pPr>
    </w:p>
    <w:p w:rsidR="006559A6" w:rsidRDefault="006559A6" w:rsidP="006A6B9F">
      <w:pPr>
        <w:spacing w:line="300" w:lineRule="atLeast"/>
        <w:rPr>
          <w:rFonts w:ascii="Arial" w:hAnsi="Arial" w:cs="Arial"/>
          <w:sz w:val="22"/>
          <w:szCs w:val="22"/>
        </w:rPr>
      </w:pPr>
    </w:p>
    <w:p w:rsidR="006559A6" w:rsidRDefault="006559A6" w:rsidP="006A6B9F">
      <w:pPr>
        <w:spacing w:line="300" w:lineRule="atLeast"/>
        <w:rPr>
          <w:rFonts w:ascii="Arial" w:hAnsi="Arial" w:cs="Arial"/>
          <w:sz w:val="22"/>
          <w:szCs w:val="22"/>
        </w:rPr>
      </w:pPr>
    </w:p>
    <w:p w:rsidR="006559A6" w:rsidRDefault="006559A6" w:rsidP="006A6B9F">
      <w:pPr>
        <w:spacing w:line="300" w:lineRule="atLeast"/>
        <w:rPr>
          <w:rFonts w:ascii="Arial" w:hAnsi="Arial" w:cs="Arial"/>
          <w:sz w:val="22"/>
          <w:szCs w:val="22"/>
        </w:rPr>
      </w:pPr>
    </w:p>
    <w:p w:rsidR="006559A6" w:rsidRDefault="006559A6" w:rsidP="006A6B9F">
      <w:pPr>
        <w:spacing w:line="300" w:lineRule="atLeast"/>
        <w:rPr>
          <w:rFonts w:ascii="Arial" w:hAnsi="Arial" w:cs="Arial"/>
          <w:sz w:val="22"/>
          <w:szCs w:val="22"/>
        </w:rPr>
      </w:pPr>
    </w:p>
    <w:p w:rsidR="006559A6" w:rsidRDefault="006559A6" w:rsidP="006A6B9F">
      <w:pPr>
        <w:spacing w:line="300" w:lineRule="atLeast"/>
        <w:rPr>
          <w:rFonts w:ascii="Arial" w:hAnsi="Arial" w:cs="Arial"/>
          <w:sz w:val="22"/>
          <w:szCs w:val="22"/>
        </w:rPr>
      </w:pPr>
    </w:p>
    <w:p w:rsidR="006559A6" w:rsidRDefault="006559A6" w:rsidP="006A6B9F">
      <w:pPr>
        <w:spacing w:line="300" w:lineRule="atLeast"/>
        <w:rPr>
          <w:rFonts w:ascii="Arial" w:hAnsi="Arial" w:cs="Arial"/>
          <w:sz w:val="22"/>
          <w:szCs w:val="22"/>
        </w:rPr>
      </w:pPr>
    </w:p>
    <w:p w:rsidR="006559A6" w:rsidRDefault="006559A6" w:rsidP="006A6B9F">
      <w:pPr>
        <w:spacing w:line="300" w:lineRule="atLeast"/>
        <w:rPr>
          <w:rFonts w:ascii="Arial" w:hAnsi="Arial" w:cs="Arial"/>
          <w:sz w:val="22"/>
          <w:szCs w:val="22"/>
        </w:rPr>
      </w:pPr>
    </w:p>
    <w:p w:rsidR="00071525" w:rsidRDefault="00071525" w:rsidP="006A6B9F">
      <w:pPr>
        <w:spacing w:line="300" w:lineRule="atLeast"/>
        <w:rPr>
          <w:rFonts w:ascii="Arial" w:hAnsi="Arial" w:cs="Arial"/>
          <w:sz w:val="22"/>
          <w:szCs w:val="22"/>
        </w:rPr>
      </w:pPr>
    </w:p>
    <w:p w:rsidR="00071525" w:rsidRDefault="00071525" w:rsidP="006A6B9F">
      <w:pPr>
        <w:spacing w:line="300" w:lineRule="atLeast"/>
        <w:rPr>
          <w:rFonts w:ascii="Arial" w:hAnsi="Arial" w:cs="Arial"/>
          <w:sz w:val="22"/>
          <w:szCs w:val="22"/>
        </w:rPr>
      </w:pPr>
    </w:p>
    <w:p w:rsidR="00071525" w:rsidRDefault="00071525" w:rsidP="006A6B9F">
      <w:pPr>
        <w:spacing w:line="300" w:lineRule="atLeast"/>
        <w:rPr>
          <w:rFonts w:ascii="Arial" w:hAnsi="Arial" w:cs="Arial"/>
          <w:sz w:val="22"/>
          <w:szCs w:val="22"/>
        </w:rPr>
      </w:pPr>
    </w:p>
    <w:p w:rsidR="00071525" w:rsidRDefault="00071525" w:rsidP="006A6B9F">
      <w:pPr>
        <w:spacing w:line="300" w:lineRule="atLeast"/>
        <w:rPr>
          <w:rFonts w:ascii="Arial" w:hAnsi="Arial" w:cs="Arial"/>
          <w:sz w:val="22"/>
          <w:szCs w:val="22"/>
        </w:rPr>
      </w:pPr>
    </w:p>
    <w:p w:rsidR="00BF5F98" w:rsidRDefault="00BF5F9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Pr="00BA18CD" w:rsidRDefault="00895188" w:rsidP="00895188">
      <w:pPr>
        <w:autoSpaceDE w:val="0"/>
        <w:autoSpaceDN w:val="0"/>
        <w:adjustRightInd w:val="0"/>
        <w:rPr>
          <w:rFonts w:ascii="Arial" w:hAnsi="Arial" w:cs="Arial"/>
          <w:b/>
          <w:bCs/>
          <w:sz w:val="28"/>
          <w:szCs w:val="28"/>
        </w:rPr>
      </w:pPr>
      <w:r w:rsidRPr="00BA18CD">
        <w:rPr>
          <w:rFonts w:ascii="Arial" w:hAnsi="Arial" w:cs="Arial"/>
          <w:b/>
          <w:bCs/>
          <w:sz w:val="28"/>
          <w:szCs w:val="28"/>
        </w:rPr>
        <w:lastRenderedPageBreak/>
        <w:t>Appendix 1: Technical Housing Standards - Nationally Described Space Standard (March 2015 as updated)</w:t>
      </w:r>
    </w:p>
    <w:p w:rsidR="00895188" w:rsidRPr="00830DE1" w:rsidRDefault="00895188" w:rsidP="00895188">
      <w:pPr>
        <w:autoSpaceDE w:val="0"/>
        <w:autoSpaceDN w:val="0"/>
        <w:adjustRightInd w:val="0"/>
        <w:rPr>
          <w:rFonts w:ascii="Arial" w:hAnsi="Arial" w:cs="Arial"/>
          <w:bCs/>
        </w:rPr>
      </w:pPr>
    </w:p>
    <w:p w:rsidR="00895188" w:rsidRPr="00052430" w:rsidRDefault="00895188" w:rsidP="00895188">
      <w:pPr>
        <w:ind w:right="-330"/>
        <w:rPr>
          <w:rFonts w:ascii="Arial" w:hAnsi="Arial" w:cs="Arial"/>
          <w:sz w:val="22"/>
          <w:szCs w:val="22"/>
        </w:rPr>
      </w:pPr>
      <w:r w:rsidRPr="00052430">
        <w:rPr>
          <w:rFonts w:ascii="Arial" w:hAnsi="Arial" w:cs="Arial"/>
          <w:sz w:val="22"/>
          <w:szCs w:val="22"/>
        </w:rPr>
        <w:t xml:space="preserve">Table 1 - Minimum Gross Internal </w:t>
      </w:r>
      <w:r w:rsidR="00ED4DBC" w:rsidRPr="00052430">
        <w:rPr>
          <w:rFonts w:ascii="Arial" w:hAnsi="Arial" w:cs="Arial"/>
          <w:sz w:val="22"/>
          <w:szCs w:val="22"/>
        </w:rPr>
        <w:t>Floor</w:t>
      </w:r>
      <w:r w:rsidRPr="00052430">
        <w:rPr>
          <w:rFonts w:ascii="Arial" w:hAnsi="Arial" w:cs="Arial"/>
          <w:sz w:val="22"/>
          <w:szCs w:val="22"/>
        </w:rPr>
        <w:t xml:space="preserve"> Areas (GIA) and Storage</w:t>
      </w:r>
    </w:p>
    <w:p w:rsidR="00895188" w:rsidRPr="00052430" w:rsidRDefault="00895188" w:rsidP="00895188">
      <w:pPr>
        <w:rPr>
          <w:rFonts w:ascii="Arial" w:hAnsi="Arial" w:cs="Arial"/>
          <w:sz w:val="22"/>
          <w:szCs w:val="22"/>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354"/>
        <w:gridCol w:w="1418"/>
        <w:gridCol w:w="1275"/>
        <w:gridCol w:w="1276"/>
        <w:gridCol w:w="1276"/>
      </w:tblGrid>
      <w:tr w:rsidR="00895188" w:rsidRPr="00052430" w:rsidTr="00895188">
        <w:tc>
          <w:tcPr>
            <w:tcW w:w="1280" w:type="dxa"/>
            <w:tcBorders>
              <w:bottom w:val="single" w:sz="18" w:space="0" w:color="auto"/>
            </w:tcBorders>
            <w:shd w:val="clear" w:color="auto" w:fill="D9D9D9"/>
          </w:tcPr>
          <w:p w:rsidR="00895188" w:rsidRPr="00052430" w:rsidRDefault="00895188" w:rsidP="00895188">
            <w:pPr>
              <w:rPr>
                <w:rFonts w:ascii="Arial" w:hAnsi="Arial" w:cs="Arial"/>
                <w:b/>
                <w:sz w:val="22"/>
                <w:szCs w:val="22"/>
              </w:rPr>
            </w:pPr>
            <w:r w:rsidRPr="00052430">
              <w:rPr>
                <w:rFonts w:ascii="Arial" w:hAnsi="Arial" w:cs="Arial"/>
                <w:b/>
                <w:sz w:val="22"/>
                <w:szCs w:val="22"/>
              </w:rPr>
              <w:t>Number of bedrooms</w:t>
            </w:r>
          </w:p>
        </w:tc>
        <w:tc>
          <w:tcPr>
            <w:tcW w:w="1354" w:type="dxa"/>
            <w:tcBorders>
              <w:bottom w:val="single" w:sz="18" w:space="0" w:color="auto"/>
            </w:tcBorders>
            <w:shd w:val="clear" w:color="auto" w:fill="D9D9D9"/>
          </w:tcPr>
          <w:p w:rsidR="00895188" w:rsidRPr="00052430" w:rsidRDefault="00895188" w:rsidP="00895188">
            <w:pPr>
              <w:rPr>
                <w:rFonts w:ascii="Arial" w:hAnsi="Arial" w:cs="Arial"/>
                <w:b/>
                <w:sz w:val="22"/>
                <w:szCs w:val="22"/>
              </w:rPr>
            </w:pPr>
            <w:r w:rsidRPr="00052430">
              <w:rPr>
                <w:rFonts w:ascii="Arial" w:hAnsi="Arial" w:cs="Arial"/>
                <w:b/>
                <w:sz w:val="22"/>
                <w:szCs w:val="22"/>
              </w:rPr>
              <w:t xml:space="preserve">Number of </w:t>
            </w:r>
            <w:proofErr w:type="spellStart"/>
            <w:r w:rsidRPr="00052430">
              <w:rPr>
                <w:rFonts w:ascii="Arial" w:hAnsi="Arial" w:cs="Arial"/>
                <w:b/>
                <w:sz w:val="22"/>
                <w:szCs w:val="22"/>
              </w:rPr>
              <w:t>bedspaces</w:t>
            </w:r>
            <w:proofErr w:type="spellEnd"/>
            <w:r w:rsidRPr="00052430">
              <w:rPr>
                <w:rFonts w:ascii="Arial" w:hAnsi="Arial" w:cs="Arial"/>
                <w:b/>
                <w:sz w:val="22"/>
                <w:szCs w:val="22"/>
              </w:rPr>
              <w:t xml:space="preserve"> </w:t>
            </w:r>
            <w:r w:rsidRPr="00052430">
              <w:rPr>
                <w:rFonts w:ascii="Arial" w:hAnsi="Arial" w:cs="Arial"/>
                <w:sz w:val="22"/>
                <w:szCs w:val="22"/>
              </w:rPr>
              <w:t>(people)</w:t>
            </w:r>
          </w:p>
        </w:tc>
        <w:tc>
          <w:tcPr>
            <w:tcW w:w="1418" w:type="dxa"/>
            <w:tcBorders>
              <w:bottom w:val="single" w:sz="18" w:space="0" w:color="auto"/>
            </w:tcBorders>
            <w:shd w:val="clear" w:color="auto" w:fill="D9D9D9"/>
          </w:tcPr>
          <w:p w:rsidR="00895188" w:rsidRPr="00052430" w:rsidRDefault="00895188" w:rsidP="00895188">
            <w:pPr>
              <w:rPr>
                <w:rFonts w:ascii="Arial" w:hAnsi="Arial" w:cs="Arial"/>
                <w:b/>
                <w:sz w:val="22"/>
                <w:szCs w:val="22"/>
              </w:rPr>
            </w:pPr>
            <w:r w:rsidRPr="00052430">
              <w:rPr>
                <w:rFonts w:ascii="Arial" w:hAnsi="Arial" w:cs="Arial"/>
                <w:b/>
                <w:sz w:val="22"/>
                <w:szCs w:val="22"/>
              </w:rPr>
              <w:t xml:space="preserve">1 </w:t>
            </w:r>
            <w:proofErr w:type="spellStart"/>
            <w:r w:rsidRPr="00052430">
              <w:rPr>
                <w:rFonts w:ascii="Arial" w:hAnsi="Arial" w:cs="Arial"/>
                <w:b/>
                <w:sz w:val="22"/>
                <w:szCs w:val="22"/>
              </w:rPr>
              <w:t>storey</w:t>
            </w:r>
            <w:proofErr w:type="spellEnd"/>
          </w:p>
          <w:p w:rsidR="00895188" w:rsidRPr="00052430" w:rsidRDefault="00895188" w:rsidP="00895188">
            <w:pPr>
              <w:rPr>
                <w:rFonts w:ascii="Arial" w:hAnsi="Arial" w:cs="Arial"/>
                <w:b/>
                <w:sz w:val="22"/>
                <w:szCs w:val="22"/>
              </w:rPr>
            </w:pPr>
            <w:r w:rsidRPr="00052430">
              <w:rPr>
                <w:rFonts w:ascii="Arial" w:hAnsi="Arial" w:cs="Arial"/>
                <w:b/>
                <w:sz w:val="22"/>
                <w:szCs w:val="22"/>
              </w:rPr>
              <w:t>Dwellings</w:t>
            </w:r>
          </w:p>
          <w:p w:rsidR="00895188" w:rsidRPr="00052430" w:rsidRDefault="00895188" w:rsidP="00895188">
            <w:pPr>
              <w:rPr>
                <w:rFonts w:ascii="Arial" w:hAnsi="Arial" w:cs="Arial"/>
                <w:b/>
                <w:sz w:val="22"/>
                <w:szCs w:val="22"/>
              </w:rPr>
            </w:pPr>
            <w:r w:rsidRPr="00052430">
              <w:rPr>
                <w:rFonts w:ascii="Arial" w:hAnsi="Arial" w:cs="Arial"/>
                <w:sz w:val="22"/>
                <w:szCs w:val="22"/>
              </w:rPr>
              <w:t>(</w:t>
            </w:r>
            <w:proofErr w:type="spellStart"/>
            <w:r w:rsidRPr="00052430">
              <w:rPr>
                <w:rFonts w:ascii="Arial" w:hAnsi="Arial" w:cs="Arial"/>
                <w:sz w:val="22"/>
                <w:szCs w:val="22"/>
              </w:rPr>
              <w:t>sq.m</w:t>
            </w:r>
            <w:proofErr w:type="spellEnd"/>
            <w:r w:rsidRPr="00052430">
              <w:rPr>
                <w:rFonts w:ascii="Arial" w:hAnsi="Arial" w:cs="Arial"/>
                <w:sz w:val="22"/>
                <w:szCs w:val="22"/>
              </w:rPr>
              <w:t>.)</w:t>
            </w:r>
          </w:p>
        </w:tc>
        <w:tc>
          <w:tcPr>
            <w:tcW w:w="1275" w:type="dxa"/>
            <w:tcBorders>
              <w:bottom w:val="single" w:sz="18" w:space="0" w:color="auto"/>
            </w:tcBorders>
            <w:shd w:val="clear" w:color="auto" w:fill="D9D9D9"/>
          </w:tcPr>
          <w:p w:rsidR="00895188" w:rsidRPr="00052430" w:rsidRDefault="00895188" w:rsidP="00895188">
            <w:pPr>
              <w:rPr>
                <w:rFonts w:ascii="Arial" w:hAnsi="Arial" w:cs="Arial"/>
                <w:b/>
                <w:sz w:val="22"/>
                <w:szCs w:val="22"/>
              </w:rPr>
            </w:pPr>
            <w:r w:rsidRPr="00052430">
              <w:rPr>
                <w:rFonts w:ascii="Arial" w:hAnsi="Arial" w:cs="Arial"/>
                <w:b/>
                <w:sz w:val="22"/>
                <w:szCs w:val="22"/>
              </w:rPr>
              <w:t xml:space="preserve">2 </w:t>
            </w:r>
            <w:proofErr w:type="spellStart"/>
            <w:r w:rsidRPr="00052430">
              <w:rPr>
                <w:rFonts w:ascii="Arial" w:hAnsi="Arial" w:cs="Arial"/>
                <w:b/>
                <w:sz w:val="22"/>
                <w:szCs w:val="22"/>
              </w:rPr>
              <w:t>storey</w:t>
            </w:r>
            <w:proofErr w:type="spellEnd"/>
          </w:p>
          <w:p w:rsidR="00895188" w:rsidRPr="00052430" w:rsidRDefault="00895188" w:rsidP="00895188">
            <w:pPr>
              <w:rPr>
                <w:rFonts w:ascii="Arial" w:hAnsi="Arial" w:cs="Arial"/>
                <w:b/>
                <w:sz w:val="22"/>
                <w:szCs w:val="22"/>
              </w:rPr>
            </w:pPr>
            <w:r w:rsidRPr="00052430">
              <w:rPr>
                <w:rFonts w:ascii="Arial" w:hAnsi="Arial" w:cs="Arial"/>
                <w:b/>
                <w:sz w:val="22"/>
                <w:szCs w:val="22"/>
              </w:rPr>
              <w:t xml:space="preserve">Dwellings </w:t>
            </w:r>
            <w:r w:rsidRPr="00052430">
              <w:rPr>
                <w:rFonts w:ascii="Arial" w:hAnsi="Arial" w:cs="Arial"/>
                <w:sz w:val="22"/>
                <w:szCs w:val="22"/>
              </w:rPr>
              <w:t>(</w:t>
            </w:r>
            <w:proofErr w:type="spellStart"/>
            <w:r w:rsidRPr="00052430">
              <w:rPr>
                <w:rFonts w:ascii="Arial" w:hAnsi="Arial" w:cs="Arial"/>
                <w:sz w:val="22"/>
                <w:szCs w:val="22"/>
              </w:rPr>
              <w:t>sq.m</w:t>
            </w:r>
            <w:proofErr w:type="spellEnd"/>
            <w:r w:rsidRPr="00052430">
              <w:rPr>
                <w:rFonts w:ascii="Arial" w:hAnsi="Arial" w:cs="Arial"/>
                <w:sz w:val="22"/>
                <w:szCs w:val="22"/>
              </w:rPr>
              <w:t>.)</w:t>
            </w:r>
          </w:p>
        </w:tc>
        <w:tc>
          <w:tcPr>
            <w:tcW w:w="1276" w:type="dxa"/>
            <w:tcBorders>
              <w:bottom w:val="single" w:sz="18" w:space="0" w:color="auto"/>
            </w:tcBorders>
            <w:shd w:val="clear" w:color="auto" w:fill="D9D9D9"/>
          </w:tcPr>
          <w:p w:rsidR="00895188" w:rsidRPr="00052430" w:rsidRDefault="00895188" w:rsidP="00895188">
            <w:pPr>
              <w:rPr>
                <w:rFonts w:ascii="Arial" w:hAnsi="Arial" w:cs="Arial"/>
                <w:b/>
                <w:sz w:val="22"/>
                <w:szCs w:val="22"/>
              </w:rPr>
            </w:pPr>
            <w:r w:rsidRPr="00052430">
              <w:rPr>
                <w:rFonts w:ascii="Arial" w:hAnsi="Arial" w:cs="Arial"/>
                <w:b/>
                <w:sz w:val="22"/>
                <w:szCs w:val="22"/>
              </w:rPr>
              <w:t xml:space="preserve">3 </w:t>
            </w:r>
            <w:proofErr w:type="spellStart"/>
            <w:r w:rsidRPr="00052430">
              <w:rPr>
                <w:rFonts w:ascii="Arial" w:hAnsi="Arial" w:cs="Arial"/>
                <w:b/>
                <w:sz w:val="22"/>
                <w:szCs w:val="22"/>
              </w:rPr>
              <w:t>storey</w:t>
            </w:r>
            <w:proofErr w:type="spellEnd"/>
          </w:p>
          <w:p w:rsidR="00895188" w:rsidRPr="00052430" w:rsidRDefault="00895188" w:rsidP="00895188">
            <w:pPr>
              <w:rPr>
                <w:rFonts w:ascii="Arial" w:hAnsi="Arial" w:cs="Arial"/>
                <w:b/>
                <w:sz w:val="22"/>
                <w:szCs w:val="22"/>
              </w:rPr>
            </w:pPr>
            <w:r w:rsidRPr="00052430">
              <w:rPr>
                <w:rFonts w:ascii="Arial" w:hAnsi="Arial" w:cs="Arial"/>
                <w:b/>
                <w:sz w:val="22"/>
                <w:szCs w:val="22"/>
              </w:rPr>
              <w:t xml:space="preserve">Dwellings </w:t>
            </w:r>
            <w:r w:rsidRPr="00052430">
              <w:rPr>
                <w:rFonts w:ascii="Arial" w:hAnsi="Arial" w:cs="Arial"/>
                <w:sz w:val="22"/>
                <w:szCs w:val="22"/>
              </w:rPr>
              <w:t>(</w:t>
            </w:r>
            <w:proofErr w:type="spellStart"/>
            <w:r w:rsidRPr="00052430">
              <w:rPr>
                <w:rFonts w:ascii="Arial" w:hAnsi="Arial" w:cs="Arial"/>
                <w:sz w:val="22"/>
                <w:szCs w:val="22"/>
              </w:rPr>
              <w:t>sq.m</w:t>
            </w:r>
            <w:proofErr w:type="spellEnd"/>
            <w:r w:rsidRPr="00052430">
              <w:rPr>
                <w:rFonts w:ascii="Arial" w:hAnsi="Arial" w:cs="Arial"/>
                <w:sz w:val="22"/>
                <w:szCs w:val="22"/>
              </w:rPr>
              <w:t>.)</w:t>
            </w:r>
          </w:p>
        </w:tc>
        <w:tc>
          <w:tcPr>
            <w:tcW w:w="1276" w:type="dxa"/>
            <w:tcBorders>
              <w:bottom w:val="single" w:sz="18" w:space="0" w:color="auto"/>
            </w:tcBorders>
            <w:shd w:val="clear" w:color="auto" w:fill="D9D9D9"/>
          </w:tcPr>
          <w:p w:rsidR="00895188" w:rsidRPr="00052430" w:rsidRDefault="00895188" w:rsidP="00895188">
            <w:pPr>
              <w:rPr>
                <w:rFonts w:ascii="Arial" w:hAnsi="Arial" w:cs="Arial"/>
                <w:b/>
                <w:sz w:val="22"/>
                <w:szCs w:val="22"/>
              </w:rPr>
            </w:pPr>
            <w:r w:rsidRPr="00052430">
              <w:rPr>
                <w:rFonts w:ascii="Arial" w:hAnsi="Arial" w:cs="Arial"/>
                <w:b/>
                <w:sz w:val="22"/>
                <w:szCs w:val="22"/>
              </w:rPr>
              <w:t xml:space="preserve">Built-in storage* </w:t>
            </w:r>
            <w:r w:rsidRPr="00052430">
              <w:rPr>
                <w:rFonts w:ascii="Arial" w:hAnsi="Arial" w:cs="Arial"/>
                <w:sz w:val="22"/>
                <w:szCs w:val="22"/>
              </w:rPr>
              <w:t>(</w:t>
            </w:r>
            <w:proofErr w:type="spellStart"/>
            <w:r w:rsidRPr="00052430">
              <w:rPr>
                <w:rFonts w:ascii="Arial" w:hAnsi="Arial" w:cs="Arial"/>
                <w:sz w:val="22"/>
                <w:szCs w:val="22"/>
              </w:rPr>
              <w:t>sq.m</w:t>
            </w:r>
            <w:proofErr w:type="spellEnd"/>
            <w:r w:rsidRPr="00052430">
              <w:rPr>
                <w:rFonts w:ascii="Arial" w:hAnsi="Arial" w:cs="Arial"/>
                <w:sz w:val="22"/>
                <w:szCs w:val="22"/>
              </w:rPr>
              <w:t>.)</w:t>
            </w:r>
            <w:r w:rsidRPr="00052430">
              <w:rPr>
                <w:rFonts w:ascii="Arial" w:hAnsi="Arial" w:cs="Arial"/>
                <w:b/>
                <w:sz w:val="22"/>
                <w:szCs w:val="22"/>
              </w:rPr>
              <w:t xml:space="preserve"> </w:t>
            </w:r>
          </w:p>
        </w:tc>
      </w:tr>
      <w:tr w:rsidR="00895188" w:rsidRPr="00052430" w:rsidTr="00895188">
        <w:tc>
          <w:tcPr>
            <w:tcW w:w="1280" w:type="dxa"/>
            <w:vMerge w:val="restart"/>
            <w:tcBorders>
              <w:top w:val="single" w:sz="18" w:space="0" w:color="auto"/>
            </w:tcBorders>
            <w:shd w:val="clear" w:color="auto" w:fill="auto"/>
          </w:tcPr>
          <w:p w:rsidR="00895188" w:rsidRPr="00052430" w:rsidRDefault="00895188" w:rsidP="00895188">
            <w:pPr>
              <w:rPr>
                <w:rFonts w:ascii="Arial" w:hAnsi="Arial" w:cs="Arial"/>
                <w:sz w:val="22"/>
                <w:szCs w:val="22"/>
              </w:rPr>
            </w:pPr>
            <w:r w:rsidRPr="00052430">
              <w:rPr>
                <w:rFonts w:ascii="Arial" w:hAnsi="Arial" w:cs="Arial"/>
                <w:sz w:val="22"/>
                <w:szCs w:val="22"/>
              </w:rPr>
              <w:t>1</w:t>
            </w:r>
          </w:p>
        </w:tc>
        <w:tc>
          <w:tcPr>
            <w:tcW w:w="1354" w:type="dxa"/>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w:t>
            </w:r>
          </w:p>
        </w:tc>
        <w:tc>
          <w:tcPr>
            <w:tcW w:w="1418" w:type="dxa"/>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39 (</w:t>
            </w:r>
            <w:proofErr w:type="gramStart"/>
            <w:r w:rsidRPr="00052430">
              <w:rPr>
                <w:rFonts w:ascii="Arial" w:hAnsi="Arial" w:cs="Arial"/>
                <w:sz w:val="22"/>
                <w:szCs w:val="22"/>
              </w:rPr>
              <w:t>37)*</w:t>
            </w:r>
            <w:proofErr w:type="gramEnd"/>
            <w:r w:rsidRPr="00052430">
              <w:rPr>
                <w:rFonts w:ascii="Arial" w:hAnsi="Arial" w:cs="Arial"/>
                <w:sz w:val="22"/>
                <w:szCs w:val="22"/>
              </w:rPr>
              <w:t>*</w:t>
            </w:r>
          </w:p>
        </w:tc>
        <w:tc>
          <w:tcPr>
            <w:tcW w:w="1275" w:type="dxa"/>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n/a</w:t>
            </w:r>
          </w:p>
        </w:tc>
        <w:tc>
          <w:tcPr>
            <w:tcW w:w="1276" w:type="dxa"/>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n/a</w:t>
            </w:r>
          </w:p>
        </w:tc>
        <w:tc>
          <w:tcPr>
            <w:tcW w:w="1276" w:type="dxa"/>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w:t>
            </w:r>
          </w:p>
        </w:tc>
      </w:tr>
      <w:tr w:rsidR="00895188" w:rsidRPr="00052430" w:rsidTr="00895188">
        <w:tc>
          <w:tcPr>
            <w:tcW w:w="1280" w:type="dxa"/>
            <w:vMerge/>
            <w:tcBorders>
              <w:bottom w:val="single" w:sz="18" w:space="0" w:color="auto"/>
            </w:tcBorders>
            <w:shd w:val="clear" w:color="auto" w:fill="auto"/>
          </w:tcPr>
          <w:p w:rsidR="00895188" w:rsidRPr="00052430" w:rsidRDefault="00895188" w:rsidP="00895188">
            <w:pPr>
              <w:rPr>
                <w:rFonts w:ascii="Arial" w:hAnsi="Arial" w:cs="Arial"/>
                <w:sz w:val="22"/>
                <w:szCs w:val="22"/>
              </w:rPr>
            </w:pPr>
          </w:p>
        </w:tc>
        <w:tc>
          <w:tcPr>
            <w:tcW w:w="1354" w:type="dxa"/>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2</w:t>
            </w:r>
          </w:p>
        </w:tc>
        <w:tc>
          <w:tcPr>
            <w:tcW w:w="1418" w:type="dxa"/>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50</w:t>
            </w:r>
          </w:p>
        </w:tc>
        <w:tc>
          <w:tcPr>
            <w:tcW w:w="1275" w:type="dxa"/>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58</w:t>
            </w:r>
          </w:p>
        </w:tc>
        <w:tc>
          <w:tcPr>
            <w:tcW w:w="1276" w:type="dxa"/>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n/a</w:t>
            </w:r>
          </w:p>
        </w:tc>
        <w:tc>
          <w:tcPr>
            <w:tcW w:w="1276" w:type="dxa"/>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1.5</w:t>
            </w:r>
          </w:p>
        </w:tc>
      </w:tr>
      <w:tr w:rsidR="00895188" w:rsidRPr="00052430" w:rsidTr="00895188">
        <w:tc>
          <w:tcPr>
            <w:tcW w:w="1280" w:type="dxa"/>
            <w:vMerge w:val="restart"/>
            <w:tcBorders>
              <w:top w:val="single" w:sz="18" w:space="0" w:color="auto"/>
            </w:tcBorders>
            <w:shd w:val="clear" w:color="auto" w:fill="auto"/>
          </w:tcPr>
          <w:p w:rsidR="00895188" w:rsidRPr="00052430" w:rsidRDefault="00895188" w:rsidP="00895188">
            <w:pPr>
              <w:rPr>
                <w:rFonts w:ascii="Arial" w:hAnsi="Arial" w:cs="Arial"/>
                <w:sz w:val="22"/>
                <w:szCs w:val="22"/>
              </w:rPr>
            </w:pPr>
            <w:r w:rsidRPr="00052430">
              <w:rPr>
                <w:rFonts w:ascii="Arial" w:hAnsi="Arial" w:cs="Arial"/>
                <w:sz w:val="22"/>
                <w:szCs w:val="22"/>
              </w:rPr>
              <w:t>2</w:t>
            </w:r>
          </w:p>
        </w:tc>
        <w:tc>
          <w:tcPr>
            <w:tcW w:w="1354"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3</w:t>
            </w:r>
          </w:p>
        </w:tc>
        <w:tc>
          <w:tcPr>
            <w:tcW w:w="1418"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61</w:t>
            </w:r>
          </w:p>
        </w:tc>
        <w:tc>
          <w:tcPr>
            <w:tcW w:w="1275"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70</w:t>
            </w:r>
          </w:p>
        </w:tc>
        <w:tc>
          <w:tcPr>
            <w:tcW w:w="1276"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n/a</w:t>
            </w:r>
          </w:p>
        </w:tc>
        <w:tc>
          <w:tcPr>
            <w:tcW w:w="1276" w:type="dxa"/>
            <w:vMerge w:val="restart"/>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2</w:t>
            </w:r>
          </w:p>
        </w:tc>
      </w:tr>
      <w:tr w:rsidR="00895188" w:rsidRPr="00052430" w:rsidTr="00895188">
        <w:tc>
          <w:tcPr>
            <w:tcW w:w="1280" w:type="dxa"/>
            <w:vMerge/>
            <w:tcBorders>
              <w:bottom w:val="single" w:sz="18" w:space="0" w:color="auto"/>
            </w:tcBorders>
            <w:shd w:val="clear" w:color="auto" w:fill="auto"/>
          </w:tcPr>
          <w:p w:rsidR="00895188" w:rsidRPr="00052430" w:rsidRDefault="00895188" w:rsidP="00895188">
            <w:pPr>
              <w:rPr>
                <w:rFonts w:ascii="Arial" w:hAnsi="Arial" w:cs="Arial"/>
                <w:sz w:val="22"/>
                <w:szCs w:val="22"/>
              </w:rPr>
            </w:pPr>
          </w:p>
        </w:tc>
        <w:tc>
          <w:tcPr>
            <w:tcW w:w="1354"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4</w:t>
            </w:r>
          </w:p>
        </w:tc>
        <w:tc>
          <w:tcPr>
            <w:tcW w:w="1418"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70</w:t>
            </w:r>
          </w:p>
        </w:tc>
        <w:tc>
          <w:tcPr>
            <w:tcW w:w="1275"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79</w:t>
            </w:r>
          </w:p>
        </w:tc>
        <w:tc>
          <w:tcPr>
            <w:tcW w:w="1276"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n/a</w:t>
            </w:r>
          </w:p>
        </w:tc>
        <w:tc>
          <w:tcPr>
            <w:tcW w:w="1276" w:type="dxa"/>
            <w:vMerge/>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p>
        </w:tc>
      </w:tr>
      <w:tr w:rsidR="00895188" w:rsidRPr="00052430" w:rsidTr="00895188">
        <w:tc>
          <w:tcPr>
            <w:tcW w:w="1280" w:type="dxa"/>
            <w:vMerge w:val="restart"/>
            <w:tcBorders>
              <w:top w:val="single" w:sz="18" w:space="0" w:color="auto"/>
            </w:tcBorders>
            <w:shd w:val="clear" w:color="auto" w:fill="auto"/>
          </w:tcPr>
          <w:p w:rsidR="00895188" w:rsidRPr="00052430" w:rsidRDefault="00895188" w:rsidP="00895188">
            <w:pPr>
              <w:rPr>
                <w:rFonts w:ascii="Arial" w:hAnsi="Arial" w:cs="Arial"/>
                <w:sz w:val="22"/>
                <w:szCs w:val="22"/>
              </w:rPr>
            </w:pPr>
            <w:r w:rsidRPr="00052430">
              <w:rPr>
                <w:rFonts w:ascii="Arial" w:hAnsi="Arial" w:cs="Arial"/>
                <w:sz w:val="22"/>
                <w:szCs w:val="22"/>
              </w:rPr>
              <w:t>3</w:t>
            </w:r>
          </w:p>
        </w:tc>
        <w:tc>
          <w:tcPr>
            <w:tcW w:w="1354"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4</w:t>
            </w:r>
          </w:p>
        </w:tc>
        <w:tc>
          <w:tcPr>
            <w:tcW w:w="1418"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74</w:t>
            </w:r>
          </w:p>
        </w:tc>
        <w:tc>
          <w:tcPr>
            <w:tcW w:w="1275"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84</w:t>
            </w:r>
          </w:p>
        </w:tc>
        <w:tc>
          <w:tcPr>
            <w:tcW w:w="1276"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90</w:t>
            </w:r>
          </w:p>
        </w:tc>
        <w:tc>
          <w:tcPr>
            <w:tcW w:w="1276" w:type="dxa"/>
            <w:vMerge w:val="restart"/>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2.5</w:t>
            </w:r>
          </w:p>
        </w:tc>
      </w:tr>
      <w:tr w:rsidR="00895188" w:rsidRPr="00052430" w:rsidTr="00895188">
        <w:tc>
          <w:tcPr>
            <w:tcW w:w="1280" w:type="dxa"/>
            <w:vMerge/>
            <w:shd w:val="clear" w:color="auto" w:fill="auto"/>
          </w:tcPr>
          <w:p w:rsidR="00895188" w:rsidRPr="00052430" w:rsidRDefault="00895188" w:rsidP="00895188">
            <w:pPr>
              <w:rPr>
                <w:rFonts w:ascii="Arial" w:hAnsi="Arial" w:cs="Arial"/>
                <w:sz w:val="22"/>
                <w:szCs w:val="22"/>
              </w:rPr>
            </w:pPr>
          </w:p>
        </w:tc>
        <w:tc>
          <w:tcPr>
            <w:tcW w:w="1354"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5</w:t>
            </w:r>
          </w:p>
        </w:tc>
        <w:tc>
          <w:tcPr>
            <w:tcW w:w="1418"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86</w:t>
            </w:r>
          </w:p>
        </w:tc>
        <w:tc>
          <w:tcPr>
            <w:tcW w:w="1275"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93</w:t>
            </w:r>
          </w:p>
        </w:tc>
        <w:tc>
          <w:tcPr>
            <w:tcW w:w="1276"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99</w:t>
            </w:r>
          </w:p>
        </w:tc>
        <w:tc>
          <w:tcPr>
            <w:tcW w:w="1276" w:type="dxa"/>
            <w:vMerge/>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p>
        </w:tc>
      </w:tr>
      <w:tr w:rsidR="00895188" w:rsidRPr="00052430" w:rsidTr="00895188">
        <w:tc>
          <w:tcPr>
            <w:tcW w:w="1280" w:type="dxa"/>
            <w:vMerge/>
            <w:tcBorders>
              <w:bottom w:val="single" w:sz="18" w:space="0" w:color="auto"/>
            </w:tcBorders>
            <w:shd w:val="clear" w:color="auto" w:fill="auto"/>
          </w:tcPr>
          <w:p w:rsidR="00895188" w:rsidRPr="00052430" w:rsidRDefault="00895188" w:rsidP="00895188">
            <w:pPr>
              <w:rPr>
                <w:rFonts w:ascii="Arial" w:hAnsi="Arial" w:cs="Arial"/>
                <w:sz w:val="22"/>
                <w:szCs w:val="22"/>
              </w:rPr>
            </w:pPr>
          </w:p>
        </w:tc>
        <w:tc>
          <w:tcPr>
            <w:tcW w:w="1354"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6</w:t>
            </w:r>
          </w:p>
        </w:tc>
        <w:tc>
          <w:tcPr>
            <w:tcW w:w="1418"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95</w:t>
            </w:r>
          </w:p>
        </w:tc>
        <w:tc>
          <w:tcPr>
            <w:tcW w:w="1275"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102</w:t>
            </w:r>
          </w:p>
        </w:tc>
        <w:tc>
          <w:tcPr>
            <w:tcW w:w="1276"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108</w:t>
            </w:r>
          </w:p>
        </w:tc>
        <w:tc>
          <w:tcPr>
            <w:tcW w:w="1276" w:type="dxa"/>
            <w:vMerge/>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p>
        </w:tc>
      </w:tr>
      <w:tr w:rsidR="00895188" w:rsidRPr="00052430" w:rsidTr="00895188">
        <w:tc>
          <w:tcPr>
            <w:tcW w:w="1280" w:type="dxa"/>
            <w:vMerge w:val="restart"/>
            <w:tcBorders>
              <w:top w:val="single" w:sz="18" w:space="0" w:color="auto"/>
            </w:tcBorders>
            <w:shd w:val="clear" w:color="auto" w:fill="auto"/>
          </w:tcPr>
          <w:p w:rsidR="00895188" w:rsidRPr="00052430" w:rsidRDefault="00895188" w:rsidP="00895188">
            <w:pPr>
              <w:rPr>
                <w:rFonts w:ascii="Arial" w:hAnsi="Arial" w:cs="Arial"/>
                <w:sz w:val="22"/>
                <w:szCs w:val="22"/>
              </w:rPr>
            </w:pPr>
            <w:r w:rsidRPr="00052430">
              <w:rPr>
                <w:rFonts w:ascii="Arial" w:hAnsi="Arial" w:cs="Arial"/>
                <w:sz w:val="22"/>
                <w:szCs w:val="22"/>
              </w:rPr>
              <w:t>4</w:t>
            </w:r>
          </w:p>
        </w:tc>
        <w:tc>
          <w:tcPr>
            <w:tcW w:w="1354"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5</w:t>
            </w:r>
          </w:p>
        </w:tc>
        <w:tc>
          <w:tcPr>
            <w:tcW w:w="1418"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90</w:t>
            </w:r>
          </w:p>
        </w:tc>
        <w:tc>
          <w:tcPr>
            <w:tcW w:w="1275"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97</w:t>
            </w:r>
          </w:p>
        </w:tc>
        <w:tc>
          <w:tcPr>
            <w:tcW w:w="1276"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103</w:t>
            </w:r>
          </w:p>
        </w:tc>
        <w:tc>
          <w:tcPr>
            <w:tcW w:w="1276" w:type="dxa"/>
            <w:vMerge w:val="restart"/>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3</w:t>
            </w:r>
          </w:p>
        </w:tc>
      </w:tr>
      <w:tr w:rsidR="00895188" w:rsidRPr="00052430" w:rsidTr="00895188">
        <w:tc>
          <w:tcPr>
            <w:tcW w:w="1280" w:type="dxa"/>
            <w:vMerge/>
            <w:shd w:val="clear" w:color="auto" w:fill="auto"/>
          </w:tcPr>
          <w:p w:rsidR="00895188" w:rsidRPr="00052430" w:rsidRDefault="00895188" w:rsidP="00895188">
            <w:pPr>
              <w:rPr>
                <w:rFonts w:ascii="Arial" w:hAnsi="Arial" w:cs="Arial"/>
                <w:sz w:val="22"/>
                <w:szCs w:val="22"/>
              </w:rPr>
            </w:pPr>
          </w:p>
        </w:tc>
        <w:tc>
          <w:tcPr>
            <w:tcW w:w="1354"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6</w:t>
            </w:r>
          </w:p>
        </w:tc>
        <w:tc>
          <w:tcPr>
            <w:tcW w:w="1418"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99</w:t>
            </w:r>
          </w:p>
        </w:tc>
        <w:tc>
          <w:tcPr>
            <w:tcW w:w="1275"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106</w:t>
            </w:r>
          </w:p>
        </w:tc>
        <w:tc>
          <w:tcPr>
            <w:tcW w:w="1276"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112</w:t>
            </w:r>
          </w:p>
        </w:tc>
        <w:tc>
          <w:tcPr>
            <w:tcW w:w="1276" w:type="dxa"/>
            <w:vMerge/>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p>
        </w:tc>
      </w:tr>
      <w:tr w:rsidR="00895188" w:rsidRPr="00052430" w:rsidTr="00895188">
        <w:tc>
          <w:tcPr>
            <w:tcW w:w="1280" w:type="dxa"/>
            <w:vMerge/>
            <w:shd w:val="clear" w:color="auto" w:fill="auto"/>
          </w:tcPr>
          <w:p w:rsidR="00895188" w:rsidRPr="00052430" w:rsidRDefault="00895188" w:rsidP="00895188">
            <w:pPr>
              <w:rPr>
                <w:rFonts w:ascii="Arial" w:hAnsi="Arial" w:cs="Arial"/>
                <w:sz w:val="22"/>
                <w:szCs w:val="22"/>
              </w:rPr>
            </w:pPr>
          </w:p>
        </w:tc>
        <w:tc>
          <w:tcPr>
            <w:tcW w:w="1354"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7</w:t>
            </w:r>
          </w:p>
        </w:tc>
        <w:tc>
          <w:tcPr>
            <w:tcW w:w="1418"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108</w:t>
            </w:r>
          </w:p>
        </w:tc>
        <w:tc>
          <w:tcPr>
            <w:tcW w:w="1275"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115</w:t>
            </w:r>
          </w:p>
        </w:tc>
        <w:tc>
          <w:tcPr>
            <w:tcW w:w="1276"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121</w:t>
            </w:r>
          </w:p>
        </w:tc>
        <w:tc>
          <w:tcPr>
            <w:tcW w:w="1276" w:type="dxa"/>
            <w:vMerge/>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p>
        </w:tc>
      </w:tr>
      <w:tr w:rsidR="00895188" w:rsidRPr="00052430" w:rsidTr="00895188">
        <w:tc>
          <w:tcPr>
            <w:tcW w:w="1280" w:type="dxa"/>
            <w:vMerge/>
            <w:tcBorders>
              <w:bottom w:val="single" w:sz="18" w:space="0" w:color="auto"/>
            </w:tcBorders>
            <w:shd w:val="clear" w:color="auto" w:fill="auto"/>
          </w:tcPr>
          <w:p w:rsidR="00895188" w:rsidRPr="00052430" w:rsidRDefault="00895188" w:rsidP="00895188">
            <w:pPr>
              <w:rPr>
                <w:rFonts w:ascii="Arial" w:hAnsi="Arial" w:cs="Arial"/>
                <w:sz w:val="22"/>
                <w:szCs w:val="22"/>
              </w:rPr>
            </w:pPr>
          </w:p>
        </w:tc>
        <w:tc>
          <w:tcPr>
            <w:tcW w:w="1354"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8</w:t>
            </w:r>
          </w:p>
        </w:tc>
        <w:tc>
          <w:tcPr>
            <w:tcW w:w="1418"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117</w:t>
            </w:r>
          </w:p>
        </w:tc>
        <w:tc>
          <w:tcPr>
            <w:tcW w:w="1275"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124</w:t>
            </w:r>
          </w:p>
        </w:tc>
        <w:tc>
          <w:tcPr>
            <w:tcW w:w="1276"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130</w:t>
            </w:r>
          </w:p>
        </w:tc>
        <w:tc>
          <w:tcPr>
            <w:tcW w:w="1276" w:type="dxa"/>
            <w:vMerge/>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p>
        </w:tc>
      </w:tr>
      <w:tr w:rsidR="00895188" w:rsidRPr="00052430" w:rsidTr="00895188">
        <w:tc>
          <w:tcPr>
            <w:tcW w:w="1280" w:type="dxa"/>
            <w:vMerge w:val="restart"/>
            <w:tcBorders>
              <w:top w:val="single" w:sz="18" w:space="0" w:color="auto"/>
            </w:tcBorders>
            <w:shd w:val="clear" w:color="auto" w:fill="auto"/>
          </w:tcPr>
          <w:p w:rsidR="00895188" w:rsidRPr="00052430" w:rsidRDefault="00895188" w:rsidP="00895188">
            <w:pPr>
              <w:rPr>
                <w:rFonts w:ascii="Arial" w:hAnsi="Arial" w:cs="Arial"/>
                <w:sz w:val="22"/>
                <w:szCs w:val="22"/>
              </w:rPr>
            </w:pPr>
            <w:r w:rsidRPr="00052430">
              <w:rPr>
                <w:rFonts w:ascii="Arial" w:hAnsi="Arial" w:cs="Arial"/>
                <w:sz w:val="22"/>
                <w:szCs w:val="22"/>
              </w:rPr>
              <w:t>5</w:t>
            </w:r>
          </w:p>
        </w:tc>
        <w:tc>
          <w:tcPr>
            <w:tcW w:w="1354"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6</w:t>
            </w:r>
          </w:p>
        </w:tc>
        <w:tc>
          <w:tcPr>
            <w:tcW w:w="1418"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103</w:t>
            </w:r>
          </w:p>
        </w:tc>
        <w:tc>
          <w:tcPr>
            <w:tcW w:w="1275"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110</w:t>
            </w:r>
          </w:p>
        </w:tc>
        <w:tc>
          <w:tcPr>
            <w:tcW w:w="1276"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116</w:t>
            </w:r>
          </w:p>
        </w:tc>
        <w:tc>
          <w:tcPr>
            <w:tcW w:w="1276" w:type="dxa"/>
            <w:vMerge w:val="restart"/>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3.5</w:t>
            </w:r>
          </w:p>
        </w:tc>
      </w:tr>
      <w:tr w:rsidR="00895188" w:rsidRPr="00052430" w:rsidTr="00895188">
        <w:tc>
          <w:tcPr>
            <w:tcW w:w="1280" w:type="dxa"/>
            <w:vMerge/>
            <w:shd w:val="clear" w:color="auto" w:fill="auto"/>
          </w:tcPr>
          <w:p w:rsidR="00895188" w:rsidRPr="00052430" w:rsidRDefault="00895188" w:rsidP="00895188">
            <w:pPr>
              <w:rPr>
                <w:rFonts w:ascii="Arial" w:hAnsi="Arial" w:cs="Arial"/>
                <w:sz w:val="22"/>
                <w:szCs w:val="22"/>
              </w:rPr>
            </w:pPr>
          </w:p>
        </w:tc>
        <w:tc>
          <w:tcPr>
            <w:tcW w:w="1354"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7</w:t>
            </w:r>
          </w:p>
        </w:tc>
        <w:tc>
          <w:tcPr>
            <w:tcW w:w="1418"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112</w:t>
            </w:r>
          </w:p>
        </w:tc>
        <w:tc>
          <w:tcPr>
            <w:tcW w:w="1275"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119</w:t>
            </w:r>
          </w:p>
        </w:tc>
        <w:tc>
          <w:tcPr>
            <w:tcW w:w="1276" w:type="dxa"/>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125</w:t>
            </w:r>
          </w:p>
        </w:tc>
        <w:tc>
          <w:tcPr>
            <w:tcW w:w="1276" w:type="dxa"/>
            <w:vMerge/>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p>
        </w:tc>
      </w:tr>
      <w:tr w:rsidR="00895188" w:rsidRPr="00052430" w:rsidTr="00895188">
        <w:tc>
          <w:tcPr>
            <w:tcW w:w="1280" w:type="dxa"/>
            <w:vMerge/>
            <w:tcBorders>
              <w:bottom w:val="single" w:sz="18" w:space="0" w:color="auto"/>
            </w:tcBorders>
            <w:shd w:val="clear" w:color="auto" w:fill="auto"/>
          </w:tcPr>
          <w:p w:rsidR="00895188" w:rsidRPr="00052430" w:rsidRDefault="00895188" w:rsidP="00895188">
            <w:pPr>
              <w:rPr>
                <w:rFonts w:ascii="Arial" w:hAnsi="Arial" w:cs="Arial"/>
                <w:sz w:val="22"/>
                <w:szCs w:val="22"/>
              </w:rPr>
            </w:pPr>
          </w:p>
        </w:tc>
        <w:tc>
          <w:tcPr>
            <w:tcW w:w="1354"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8</w:t>
            </w:r>
          </w:p>
        </w:tc>
        <w:tc>
          <w:tcPr>
            <w:tcW w:w="1418"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121</w:t>
            </w:r>
          </w:p>
        </w:tc>
        <w:tc>
          <w:tcPr>
            <w:tcW w:w="1275"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128</w:t>
            </w:r>
          </w:p>
        </w:tc>
        <w:tc>
          <w:tcPr>
            <w:tcW w:w="1276" w:type="dxa"/>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134</w:t>
            </w:r>
          </w:p>
        </w:tc>
        <w:tc>
          <w:tcPr>
            <w:tcW w:w="1276" w:type="dxa"/>
            <w:vMerge/>
            <w:tcBorders>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p>
        </w:tc>
      </w:tr>
      <w:tr w:rsidR="00895188" w:rsidRPr="00052430" w:rsidTr="00895188">
        <w:tc>
          <w:tcPr>
            <w:tcW w:w="1280" w:type="dxa"/>
            <w:vMerge w:val="restart"/>
            <w:tcBorders>
              <w:top w:val="single" w:sz="18" w:space="0" w:color="auto"/>
            </w:tcBorders>
            <w:shd w:val="clear" w:color="auto" w:fill="auto"/>
          </w:tcPr>
          <w:p w:rsidR="00895188" w:rsidRPr="00052430" w:rsidRDefault="00895188" w:rsidP="00895188">
            <w:pPr>
              <w:rPr>
                <w:rFonts w:ascii="Arial" w:hAnsi="Arial" w:cs="Arial"/>
                <w:sz w:val="22"/>
                <w:szCs w:val="22"/>
              </w:rPr>
            </w:pPr>
            <w:r w:rsidRPr="00052430">
              <w:rPr>
                <w:rFonts w:ascii="Arial" w:hAnsi="Arial" w:cs="Arial"/>
                <w:sz w:val="22"/>
                <w:szCs w:val="22"/>
              </w:rPr>
              <w:t>6</w:t>
            </w:r>
          </w:p>
        </w:tc>
        <w:tc>
          <w:tcPr>
            <w:tcW w:w="1354"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7</w:t>
            </w:r>
          </w:p>
        </w:tc>
        <w:tc>
          <w:tcPr>
            <w:tcW w:w="1418"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116</w:t>
            </w:r>
          </w:p>
        </w:tc>
        <w:tc>
          <w:tcPr>
            <w:tcW w:w="1275"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123</w:t>
            </w:r>
          </w:p>
        </w:tc>
        <w:tc>
          <w:tcPr>
            <w:tcW w:w="1276" w:type="dxa"/>
            <w:tcBorders>
              <w:top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129</w:t>
            </w:r>
          </w:p>
        </w:tc>
        <w:tc>
          <w:tcPr>
            <w:tcW w:w="1276" w:type="dxa"/>
            <w:vMerge w:val="restart"/>
            <w:tcBorders>
              <w:top w:val="single" w:sz="18" w:space="0" w:color="auto"/>
              <w:bottom w:val="single" w:sz="18" w:space="0" w:color="auto"/>
            </w:tcBorders>
            <w:shd w:val="clear" w:color="auto" w:fill="auto"/>
            <w:vAlign w:val="center"/>
          </w:tcPr>
          <w:p w:rsidR="00895188" w:rsidRPr="00052430" w:rsidRDefault="00895188" w:rsidP="00895188">
            <w:pPr>
              <w:jc w:val="center"/>
              <w:rPr>
                <w:rFonts w:ascii="Arial" w:hAnsi="Arial" w:cs="Arial"/>
                <w:sz w:val="22"/>
                <w:szCs w:val="22"/>
              </w:rPr>
            </w:pPr>
            <w:r w:rsidRPr="00052430">
              <w:rPr>
                <w:rFonts w:ascii="Arial" w:hAnsi="Arial" w:cs="Arial"/>
                <w:sz w:val="22"/>
                <w:szCs w:val="22"/>
              </w:rPr>
              <w:t>4</w:t>
            </w:r>
          </w:p>
        </w:tc>
      </w:tr>
      <w:tr w:rsidR="00895188" w:rsidRPr="00052430" w:rsidTr="00895188">
        <w:tc>
          <w:tcPr>
            <w:tcW w:w="1280" w:type="dxa"/>
            <w:vMerge/>
            <w:tcBorders>
              <w:bottom w:val="single" w:sz="18" w:space="0" w:color="auto"/>
            </w:tcBorders>
            <w:shd w:val="clear" w:color="auto" w:fill="auto"/>
          </w:tcPr>
          <w:p w:rsidR="00895188" w:rsidRPr="00052430" w:rsidRDefault="00895188" w:rsidP="00895188">
            <w:pPr>
              <w:rPr>
                <w:rFonts w:ascii="Arial" w:hAnsi="Arial" w:cs="Arial"/>
                <w:sz w:val="22"/>
                <w:szCs w:val="22"/>
              </w:rPr>
            </w:pPr>
          </w:p>
        </w:tc>
        <w:tc>
          <w:tcPr>
            <w:tcW w:w="1354" w:type="dxa"/>
            <w:tcBorders>
              <w:bottom w:val="single" w:sz="18" w:space="0" w:color="auto"/>
            </w:tcBorders>
            <w:shd w:val="clear" w:color="auto" w:fill="auto"/>
          </w:tcPr>
          <w:p w:rsidR="00895188" w:rsidRPr="00052430" w:rsidRDefault="00895188" w:rsidP="00895188">
            <w:pPr>
              <w:jc w:val="center"/>
              <w:rPr>
                <w:rFonts w:ascii="Arial" w:hAnsi="Arial" w:cs="Arial"/>
                <w:sz w:val="22"/>
                <w:szCs w:val="22"/>
              </w:rPr>
            </w:pPr>
            <w:r w:rsidRPr="00052430">
              <w:rPr>
                <w:rFonts w:ascii="Arial" w:hAnsi="Arial" w:cs="Arial"/>
                <w:sz w:val="22"/>
                <w:szCs w:val="22"/>
              </w:rPr>
              <w:t>8</w:t>
            </w:r>
          </w:p>
        </w:tc>
        <w:tc>
          <w:tcPr>
            <w:tcW w:w="1418" w:type="dxa"/>
            <w:tcBorders>
              <w:bottom w:val="single" w:sz="18" w:space="0" w:color="auto"/>
            </w:tcBorders>
            <w:shd w:val="clear" w:color="auto" w:fill="auto"/>
          </w:tcPr>
          <w:p w:rsidR="00895188" w:rsidRPr="00052430" w:rsidRDefault="00895188" w:rsidP="00895188">
            <w:pPr>
              <w:jc w:val="center"/>
              <w:rPr>
                <w:rFonts w:ascii="Arial" w:hAnsi="Arial" w:cs="Arial"/>
                <w:sz w:val="22"/>
                <w:szCs w:val="22"/>
              </w:rPr>
            </w:pPr>
            <w:r w:rsidRPr="00052430">
              <w:rPr>
                <w:rFonts w:ascii="Arial" w:hAnsi="Arial" w:cs="Arial"/>
                <w:sz w:val="22"/>
                <w:szCs w:val="22"/>
              </w:rPr>
              <w:t>125</w:t>
            </w:r>
          </w:p>
        </w:tc>
        <w:tc>
          <w:tcPr>
            <w:tcW w:w="1275" w:type="dxa"/>
            <w:tcBorders>
              <w:bottom w:val="single" w:sz="18" w:space="0" w:color="auto"/>
            </w:tcBorders>
            <w:shd w:val="clear" w:color="auto" w:fill="auto"/>
          </w:tcPr>
          <w:p w:rsidR="00895188" w:rsidRPr="00052430" w:rsidRDefault="00895188" w:rsidP="00895188">
            <w:pPr>
              <w:jc w:val="center"/>
              <w:rPr>
                <w:rFonts w:ascii="Arial" w:hAnsi="Arial" w:cs="Arial"/>
                <w:sz w:val="22"/>
                <w:szCs w:val="22"/>
              </w:rPr>
            </w:pPr>
            <w:r w:rsidRPr="00052430">
              <w:rPr>
                <w:rFonts w:ascii="Arial" w:hAnsi="Arial" w:cs="Arial"/>
                <w:sz w:val="22"/>
                <w:szCs w:val="22"/>
              </w:rPr>
              <w:t>132</w:t>
            </w:r>
          </w:p>
        </w:tc>
        <w:tc>
          <w:tcPr>
            <w:tcW w:w="1276" w:type="dxa"/>
            <w:tcBorders>
              <w:bottom w:val="single" w:sz="18" w:space="0" w:color="auto"/>
            </w:tcBorders>
            <w:shd w:val="clear" w:color="auto" w:fill="auto"/>
          </w:tcPr>
          <w:p w:rsidR="00895188" w:rsidRPr="00052430" w:rsidRDefault="00895188" w:rsidP="00895188">
            <w:pPr>
              <w:jc w:val="center"/>
              <w:rPr>
                <w:rFonts w:ascii="Arial" w:hAnsi="Arial" w:cs="Arial"/>
                <w:sz w:val="22"/>
                <w:szCs w:val="22"/>
              </w:rPr>
            </w:pPr>
            <w:r w:rsidRPr="00052430">
              <w:rPr>
                <w:rFonts w:ascii="Arial" w:hAnsi="Arial" w:cs="Arial"/>
                <w:sz w:val="22"/>
                <w:szCs w:val="22"/>
              </w:rPr>
              <w:t>138</w:t>
            </w:r>
          </w:p>
        </w:tc>
        <w:tc>
          <w:tcPr>
            <w:tcW w:w="1276" w:type="dxa"/>
            <w:vMerge/>
            <w:tcBorders>
              <w:bottom w:val="single" w:sz="18" w:space="0" w:color="auto"/>
            </w:tcBorders>
            <w:shd w:val="clear" w:color="auto" w:fill="auto"/>
          </w:tcPr>
          <w:p w:rsidR="00895188" w:rsidRPr="00052430" w:rsidRDefault="00895188" w:rsidP="00895188">
            <w:pPr>
              <w:rPr>
                <w:rFonts w:ascii="Arial" w:hAnsi="Arial" w:cs="Arial"/>
                <w:sz w:val="22"/>
                <w:szCs w:val="22"/>
              </w:rPr>
            </w:pPr>
          </w:p>
        </w:tc>
      </w:tr>
    </w:tbl>
    <w:p w:rsidR="00895188" w:rsidRPr="00052430" w:rsidRDefault="001D7FD0" w:rsidP="00052430">
      <w:pPr>
        <w:pStyle w:val="Default"/>
        <w:spacing w:line="276" w:lineRule="auto"/>
        <w:ind w:firstLine="567"/>
        <w:rPr>
          <w:color w:val="auto"/>
          <w:sz w:val="20"/>
          <w:szCs w:val="20"/>
        </w:rPr>
      </w:pPr>
      <w:r>
        <w:rPr>
          <w:color w:val="auto"/>
          <w:sz w:val="20"/>
          <w:szCs w:val="20"/>
        </w:rPr>
        <w:t xml:space="preserve">* </w:t>
      </w:r>
      <w:r w:rsidR="00895188" w:rsidRPr="00052430">
        <w:rPr>
          <w:color w:val="auto"/>
          <w:sz w:val="20"/>
          <w:szCs w:val="20"/>
        </w:rPr>
        <w:t>The built-in storage figures are included within the GIAs (i.e. are not additional)</w:t>
      </w:r>
    </w:p>
    <w:p w:rsidR="00895188" w:rsidRPr="00052430" w:rsidRDefault="00895188" w:rsidP="00895188">
      <w:pPr>
        <w:pStyle w:val="Default"/>
        <w:spacing w:line="276" w:lineRule="auto"/>
        <w:ind w:left="851" w:hanging="284"/>
        <w:rPr>
          <w:color w:val="auto"/>
          <w:sz w:val="20"/>
          <w:szCs w:val="20"/>
        </w:rPr>
      </w:pPr>
      <w:r w:rsidRPr="00052430">
        <w:rPr>
          <w:color w:val="auto"/>
          <w:sz w:val="20"/>
          <w:szCs w:val="20"/>
        </w:rPr>
        <w:t xml:space="preserve">** Where a studio has a shower room instead of a bathroom, the floor area may be reduced from 39m2 to 37m2, as shown bracketed. </w:t>
      </w:r>
    </w:p>
    <w:p w:rsidR="00895188" w:rsidRPr="00830DE1" w:rsidRDefault="00895188" w:rsidP="00895188">
      <w:pPr>
        <w:rPr>
          <w:rFonts w:ascii="Arial" w:hAnsi="Arial" w:cs="Arial"/>
        </w:rPr>
      </w:pPr>
    </w:p>
    <w:p w:rsidR="00895188" w:rsidRPr="00052430" w:rsidRDefault="00895188" w:rsidP="00895188">
      <w:pPr>
        <w:rPr>
          <w:rFonts w:ascii="Arial" w:hAnsi="Arial" w:cs="Arial"/>
          <w:sz w:val="22"/>
          <w:szCs w:val="22"/>
        </w:rPr>
      </w:pPr>
      <w:r w:rsidRPr="00052430">
        <w:rPr>
          <w:rFonts w:ascii="Arial" w:hAnsi="Arial" w:cs="Arial"/>
          <w:sz w:val="22"/>
          <w:szCs w:val="22"/>
        </w:rPr>
        <w:t xml:space="preserve">The Standard requires that: </w:t>
      </w:r>
    </w:p>
    <w:p w:rsidR="00895188" w:rsidRPr="00052430" w:rsidRDefault="00895188" w:rsidP="00071525">
      <w:pPr>
        <w:numPr>
          <w:ilvl w:val="0"/>
          <w:numId w:val="11"/>
        </w:numPr>
        <w:spacing w:line="276" w:lineRule="auto"/>
        <w:ind w:left="425" w:hanging="425"/>
        <w:rPr>
          <w:rFonts w:ascii="Arial" w:hAnsi="Arial" w:cs="Arial"/>
          <w:sz w:val="22"/>
          <w:szCs w:val="22"/>
        </w:rPr>
      </w:pPr>
      <w:r w:rsidRPr="00052430">
        <w:rPr>
          <w:rFonts w:ascii="Arial" w:hAnsi="Arial" w:cs="Arial"/>
          <w:sz w:val="22"/>
          <w:szCs w:val="22"/>
        </w:rPr>
        <w:t xml:space="preserve">the </w:t>
      </w:r>
      <w:r w:rsidRPr="00052430">
        <w:rPr>
          <w:rFonts w:ascii="Arial" w:hAnsi="Arial" w:cs="Arial"/>
          <w:b/>
          <w:sz w:val="22"/>
          <w:szCs w:val="22"/>
        </w:rPr>
        <w:t>dwelling</w:t>
      </w:r>
      <w:r w:rsidRPr="00052430">
        <w:rPr>
          <w:rFonts w:ascii="Arial" w:hAnsi="Arial" w:cs="Arial"/>
          <w:sz w:val="22"/>
          <w:szCs w:val="22"/>
        </w:rPr>
        <w:t xml:space="preserve"> provides at least the GIA and built-in storage area set out in Table 1</w:t>
      </w:r>
    </w:p>
    <w:p w:rsidR="00895188" w:rsidRPr="00052430" w:rsidRDefault="00895188" w:rsidP="00071525">
      <w:pPr>
        <w:numPr>
          <w:ilvl w:val="0"/>
          <w:numId w:val="11"/>
        </w:numPr>
        <w:spacing w:line="276" w:lineRule="auto"/>
        <w:ind w:left="425" w:hanging="425"/>
        <w:rPr>
          <w:rFonts w:ascii="Arial" w:hAnsi="Arial" w:cs="Arial"/>
          <w:sz w:val="22"/>
          <w:szCs w:val="22"/>
        </w:rPr>
      </w:pPr>
      <w:r w:rsidRPr="00052430">
        <w:rPr>
          <w:rFonts w:ascii="Arial" w:hAnsi="Arial" w:cs="Arial"/>
          <w:b/>
          <w:sz w:val="22"/>
          <w:szCs w:val="22"/>
        </w:rPr>
        <w:t>a dwelling</w:t>
      </w:r>
      <w:r w:rsidRPr="00052430">
        <w:rPr>
          <w:rFonts w:ascii="Arial" w:hAnsi="Arial" w:cs="Arial"/>
          <w:sz w:val="22"/>
          <w:szCs w:val="22"/>
        </w:rPr>
        <w:t xml:space="preserve"> with two or more </w:t>
      </w:r>
      <w:proofErr w:type="spellStart"/>
      <w:r w:rsidRPr="00052430">
        <w:rPr>
          <w:rFonts w:ascii="Arial" w:hAnsi="Arial" w:cs="Arial"/>
          <w:sz w:val="22"/>
          <w:szCs w:val="22"/>
        </w:rPr>
        <w:t>bedspaces</w:t>
      </w:r>
      <w:proofErr w:type="spellEnd"/>
      <w:r w:rsidRPr="00052430">
        <w:rPr>
          <w:rFonts w:ascii="Arial" w:hAnsi="Arial" w:cs="Arial"/>
          <w:sz w:val="22"/>
          <w:szCs w:val="22"/>
        </w:rPr>
        <w:t xml:space="preserve"> has at least one double (or twin) bedroom</w:t>
      </w:r>
    </w:p>
    <w:p w:rsidR="00895188" w:rsidRPr="00052430" w:rsidRDefault="00895188" w:rsidP="00071525">
      <w:pPr>
        <w:numPr>
          <w:ilvl w:val="0"/>
          <w:numId w:val="11"/>
        </w:numPr>
        <w:spacing w:line="276" w:lineRule="auto"/>
        <w:ind w:left="425" w:hanging="425"/>
        <w:rPr>
          <w:rFonts w:ascii="Arial" w:hAnsi="Arial" w:cs="Arial"/>
          <w:sz w:val="22"/>
          <w:szCs w:val="22"/>
        </w:rPr>
      </w:pPr>
      <w:r w:rsidRPr="00052430">
        <w:rPr>
          <w:rFonts w:ascii="Arial" w:hAnsi="Arial" w:cs="Arial"/>
          <w:sz w:val="22"/>
          <w:szCs w:val="22"/>
        </w:rPr>
        <w:t xml:space="preserve">in order to provide one </w:t>
      </w:r>
      <w:proofErr w:type="spellStart"/>
      <w:r w:rsidRPr="00052430">
        <w:rPr>
          <w:rFonts w:ascii="Arial" w:hAnsi="Arial" w:cs="Arial"/>
          <w:sz w:val="22"/>
          <w:szCs w:val="22"/>
        </w:rPr>
        <w:t>bedspace</w:t>
      </w:r>
      <w:proofErr w:type="spellEnd"/>
      <w:r w:rsidRPr="00052430">
        <w:rPr>
          <w:rFonts w:ascii="Arial" w:hAnsi="Arial" w:cs="Arial"/>
          <w:sz w:val="22"/>
          <w:szCs w:val="22"/>
        </w:rPr>
        <w:t xml:space="preserve">, a </w:t>
      </w:r>
      <w:r w:rsidRPr="00052430">
        <w:rPr>
          <w:rFonts w:ascii="Arial" w:hAnsi="Arial" w:cs="Arial"/>
          <w:b/>
          <w:sz w:val="22"/>
          <w:szCs w:val="22"/>
        </w:rPr>
        <w:t>single bedroom</w:t>
      </w:r>
      <w:r w:rsidRPr="00052430">
        <w:rPr>
          <w:rFonts w:ascii="Arial" w:hAnsi="Arial" w:cs="Arial"/>
          <w:sz w:val="22"/>
          <w:szCs w:val="22"/>
        </w:rPr>
        <w:t xml:space="preserve"> has a floor area of at least 7.5 </w:t>
      </w:r>
      <w:proofErr w:type="spellStart"/>
      <w:r w:rsidRPr="00052430">
        <w:rPr>
          <w:rFonts w:ascii="Arial" w:hAnsi="Arial" w:cs="Arial"/>
          <w:sz w:val="22"/>
          <w:szCs w:val="22"/>
        </w:rPr>
        <w:t>sq.m</w:t>
      </w:r>
      <w:proofErr w:type="spellEnd"/>
      <w:r w:rsidR="00491A40" w:rsidRPr="00052430">
        <w:rPr>
          <w:rFonts w:ascii="Arial" w:hAnsi="Arial" w:cs="Arial"/>
          <w:sz w:val="22"/>
          <w:szCs w:val="22"/>
        </w:rPr>
        <w:t>.</w:t>
      </w:r>
      <w:r w:rsidRPr="00052430">
        <w:rPr>
          <w:rFonts w:ascii="Arial" w:hAnsi="Arial" w:cs="Arial"/>
          <w:sz w:val="22"/>
          <w:szCs w:val="22"/>
        </w:rPr>
        <w:t xml:space="preserve"> and is at least 2.15m wide</w:t>
      </w:r>
    </w:p>
    <w:p w:rsidR="00895188" w:rsidRPr="00052430" w:rsidRDefault="00895188" w:rsidP="00071525">
      <w:pPr>
        <w:numPr>
          <w:ilvl w:val="0"/>
          <w:numId w:val="11"/>
        </w:numPr>
        <w:spacing w:line="276" w:lineRule="auto"/>
        <w:ind w:left="425" w:hanging="425"/>
        <w:rPr>
          <w:rFonts w:ascii="Arial" w:hAnsi="Arial" w:cs="Arial"/>
          <w:sz w:val="22"/>
          <w:szCs w:val="22"/>
        </w:rPr>
      </w:pPr>
      <w:r w:rsidRPr="00052430">
        <w:rPr>
          <w:rFonts w:ascii="Arial" w:hAnsi="Arial" w:cs="Arial"/>
          <w:sz w:val="22"/>
          <w:szCs w:val="22"/>
        </w:rPr>
        <w:t xml:space="preserve">in order to provide two </w:t>
      </w:r>
      <w:proofErr w:type="spellStart"/>
      <w:r w:rsidRPr="00052430">
        <w:rPr>
          <w:rFonts w:ascii="Arial" w:hAnsi="Arial" w:cs="Arial"/>
          <w:sz w:val="22"/>
          <w:szCs w:val="22"/>
        </w:rPr>
        <w:t>bedspaces</w:t>
      </w:r>
      <w:proofErr w:type="spellEnd"/>
      <w:r w:rsidRPr="00052430">
        <w:rPr>
          <w:rFonts w:ascii="Arial" w:hAnsi="Arial" w:cs="Arial"/>
          <w:sz w:val="22"/>
          <w:szCs w:val="22"/>
        </w:rPr>
        <w:t xml:space="preserve">, a </w:t>
      </w:r>
      <w:r w:rsidRPr="00052430">
        <w:rPr>
          <w:rFonts w:ascii="Arial" w:hAnsi="Arial" w:cs="Arial"/>
          <w:b/>
          <w:sz w:val="22"/>
          <w:szCs w:val="22"/>
        </w:rPr>
        <w:t>double (or twin) bedroom</w:t>
      </w:r>
      <w:r w:rsidRPr="00052430">
        <w:rPr>
          <w:rFonts w:ascii="Arial" w:hAnsi="Arial" w:cs="Arial"/>
          <w:sz w:val="22"/>
          <w:szCs w:val="22"/>
        </w:rPr>
        <w:t xml:space="preserve"> has a floor area of at least 11.5 </w:t>
      </w:r>
      <w:proofErr w:type="spellStart"/>
      <w:r w:rsidRPr="00052430">
        <w:rPr>
          <w:rFonts w:ascii="Arial" w:hAnsi="Arial" w:cs="Arial"/>
          <w:sz w:val="22"/>
          <w:szCs w:val="22"/>
        </w:rPr>
        <w:t>sq.m</w:t>
      </w:r>
      <w:proofErr w:type="spellEnd"/>
      <w:r w:rsidR="00491A40" w:rsidRPr="00052430">
        <w:rPr>
          <w:rFonts w:ascii="Arial" w:hAnsi="Arial" w:cs="Arial"/>
          <w:sz w:val="22"/>
          <w:szCs w:val="22"/>
        </w:rPr>
        <w:t>.</w:t>
      </w:r>
    </w:p>
    <w:p w:rsidR="00895188" w:rsidRPr="00052430" w:rsidRDefault="00895188" w:rsidP="00071525">
      <w:pPr>
        <w:numPr>
          <w:ilvl w:val="0"/>
          <w:numId w:val="11"/>
        </w:numPr>
        <w:spacing w:line="276" w:lineRule="auto"/>
        <w:ind w:left="425" w:hanging="425"/>
        <w:rPr>
          <w:rFonts w:ascii="Arial" w:hAnsi="Arial" w:cs="Arial"/>
          <w:sz w:val="22"/>
          <w:szCs w:val="22"/>
        </w:rPr>
      </w:pPr>
      <w:r w:rsidRPr="00052430">
        <w:rPr>
          <w:rFonts w:ascii="Arial" w:hAnsi="Arial" w:cs="Arial"/>
          <w:b/>
          <w:sz w:val="22"/>
          <w:szCs w:val="22"/>
        </w:rPr>
        <w:t>one double (or twin) bedroom</w:t>
      </w:r>
      <w:r w:rsidRPr="00052430">
        <w:rPr>
          <w:rFonts w:ascii="Arial" w:hAnsi="Arial" w:cs="Arial"/>
          <w:sz w:val="22"/>
          <w:szCs w:val="22"/>
        </w:rPr>
        <w:t xml:space="preserve"> is at least 2.75m wide and </w:t>
      </w:r>
      <w:r w:rsidRPr="00052430">
        <w:rPr>
          <w:rFonts w:ascii="Arial" w:hAnsi="Arial" w:cs="Arial"/>
          <w:b/>
          <w:sz w:val="22"/>
          <w:szCs w:val="22"/>
        </w:rPr>
        <w:t>every other double (or twin) bedroom</w:t>
      </w:r>
      <w:r w:rsidRPr="00052430">
        <w:rPr>
          <w:rFonts w:ascii="Arial" w:hAnsi="Arial" w:cs="Arial"/>
          <w:sz w:val="22"/>
          <w:szCs w:val="22"/>
        </w:rPr>
        <w:t xml:space="preserve"> is at least 2.55m wide</w:t>
      </w:r>
    </w:p>
    <w:p w:rsidR="00895188" w:rsidRPr="00052430" w:rsidRDefault="00895188" w:rsidP="00071525">
      <w:pPr>
        <w:numPr>
          <w:ilvl w:val="0"/>
          <w:numId w:val="11"/>
        </w:numPr>
        <w:spacing w:line="276" w:lineRule="auto"/>
        <w:ind w:left="425" w:hanging="425"/>
        <w:rPr>
          <w:rFonts w:ascii="Arial" w:hAnsi="Arial" w:cs="Arial"/>
          <w:sz w:val="22"/>
          <w:szCs w:val="22"/>
        </w:rPr>
      </w:pPr>
      <w:r w:rsidRPr="00052430">
        <w:rPr>
          <w:rFonts w:ascii="Arial" w:hAnsi="Arial" w:cs="Arial"/>
          <w:b/>
          <w:sz w:val="22"/>
          <w:szCs w:val="22"/>
        </w:rPr>
        <w:t>any area with a headroom of less than 1.5m</w:t>
      </w:r>
      <w:r w:rsidRPr="00052430">
        <w:rPr>
          <w:rFonts w:ascii="Arial" w:hAnsi="Arial" w:cs="Arial"/>
          <w:sz w:val="22"/>
          <w:szCs w:val="22"/>
        </w:rPr>
        <w:t xml:space="preserve"> is not counted within the GIA unless used solely for </w:t>
      </w:r>
      <w:r w:rsidRPr="00052430">
        <w:rPr>
          <w:rFonts w:ascii="Arial" w:hAnsi="Arial" w:cs="Arial"/>
          <w:b/>
          <w:sz w:val="22"/>
          <w:szCs w:val="22"/>
        </w:rPr>
        <w:t>storage</w:t>
      </w:r>
      <w:r w:rsidRPr="00052430">
        <w:rPr>
          <w:rFonts w:ascii="Arial" w:hAnsi="Arial" w:cs="Arial"/>
          <w:sz w:val="22"/>
          <w:szCs w:val="22"/>
        </w:rPr>
        <w:t xml:space="preserve"> (if the area under the stairs is to be used for storage, assume general floor area of 1sq.m within the GIA)</w:t>
      </w:r>
    </w:p>
    <w:p w:rsidR="00895188" w:rsidRPr="00052430" w:rsidRDefault="00895188" w:rsidP="00071525">
      <w:pPr>
        <w:numPr>
          <w:ilvl w:val="0"/>
          <w:numId w:val="11"/>
        </w:numPr>
        <w:spacing w:line="276" w:lineRule="auto"/>
        <w:ind w:left="425" w:hanging="425"/>
        <w:rPr>
          <w:rFonts w:ascii="Arial" w:hAnsi="Arial" w:cs="Arial"/>
          <w:sz w:val="22"/>
          <w:szCs w:val="22"/>
        </w:rPr>
      </w:pPr>
      <w:r w:rsidRPr="00052430">
        <w:rPr>
          <w:rFonts w:ascii="Arial" w:hAnsi="Arial" w:cs="Arial"/>
          <w:sz w:val="22"/>
          <w:szCs w:val="22"/>
        </w:rPr>
        <w:t xml:space="preserve">any other area that is used solely for </w:t>
      </w:r>
      <w:r w:rsidRPr="00052430">
        <w:rPr>
          <w:rFonts w:ascii="Arial" w:hAnsi="Arial" w:cs="Arial"/>
          <w:b/>
          <w:sz w:val="22"/>
          <w:szCs w:val="22"/>
        </w:rPr>
        <w:t>storage</w:t>
      </w:r>
      <w:r w:rsidRPr="00052430">
        <w:rPr>
          <w:rFonts w:ascii="Arial" w:hAnsi="Arial" w:cs="Arial"/>
          <w:sz w:val="22"/>
          <w:szCs w:val="22"/>
        </w:rPr>
        <w:t xml:space="preserve"> and has a headroom of 900-1500mm (such as under eaves) is counted at 50% of its floor area, and any area lower than 900mm is not counted at all</w:t>
      </w:r>
    </w:p>
    <w:p w:rsidR="00895188" w:rsidRPr="00052430" w:rsidRDefault="00895188" w:rsidP="00071525">
      <w:pPr>
        <w:numPr>
          <w:ilvl w:val="0"/>
          <w:numId w:val="11"/>
        </w:numPr>
        <w:spacing w:line="276" w:lineRule="auto"/>
        <w:ind w:left="425" w:hanging="425"/>
        <w:rPr>
          <w:rFonts w:ascii="Arial" w:hAnsi="Arial" w:cs="Arial"/>
          <w:sz w:val="22"/>
          <w:szCs w:val="22"/>
        </w:rPr>
      </w:pPr>
      <w:r w:rsidRPr="00052430">
        <w:rPr>
          <w:rFonts w:ascii="Arial" w:hAnsi="Arial" w:cs="Arial"/>
          <w:sz w:val="22"/>
          <w:szCs w:val="22"/>
        </w:rPr>
        <w:t xml:space="preserve">a </w:t>
      </w:r>
      <w:r w:rsidRPr="00052430">
        <w:rPr>
          <w:rFonts w:ascii="Arial" w:hAnsi="Arial" w:cs="Arial"/>
          <w:b/>
          <w:sz w:val="22"/>
          <w:szCs w:val="22"/>
        </w:rPr>
        <w:t>built-in wardrobe</w:t>
      </w:r>
      <w:r w:rsidRPr="00052430">
        <w:rPr>
          <w:rFonts w:ascii="Arial" w:hAnsi="Arial" w:cs="Arial"/>
          <w:sz w:val="22"/>
          <w:szCs w:val="22"/>
        </w:rPr>
        <w:t xml:space="preserve"> counts towards the GIA and bedroom floor area </w:t>
      </w:r>
      <w:proofErr w:type="gramStart"/>
      <w:r w:rsidRPr="00052430">
        <w:rPr>
          <w:rFonts w:ascii="Arial" w:hAnsi="Arial" w:cs="Arial"/>
          <w:sz w:val="22"/>
          <w:szCs w:val="22"/>
        </w:rPr>
        <w:t>requirements, but</w:t>
      </w:r>
      <w:proofErr w:type="gramEnd"/>
      <w:r w:rsidRPr="00052430">
        <w:rPr>
          <w:rFonts w:ascii="Arial" w:hAnsi="Arial" w:cs="Arial"/>
          <w:sz w:val="22"/>
          <w:szCs w:val="22"/>
        </w:rPr>
        <w:t xml:space="preserve"> should not reduce the effective width of the room below the minimum widths set out above. The built-in area in excess of 0.72 </w:t>
      </w:r>
      <w:proofErr w:type="spellStart"/>
      <w:r w:rsidRPr="00052430">
        <w:rPr>
          <w:rFonts w:ascii="Arial" w:hAnsi="Arial" w:cs="Arial"/>
          <w:sz w:val="22"/>
          <w:szCs w:val="22"/>
        </w:rPr>
        <w:t>sq.m</w:t>
      </w:r>
      <w:proofErr w:type="spellEnd"/>
      <w:r w:rsidR="00491A40" w:rsidRPr="00052430">
        <w:rPr>
          <w:rFonts w:ascii="Arial" w:hAnsi="Arial" w:cs="Arial"/>
          <w:sz w:val="22"/>
          <w:szCs w:val="22"/>
        </w:rPr>
        <w:t>.</w:t>
      </w:r>
      <w:r w:rsidRPr="00052430">
        <w:rPr>
          <w:rFonts w:ascii="Arial" w:hAnsi="Arial" w:cs="Arial"/>
          <w:sz w:val="22"/>
          <w:szCs w:val="22"/>
        </w:rPr>
        <w:t xml:space="preserve"> in a double bedroom and </w:t>
      </w:r>
      <w:proofErr w:type="gramStart"/>
      <w:r w:rsidRPr="00052430">
        <w:rPr>
          <w:rFonts w:ascii="Arial" w:hAnsi="Arial" w:cs="Arial"/>
          <w:sz w:val="22"/>
          <w:szCs w:val="22"/>
        </w:rPr>
        <w:t>0.36sq.m</w:t>
      </w:r>
      <w:proofErr w:type="gramEnd"/>
      <w:r w:rsidRPr="00052430">
        <w:rPr>
          <w:rFonts w:ascii="Arial" w:hAnsi="Arial" w:cs="Arial"/>
          <w:sz w:val="22"/>
          <w:szCs w:val="22"/>
        </w:rPr>
        <w:t xml:space="preserve"> in a single bedroom counts towards the built-in storage requirement</w:t>
      </w:r>
    </w:p>
    <w:p w:rsidR="00895188" w:rsidRPr="00052430" w:rsidRDefault="00895188" w:rsidP="00071525">
      <w:pPr>
        <w:numPr>
          <w:ilvl w:val="0"/>
          <w:numId w:val="11"/>
        </w:numPr>
        <w:spacing w:line="276" w:lineRule="auto"/>
        <w:ind w:left="425" w:hanging="425"/>
        <w:rPr>
          <w:rFonts w:ascii="Arial" w:hAnsi="Arial" w:cs="Arial"/>
          <w:b/>
          <w:sz w:val="22"/>
          <w:szCs w:val="22"/>
        </w:rPr>
      </w:pPr>
      <w:r w:rsidRPr="00052430">
        <w:rPr>
          <w:rFonts w:ascii="Arial" w:hAnsi="Arial" w:cs="Arial"/>
          <w:sz w:val="22"/>
          <w:szCs w:val="22"/>
        </w:rPr>
        <w:t xml:space="preserve">the </w:t>
      </w:r>
      <w:r w:rsidRPr="00052430">
        <w:rPr>
          <w:rFonts w:ascii="Arial" w:hAnsi="Arial" w:cs="Arial"/>
          <w:b/>
          <w:sz w:val="22"/>
          <w:szCs w:val="22"/>
        </w:rPr>
        <w:t>minimum floor to ceiling height</w:t>
      </w:r>
      <w:r w:rsidRPr="00052430">
        <w:rPr>
          <w:rFonts w:ascii="Arial" w:hAnsi="Arial" w:cs="Arial"/>
          <w:sz w:val="22"/>
          <w:szCs w:val="22"/>
        </w:rPr>
        <w:t xml:space="preserve"> is 2.3m for at least 75% of the GIA</w:t>
      </w:r>
    </w:p>
    <w:p w:rsidR="00895188" w:rsidRPr="00052430" w:rsidRDefault="00895188" w:rsidP="00895188">
      <w:pPr>
        <w:rPr>
          <w:rFonts w:ascii="Arial" w:hAnsi="Arial" w:cs="Arial"/>
          <w:sz w:val="22"/>
          <w:szCs w:val="22"/>
        </w:rPr>
      </w:pPr>
    </w:p>
    <w:p w:rsidR="00895188" w:rsidRPr="00052430" w:rsidRDefault="00895188" w:rsidP="00895188">
      <w:pPr>
        <w:rPr>
          <w:rFonts w:ascii="Arial" w:hAnsi="Arial" w:cs="Arial"/>
          <w:sz w:val="22"/>
          <w:szCs w:val="22"/>
          <w:u w:val="single"/>
        </w:rPr>
      </w:pPr>
      <w:r w:rsidRPr="00052430">
        <w:rPr>
          <w:rFonts w:ascii="Arial" w:hAnsi="Arial" w:cs="Arial"/>
          <w:sz w:val="22"/>
          <w:szCs w:val="22"/>
          <w:u w:val="single"/>
        </w:rPr>
        <w:t>Compliance</w:t>
      </w:r>
    </w:p>
    <w:p w:rsidR="00895188" w:rsidRPr="00052430" w:rsidRDefault="00895188" w:rsidP="00895188">
      <w:pPr>
        <w:rPr>
          <w:rFonts w:ascii="Arial" w:hAnsi="Arial" w:cs="Arial"/>
          <w:b/>
          <w:sz w:val="22"/>
          <w:szCs w:val="22"/>
          <w:u w:val="single"/>
        </w:rPr>
      </w:pPr>
    </w:p>
    <w:p w:rsidR="00895188" w:rsidRPr="00052430" w:rsidRDefault="00895188" w:rsidP="00895188">
      <w:pPr>
        <w:rPr>
          <w:rFonts w:ascii="Arial" w:hAnsi="Arial" w:cs="Arial"/>
          <w:sz w:val="22"/>
          <w:szCs w:val="22"/>
        </w:rPr>
      </w:pPr>
      <w:r w:rsidRPr="00052430">
        <w:rPr>
          <w:rFonts w:ascii="Arial" w:hAnsi="Arial" w:cs="Arial"/>
          <w:sz w:val="22"/>
          <w:szCs w:val="22"/>
        </w:rPr>
        <w:t xml:space="preserve">All areas are to be denoted in square </w:t>
      </w:r>
      <w:proofErr w:type="spellStart"/>
      <w:r w:rsidRPr="00052430">
        <w:rPr>
          <w:rFonts w:ascii="Arial" w:hAnsi="Arial" w:cs="Arial"/>
          <w:sz w:val="22"/>
          <w:szCs w:val="22"/>
        </w:rPr>
        <w:t>metres</w:t>
      </w:r>
      <w:proofErr w:type="spellEnd"/>
      <w:r w:rsidRPr="00052430">
        <w:rPr>
          <w:rFonts w:ascii="Arial" w:hAnsi="Arial" w:cs="Arial"/>
          <w:sz w:val="22"/>
          <w:szCs w:val="22"/>
        </w:rPr>
        <w:t xml:space="preserve"> (</w:t>
      </w:r>
      <w:proofErr w:type="spellStart"/>
      <w:r w:rsidRPr="00052430">
        <w:rPr>
          <w:rFonts w:ascii="Arial" w:hAnsi="Arial" w:cs="Arial"/>
          <w:sz w:val="22"/>
          <w:szCs w:val="22"/>
        </w:rPr>
        <w:t>sq.m</w:t>
      </w:r>
      <w:proofErr w:type="spellEnd"/>
      <w:r w:rsidRPr="00052430">
        <w:rPr>
          <w:rFonts w:ascii="Arial" w:hAnsi="Arial" w:cs="Arial"/>
          <w:sz w:val="22"/>
          <w:szCs w:val="22"/>
        </w:rPr>
        <w:t xml:space="preserve">) and all linear dimensions in </w:t>
      </w:r>
      <w:proofErr w:type="spellStart"/>
      <w:r w:rsidRPr="00052430">
        <w:rPr>
          <w:rFonts w:ascii="Arial" w:hAnsi="Arial" w:cs="Arial"/>
          <w:sz w:val="22"/>
          <w:szCs w:val="22"/>
        </w:rPr>
        <w:t>metres</w:t>
      </w:r>
      <w:proofErr w:type="spellEnd"/>
      <w:r w:rsidRPr="00052430">
        <w:rPr>
          <w:rFonts w:ascii="Arial" w:hAnsi="Arial" w:cs="Arial"/>
          <w:sz w:val="22"/>
          <w:szCs w:val="22"/>
        </w:rPr>
        <w:t xml:space="preserve"> (m). Developers are to provide a schedule of dwelling types indicating their overall GIA and in-built storage areas.  </w:t>
      </w:r>
    </w:p>
    <w:p w:rsidR="00895188" w:rsidRPr="00052430" w:rsidRDefault="00895188" w:rsidP="00895188">
      <w:pPr>
        <w:rPr>
          <w:rFonts w:ascii="Arial" w:hAnsi="Arial" w:cs="Arial"/>
          <w:sz w:val="22"/>
          <w:szCs w:val="22"/>
        </w:rPr>
      </w:pPr>
    </w:p>
    <w:p w:rsidR="00895188" w:rsidRPr="00052430" w:rsidRDefault="00895188" w:rsidP="00895188">
      <w:pPr>
        <w:rPr>
          <w:rFonts w:ascii="Arial" w:hAnsi="Arial" w:cs="Arial"/>
          <w:sz w:val="22"/>
          <w:szCs w:val="22"/>
        </w:rPr>
      </w:pPr>
      <w:r w:rsidRPr="00052430">
        <w:rPr>
          <w:rFonts w:ascii="Arial" w:hAnsi="Arial" w:cs="Arial"/>
          <w:sz w:val="22"/>
          <w:szCs w:val="22"/>
        </w:rPr>
        <w:t xml:space="preserve">Developers will be able to achieve ‘type approval’ for </w:t>
      </w:r>
      <w:proofErr w:type="spellStart"/>
      <w:r w:rsidRPr="00052430">
        <w:rPr>
          <w:rFonts w:ascii="Arial" w:hAnsi="Arial" w:cs="Arial"/>
          <w:sz w:val="22"/>
          <w:szCs w:val="22"/>
        </w:rPr>
        <w:t>standardised</w:t>
      </w:r>
      <w:proofErr w:type="spellEnd"/>
      <w:r w:rsidRPr="00052430">
        <w:rPr>
          <w:rFonts w:ascii="Arial" w:hAnsi="Arial" w:cs="Arial"/>
          <w:sz w:val="22"/>
          <w:szCs w:val="22"/>
        </w:rPr>
        <w:t xml:space="preserve"> designs. (Note that internal floor plans will still normally need to be submitted in order to assess amenity impacts and to demonstrate compliance with design principles such as active frontages, natural surveillance and the </w:t>
      </w:r>
      <w:proofErr w:type="gramStart"/>
      <w:r w:rsidRPr="00052430">
        <w:rPr>
          <w:rFonts w:ascii="Arial" w:hAnsi="Arial" w:cs="Arial"/>
          <w:sz w:val="22"/>
          <w:szCs w:val="22"/>
        </w:rPr>
        <w:t>45 degree</w:t>
      </w:r>
      <w:proofErr w:type="gramEnd"/>
      <w:r w:rsidRPr="00052430">
        <w:rPr>
          <w:rFonts w:ascii="Arial" w:hAnsi="Arial" w:cs="Arial"/>
          <w:sz w:val="22"/>
          <w:szCs w:val="22"/>
        </w:rPr>
        <w:t xml:space="preserve"> code). For dwellings without type approval, drawings will need to be submitted at a scale of no greater than 1:100 showing room dimensions and heights for plan checking purposes</w:t>
      </w:r>
    </w:p>
    <w:p w:rsidR="00895188" w:rsidRPr="00052430" w:rsidRDefault="00895188" w:rsidP="00895188">
      <w:pPr>
        <w:rPr>
          <w:rFonts w:ascii="Arial" w:hAnsi="Arial" w:cs="Arial"/>
          <w:sz w:val="22"/>
          <w:szCs w:val="22"/>
        </w:rPr>
      </w:pPr>
    </w:p>
    <w:p w:rsidR="00895188" w:rsidRPr="00052430" w:rsidRDefault="00895188" w:rsidP="00895188">
      <w:pPr>
        <w:rPr>
          <w:rFonts w:ascii="Arial" w:hAnsi="Arial" w:cs="Arial"/>
          <w:sz w:val="22"/>
          <w:szCs w:val="22"/>
        </w:rPr>
      </w:pPr>
      <w:r w:rsidRPr="00052430">
        <w:rPr>
          <w:rFonts w:ascii="Arial" w:hAnsi="Arial" w:cs="Arial"/>
          <w:sz w:val="22"/>
          <w:szCs w:val="22"/>
        </w:rPr>
        <w:t>The City Council will accept type approval of plans where this is confirmed by a building control body (which can be either a Local Authority Building Control Body, or a Government Approved Inspector) providing that the information used to assess compliance is also submitted, to enable checking by the City Council.</w:t>
      </w:r>
    </w:p>
    <w:p w:rsidR="00895188" w:rsidRPr="00052430" w:rsidRDefault="00895188" w:rsidP="00895188">
      <w:pPr>
        <w:rPr>
          <w:rFonts w:ascii="Arial" w:hAnsi="Arial" w:cs="Arial"/>
          <w:sz w:val="22"/>
          <w:szCs w:val="22"/>
        </w:rPr>
      </w:pPr>
    </w:p>
    <w:p w:rsidR="00895188" w:rsidRPr="00052430" w:rsidRDefault="00895188" w:rsidP="00895188">
      <w:pPr>
        <w:rPr>
          <w:rFonts w:ascii="Arial" w:hAnsi="Arial" w:cs="Arial"/>
          <w:sz w:val="22"/>
          <w:szCs w:val="22"/>
        </w:rPr>
      </w:pPr>
      <w:r w:rsidRPr="00052430">
        <w:rPr>
          <w:rFonts w:ascii="Arial" w:hAnsi="Arial" w:cs="Arial"/>
          <w:sz w:val="22"/>
          <w:szCs w:val="22"/>
        </w:rPr>
        <w:t xml:space="preserve">If the proposed development does not comply with the Standard, room floor plans with indicative furniture layouts will be required to demonstrate the functionality of internal spaces. </w:t>
      </w:r>
    </w:p>
    <w:p w:rsidR="00895188" w:rsidRPr="00052430" w:rsidRDefault="00895188" w:rsidP="00895188">
      <w:pPr>
        <w:autoSpaceDE w:val="0"/>
        <w:autoSpaceDN w:val="0"/>
        <w:adjustRightInd w:val="0"/>
        <w:rPr>
          <w:rFonts w:ascii="Arial" w:hAnsi="Arial" w:cs="Arial"/>
          <w:b/>
          <w:bCs/>
          <w:sz w:val="22"/>
          <w:szCs w:val="22"/>
        </w:rPr>
      </w:pPr>
    </w:p>
    <w:p w:rsidR="00895188" w:rsidRPr="00052430" w:rsidRDefault="00895188" w:rsidP="00895188">
      <w:pPr>
        <w:autoSpaceDE w:val="0"/>
        <w:autoSpaceDN w:val="0"/>
        <w:adjustRightInd w:val="0"/>
        <w:rPr>
          <w:rFonts w:ascii="Arial" w:hAnsi="Arial" w:cs="Arial"/>
          <w:b/>
          <w:bCs/>
          <w:sz w:val="22"/>
          <w:szCs w:val="22"/>
        </w:rPr>
      </w:pPr>
    </w:p>
    <w:p w:rsidR="00895188" w:rsidRPr="00052430" w:rsidRDefault="00895188" w:rsidP="00895188">
      <w:pPr>
        <w:autoSpaceDE w:val="0"/>
        <w:autoSpaceDN w:val="0"/>
        <w:adjustRightInd w:val="0"/>
        <w:rPr>
          <w:rFonts w:ascii="Arial" w:hAnsi="Arial" w:cs="Arial"/>
          <w:b/>
          <w:bCs/>
          <w:sz w:val="22"/>
          <w:szCs w:val="22"/>
        </w:rPr>
      </w:pPr>
    </w:p>
    <w:p w:rsidR="00895188" w:rsidRDefault="00895188" w:rsidP="00895188">
      <w:pPr>
        <w:autoSpaceDE w:val="0"/>
        <w:autoSpaceDN w:val="0"/>
        <w:adjustRightInd w:val="0"/>
        <w:rPr>
          <w:rFonts w:ascii="Arial" w:hAnsi="Arial" w:cs="Arial"/>
          <w:b/>
          <w:bCs/>
        </w:rPr>
      </w:pPr>
    </w:p>
    <w:p w:rsidR="00895188" w:rsidRDefault="00895188" w:rsidP="00895188">
      <w:pPr>
        <w:autoSpaceDE w:val="0"/>
        <w:autoSpaceDN w:val="0"/>
        <w:adjustRightInd w:val="0"/>
        <w:rPr>
          <w:rFonts w:ascii="Arial" w:hAnsi="Arial" w:cs="Arial"/>
          <w:b/>
          <w:bCs/>
        </w:rPr>
      </w:pPr>
    </w:p>
    <w:p w:rsidR="00895188" w:rsidRDefault="00895188" w:rsidP="00895188">
      <w:pPr>
        <w:autoSpaceDE w:val="0"/>
        <w:autoSpaceDN w:val="0"/>
        <w:adjustRightInd w:val="0"/>
        <w:rPr>
          <w:rFonts w:ascii="Arial" w:hAnsi="Arial" w:cs="Arial"/>
          <w:b/>
          <w:bCs/>
        </w:rPr>
      </w:pPr>
    </w:p>
    <w:p w:rsidR="00895188" w:rsidRDefault="00895188" w:rsidP="00895188">
      <w:pPr>
        <w:autoSpaceDE w:val="0"/>
        <w:autoSpaceDN w:val="0"/>
        <w:adjustRightInd w:val="0"/>
        <w:rPr>
          <w:rFonts w:ascii="Arial" w:hAnsi="Arial" w:cs="Arial"/>
          <w:b/>
          <w:bCs/>
        </w:rPr>
      </w:pPr>
    </w:p>
    <w:p w:rsidR="00895188" w:rsidRDefault="00895188" w:rsidP="00895188">
      <w:pPr>
        <w:autoSpaceDE w:val="0"/>
        <w:autoSpaceDN w:val="0"/>
        <w:adjustRightInd w:val="0"/>
        <w:rPr>
          <w:rFonts w:ascii="Arial" w:hAnsi="Arial" w:cs="Arial"/>
          <w:b/>
          <w:bCs/>
        </w:rPr>
      </w:pPr>
    </w:p>
    <w:p w:rsidR="00895188" w:rsidRDefault="00895188" w:rsidP="00895188">
      <w:pPr>
        <w:autoSpaceDE w:val="0"/>
        <w:autoSpaceDN w:val="0"/>
        <w:adjustRightInd w:val="0"/>
        <w:rPr>
          <w:rFonts w:ascii="Arial" w:hAnsi="Arial" w:cs="Arial"/>
          <w:b/>
          <w:bCs/>
        </w:rPr>
      </w:pPr>
    </w:p>
    <w:p w:rsidR="00895188" w:rsidRDefault="00895188" w:rsidP="00895188">
      <w:pPr>
        <w:autoSpaceDE w:val="0"/>
        <w:autoSpaceDN w:val="0"/>
        <w:adjustRightInd w:val="0"/>
        <w:rPr>
          <w:rFonts w:ascii="Arial" w:hAnsi="Arial" w:cs="Arial"/>
          <w:b/>
          <w:bCs/>
        </w:rPr>
      </w:pPr>
    </w:p>
    <w:p w:rsidR="00895188" w:rsidRDefault="00895188" w:rsidP="00895188">
      <w:pPr>
        <w:autoSpaceDE w:val="0"/>
        <w:autoSpaceDN w:val="0"/>
        <w:adjustRightInd w:val="0"/>
        <w:rPr>
          <w:rFonts w:ascii="Arial" w:hAnsi="Arial" w:cs="Arial"/>
          <w:b/>
          <w:bCs/>
        </w:rPr>
      </w:pPr>
    </w:p>
    <w:p w:rsidR="00895188" w:rsidRDefault="00895188" w:rsidP="00895188">
      <w:pPr>
        <w:autoSpaceDE w:val="0"/>
        <w:autoSpaceDN w:val="0"/>
        <w:adjustRightInd w:val="0"/>
        <w:rPr>
          <w:rFonts w:ascii="Arial" w:hAnsi="Arial" w:cs="Arial"/>
          <w:b/>
          <w:bCs/>
        </w:rPr>
      </w:pPr>
    </w:p>
    <w:p w:rsidR="00895188" w:rsidRDefault="00895188" w:rsidP="00895188">
      <w:pPr>
        <w:autoSpaceDE w:val="0"/>
        <w:autoSpaceDN w:val="0"/>
        <w:adjustRightInd w:val="0"/>
        <w:rPr>
          <w:rFonts w:ascii="Arial" w:hAnsi="Arial" w:cs="Arial"/>
          <w:b/>
          <w:bCs/>
        </w:rPr>
      </w:pPr>
    </w:p>
    <w:p w:rsidR="00895188" w:rsidRDefault="00895188" w:rsidP="00895188">
      <w:pPr>
        <w:autoSpaceDE w:val="0"/>
        <w:autoSpaceDN w:val="0"/>
        <w:adjustRightInd w:val="0"/>
        <w:rPr>
          <w:rFonts w:ascii="Arial" w:hAnsi="Arial" w:cs="Arial"/>
          <w:b/>
          <w:bCs/>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Default="00895188" w:rsidP="006A6B9F">
      <w:pPr>
        <w:spacing w:line="300" w:lineRule="atLeast"/>
        <w:rPr>
          <w:rFonts w:ascii="Arial" w:hAnsi="Arial" w:cs="Arial"/>
          <w:sz w:val="22"/>
          <w:szCs w:val="22"/>
        </w:rPr>
      </w:pPr>
    </w:p>
    <w:p w:rsidR="00895188" w:rsidRPr="006A6B9F" w:rsidRDefault="00895188" w:rsidP="006A6B9F">
      <w:pPr>
        <w:spacing w:line="300" w:lineRule="atLeast"/>
        <w:rPr>
          <w:rFonts w:ascii="Arial" w:hAnsi="Arial" w:cs="Arial"/>
          <w:sz w:val="22"/>
          <w:szCs w:val="22"/>
        </w:rPr>
      </w:pPr>
    </w:p>
    <w:sectPr w:rsidR="00895188" w:rsidRPr="006A6B9F" w:rsidSect="0027495D">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0B1" w:rsidRDefault="00BE70B1" w:rsidP="00752CBA">
      <w:r>
        <w:separator/>
      </w:r>
    </w:p>
  </w:endnote>
  <w:endnote w:type="continuationSeparator" w:id="0">
    <w:p w:rsidR="00BE70B1" w:rsidRDefault="00BE70B1" w:rsidP="0075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B1" w:rsidRDefault="00BE70B1" w:rsidP="00752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0B1" w:rsidRDefault="00BE70B1" w:rsidP="00752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B1" w:rsidRPr="00752CBA" w:rsidRDefault="00BE70B1" w:rsidP="00752CBA">
    <w:pPr>
      <w:pStyle w:val="Footer"/>
      <w:framePr w:wrap="around" w:vAnchor="text" w:hAnchor="page" w:x="9901" w:y="-61"/>
      <w:rPr>
        <w:rStyle w:val="PageNumber"/>
        <w:rFonts w:ascii="Arial" w:hAnsi="Arial" w:cs="Arial"/>
        <w:color w:val="7F7F7F" w:themeColor="text1" w:themeTint="80"/>
        <w:sz w:val="20"/>
        <w:szCs w:val="20"/>
      </w:rPr>
    </w:pPr>
    <w:r w:rsidRPr="00752CBA">
      <w:rPr>
        <w:rStyle w:val="PageNumber"/>
        <w:rFonts w:ascii="Arial" w:hAnsi="Arial" w:cs="Arial"/>
        <w:color w:val="7F7F7F" w:themeColor="text1" w:themeTint="80"/>
        <w:sz w:val="20"/>
        <w:szCs w:val="20"/>
      </w:rPr>
      <w:fldChar w:fldCharType="begin"/>
    </w:r>
    <w:r w:rsidRPr="00752CBA">
      <w:rPr>
        <w:rStyle w:val="PageNumber"/>
        <w:rFonts w:ascii="Arial" w:hAnsi="Arial" w:cs="Arial"/>
        <w:color w:val="7F7F7F" w:themeColor="text1" w:themeTint="80"/>
        <w:sz w:val="20"/>
        <w:szCs w:val="20"/>
      </w:rPr>
      <w:instrText xml:space="preserve">PAGE  </w:instrText>
    </w:r>
    <w:r w:rsidRPr="00752CBA">
      <w:rPr>
        <w:rStyle w:val="PageNumber"/>
        <w:rFonts w:ascii="Arial" w:hAnsi="Arial" w:cs="Arial"/>
        <w:color w:val="7F7F7F" w:themeColor="text1" w:themeTint="80"/>
        <w:sz w:val="20"/>
        <w:szCs w:val="20"/>
      </w:rPr>
      <w:fldChar w:fldCharType="separate"/>
    </w:r>
    <w:r>
      <w:rPr>
        <w:rStyle w:val="PageNumber"/>
        <w:rFonts w:ascii="Arial" w:hAnsi="Arial" w:cs="Arial"/>
        <w:noProof/>
        <w:color w:val="7F7F7F" w:themeColor="text1" w:themeTint="80"/>
        <w:sz w:val="20"/>
        <w:szCs w:val="20"/>
      </w:rPr>
      <w:t>22</w:t>
    </w:r>
    <w:r w:rsidRPr="00752CBA">
      <w:rPr>
        <w:rStyle w:val="PageNumber"/>
        <w:rFonts w:ascii="Arial" w:hAnsi="Arial" w:cs="Arial"/>
        <w:color w:val="7F7F7F" w:themeColor="text1" w:themeTint="80"/>
        <w:sz w:val="20"/>
        <w:szCs w:val="20"/>
      </w:rPr>
      <w:fldChar w:fldCharType="end"/>
    </w:r>
  </w:p>
  <w:p w:rsidR="00BE70B1" w:rsidRPr="00752CBA" w:rsidRDefault="00BE70B1" w:rsidP="00752CBA">
    <w:pPr>
      <w:pStyle w:val="Footer"/>
      <w:ind w:right="360"/>
      <w:rPr>
        <w:rFonts w:ascii="Arial" w:hAnsi="Arial" w:cs="Arial"/>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0B1" w:rsidRDefault="00BE70B1" w:rsidP="00752CBA">
      <w:r>
        <w:separator/>
      </w:r>
    </w:p>
  </w:footnote>
  <w:footnote w:type="continuationSeparator" w:id="0">
    <w:p w:rsidR="00BE70B1" w:rsidRDefault="00BE70B1" w:rsidP="00752CBA">
      <w:r>
        <w:continuationSeparator/>
      </w:r>
    </w:p>
  </w:footnote>
  <w:footnote w:id="1">
    <w:p w:rsidR="00BE70B1" w:rsidRPr="00D06DEF" w:rsidRDefault="00BE70B1" w:rsidP="00D06DEF">
      <w:pPr>
        <w:pStyle w:val="FootnoteText"/>
        <w:rPr>
          <w:rFonts w:ascii="Arial" w:hAnsi="Arial" w:cs="Arial"/>
          <w:sz w:val="20"/>
          <w:szCs w:val="20"/>
        </w:rPr>
      </w:pPr>
      <w:r w:rsidRPr="00D06DEF">
        <w:rPr>
          <w:rStyle w:val="FootnoteReference"/>
          <w:rFonts w:ascii="Arial" w:hAnsi="Arial" w:cs="Arial"/>
          <w:sz w:val="20"/>
          <w:szCs w:val="20"/>
        </w:rPr>
        <w:footnoteRef/>
      </w:r>
      <w:r w:rsidRPr="00D06DEF">
        <w:rPr>
          <w:rFonts w:ascii="Arial" w:hAnsi="Arial" w:cs="Arial"/>
          <w:sz w:val="20"/>
          <w:szCs w:val="20"/>
        </w:rPr>
        <w:t xml:space="preserve"> Department of Communities and Local Governments (DCLG) </w:t>
      </w:r>
    </w:p>
    <w:p w:rsidR="00BE70B1" w:rsidRPr="00D06DEF" w:rsidRDefault="00E92BDA" w:rsidP="00D06DEF">
      <w:pPr>
        <w:pStyle w:val="FootnoteText"/>
        <w:rPr>
          <w:rFonts w:ascii="Arial" w:hAnsi="Arial" w:cs="Arial"/>
          <w:sz w:val="20"/>
          <w:szCs w:val="20"/>
        </w:rPr>
      </w:pPr>
      <w:hyperlink r:id="rId1" w:history="1">
        <w:r w:rsidR="00BE70B1" w:rsidRPr="00D06DEF">
          <w:rPr>
            <w:rStyle w:val="Hyperlink"/>
            <w:rFonts w:ascii="Arial" w:hAnsi="Arial" w:cs="Arial"/>
            <w:sz w:val="20"/>
            <w:szCs w:val="20"/>
          </w:rPr>
          <w:t>https://www.gov.uk/government/speeches/planning-update-march-2015</w:t>
        </w:r>
      </w:hyperlink>
    </w:p>
  </w:footnote>
  <w:footnote w:id="2">
    <w:p w:rsidR="00BE70B1" w:rsidRPr="00D06DEF" w:rsidRDefault="00BE70B1" w:rsidP="00D06DEF">
      <w:pPr>
        <w:pStyle w:val="FootnoteText"/>
        <w:rPr>
          <w:rFonts w:ascii="Arial" w:hAnsi="Arial" w:cs="Arial"/>
          <w:sz w:val="20"/>
          <w:szCs w:val="20"/>
          <w:lang w:val="en-GB"/>
        </w:rPr>
      </w:pPr>
      <w:r w:rsidRPr="00D06DEF">
        <w:rPr>
          <w:rStyle w:val="FootnoteReference"/>
          <w:rFonts w:ascii="Arial" w:hAnsi="Arial" w:cs="Arial"/>
          <w:sz w:val="20"/>
          <w:szCs w:val="20"/>
        </w:rPr>
        <w:footnoteRef/>
      </w:r>
      <w:r w:rsidRPr="00D06DEF">
        <w:rPr>
          <w:rFonts w:ascii="Arial" w:hAnsi="Arial" w:cs="Arial"/>
          <w:sz w:val="20"/>
          <w:szCs w:val="20"/>
        </w:rPr>
        <w:t xml:space="preserve"> </w:t>
      </w:r>
      <w:hyperlink r:id="rId2" w:history="1">
        <w:r w:rsidRPr="00986773">
          <w:rPr>
            <w:rStyle w:val="Hyperlink"/>
            <w:rFonts w:ascii="Arial" w:hAnsi="Arial" w:cs="Arial"/>
            <w:sz w:val="20"/>
            <w:szCs w:val="20"/>
            <w:lang w:val="en-GB"/>
          </w:rPr>
          <w:t>https://www.gov.uk/government/publications/technical-housing-standards-nationally-described-space-standard</w:t>
        </w:r>
      </w:hyperlink>
    </w:p>
  </w:footnote>
  <w:footnote w:id="3">
    <w:p w:rsidR="00BE70B1" w:rsidRDefault="00BE70B1" w:rsidP="00D06DEF">
      <w:pPr>
        <w:pStyle w:val="FootnoteText"/>
        <w:rPr>
          <w:rFonts w:ascii="Arial" w:hAnsi="Arial" w:cs="Arial"/>
          <w:sz w:val="20"/>
          <w:szCs w:val="20"/>
          <w:lang w:val="en-GB"/>
        </w:rPr>
      </w:pPr>
      <w:r w:rsidRPr="00D06DEF">
        <w:rPr>
          <w:rStyle w:val="FootnoteReference"/>
          <w:rFonts w:ascii="Arial" w:hAnsi="Arial" w:cs="Arial"/>
          <w:sz w:val="20"/>
          <w:szCs w:val="20"/>
        </w:rPr>
        <w:footnoteRef/>
      </w:r>
      <w:r w:rsidRPr="00D06DEF">
        <w:rPr>
          <w:rFonts w:ascii="Arial" w:hAnsi="Arial" w:cs="Arial"/>
          <w:sz w:val="20"/>
          <w:szCs w:val="20"/>
        </w:rPr>
        <w:t xml:space="preserve"> </w:t>
      </w:r>
      <w:hyperlink r:id="rId3" w:history="1">
        <w:r w:rsidRPr="00986773">
          <w:rPr>
            <w:rStyle w:val="Hyperlink"/>
            <w:rFonts w:ascii="Arial" w:hAnsi="Arial" w:cs="Arial"/>
            <w:sz w:val="20"/>
            <w:szCs w:val="20"/>
            <w:lang w:val="en-GB"/>
          </w:rPr>
          <w:t>https://www.gov.uk/government/publications/access-to-and-use-of-buildings-approved-document-m</w:t>
        </w:r>
      </w:hyperlink>
    </w:p>
    <w:p w:rsidR="00BE70B1" w:rsidRPr="00D06DEF" w:rsidRDefault="00BE70B1" w:rsidP="00D06DEF">
      <w:pPr>
        <w:pStyle w:val="FootnoteText"/>
        <w:rPr>
          <w:rFonts w:ascii="Arial" w:hAnsi="Arial" w:cs="Arial"/>
          <w:sz w:val="20"/>
          <w:szCs w:val="20"/>
          <w:lang w:val="en-GB"/>
        </w:rPr>
      </w:pPr>
    </w:p>
  </w:footnote>
  <w:footnote w:id="4">
    <w:p w:rsidR="00BE70B1" w:rsidRPr="002446C6" w:rsidRDefault="00BE70B1">
      <w:pPr>
        <w:pStyle w:val="FootnoteText"/>
        <w:rPr>
          <w:rFonts w:ascii="Arial" w:hAnsi="Arial" w:cs="Arial"/>
          <w:sz w:val="18"/>
          <w:szCs w:val="18"/>
        </w:rPr>
      </w:pPr>
      <w:r w:rsidRPr="002446C6">
        <w:rPr>
          <w:rStyle w:val="FootnoteReference"/>
          <w:rFonts w:ascii="Arial" w:hAnsi="Arial" w:cs="Arial"/>
          <w:sz w:val="18"/>
          <w:szCs w:val="18"/>
        </w:rPr>
        <w:footnoteRef/>
      </w:r>
      <w:r w:rsidRPr="002446C6">
        <w:rPr>
          <w:rFonts w:ascii="Arial" w:hAnsi="Arial" w:cs="Arial"/>
          <w:sz w:val="18"/>
          <w:szCs w:val="18"/>
        </w:rPr>
        <w:t xml:space="preserve"> Birmingham City Council Plan 2018-2022 </w:t>
      </w:r>
      <w:hyperlink r:id="rId4" w:history="1">
        <w:r w:rsidRPr="002446C6">
          <w:rPr>
            <w:rStyle w:val="Hyperlink"/>
            <w:rFonts w:ascii="Arial" w:hAnsi="Arial" w:cs="Arial"/>
            <w:sz w:val="18"/>
            <w:szCs w:val="18"/>
          </w:rPr>
          <w:t>https://www.birmingham.gov.uk/downloads/file/10257/birmingham_city_council_plan_2018-2022</w:t>
        </w:r>
      </w:hyperlink>
    </w:p>
    <w:p w:rsidR="00BE70B1" w:rsidRPr="00337371" w:rsidRDefault="00BE70B1">
      <w:pPr>
        <w:pStyle w:val="FootnoteText"/>
        <w:rPr>
          <w:rFonts w:ascii="Arial" w:hAnsi="Arial" w:cs="Arial"/>
          <w:sz w:val="20"/>
          <w:szCs w:val="20"/>
        </w:rPr>
      </w:pPr>
    </w:p>
  </w:footnote>
  <w:footnote w:id="5">
    <w:p w:rsidR="00BE70B1" w:rsidRPr="002446C6" w:rsidRDefault="00BE70B1" w:rsidP="008B662C">
      <w:pPr>
        <w:pStyle w:val="FootnoteText"/>
        <w:rPr>
          <w:rFonts w:ascii="Arial" w:hAnsi="Arial" w:cs="Arial"/>
          <w:sz w:val="18"/>
          <w:szCs w:val="18"/>
          <w:lang w:val="en-GB"/>
        </w:rPr>
      </w:pPr>
      <w:r w:rsidRPr="002446C6">
        <w:rPr>
          <w:rStyle w:val="FootnoteReference"/>
          <w:rFonts w:ascii="Arial" w:hAnsi="Arial" w:cs="Arial"/>
          <w:sz w:val="18"/>
          <w:szCs w:val="18"/>
        </w:rPr>
        <w:footnoteRef/>
      </w:r>
      <w:r w:rsidRPr="002446C6">
        <w:rPr>
          <w:rFonts w:ascii="Arial" w:hAnsi="Arial" w:cs="Arial"/>
          <w:sz w:val="18"/>
          <w:szCs w:val="18"/>
        </w:rPr>
        <w:t xml:space="preserve"> </w:t>
      </w:r>
      <w:r w:rsidRPr="002446C6">
        <w:rPr>
          <w:rFonts w:ascii="Arial" w:hAnsi="Arial" w:cs="Arial"/>
          <w:sz w:val="18"/>
          <w:szCs w:val="18"/>
          <w:lang w:val="en-GB"/>
        </w:rPr>
        <w:t>Space standards for homes, RIBA (December 2015)</w:t>
      </w:r>
    </w:p>
  </w:footnote>
  <w:footnote w:id="6">
    <w:p w:rsidR="00BE70B1" w:rsidRPr="00890737" w:rsidRDefault="00BE70B1" w:rsidP="006C3BDC">
      <w:pPr>
        <w:pStyle w:val="FootnoteText"/>
        <w:rPr>
          <w:rFonts w:ascii="Arial" w:hAnsi="Arial" w:cs="Arial"/>
          <w:sz w:val="20"/>
          <w:szCs w:val="20"/>
        </w:rPr>
      </w:pPr>
      <w:r w:rsidRPr="00890737">
        <w:rPr>
          <w:rStyle w:val="FootnoteReference"/>
          <w:rFonts w:ascii="Arial" w:hAnsi="Arial" w:cs="Arial"/>
          <w:sz w:val="20"/>
          <w:szCs w:val="20"/>
        </w:rPr>
        <w:footnoteRef/>
      </w:r>
      <w:r w:rsidRPr="00890737">
        <w:rPr>
          <w:rFonts w:ascii="Arial" w:hAnsi="Arial" w:cs="Arial"/>
          <w:sz w:val="20"/>
          <w:szCs w:val="20"/>
        </w:rPr>
        <w:t xml:space="preserve"> Administrative boundaries used by the Planning and Regeneration Area Teams. See map at appendix A8 in SHLAA 2019.</w:t>
      </w:r>
    </w:p>
  </w:footnote>
  <w:footnote w:id="7">
    <w:p w:rsidR="00BE70B1" w:rsidRPr="00BE70B1" w:rsidRDefault="00BE70B1">
      <w:pPr>
        <w:pStyle w:val="FootnoteText"/>
        <w:rPr>
          <w:rFonts w:ascii="Arial" w:hAnsi="Arial" w:cs="Arial"/>
          <w:sz w:val="20"/>
          <w:szCs w:val="20"/>
          <w:lang w:val="en-GB"/>
        </w:rPr>
      </w:pPr>
      <w:r w:rsidRPr="00BE70B1">
        <w:rPr>
          <w:rStyle w:val="FootnoteReference"/>
          <w:rFonts w:ascii="Arial" w:hAnsi="Arial" w:cs="Arial"/>
          <w:sz w:val="20"/>
          <w:szCs w:val="20"/>
        </w:rPr>
        <w:footnoteRef/>
      </w:r>
      <w:r w:rsidRPr="00BE70B1">
        <w:rPr>
          <w:rFonts w:ascii="Arial" w:hAnsi="Arial" w:cs="Arial"/>
          <w:sz w:val="20"/>
          <w:szCs w:val="20"/>
        </w:rPr>
        <w:t xml:space="preserve"> </w:t>
      </w:r>
      <w:r w:rsidRPr="00BE70B1">
        <w:rPr>
          <w:rFonts w:ascii="Arial" w:hAnsi="Arial" w:cs="Arial"/>
          <w:sz w:val="20"/>
          <w:szCs w:val="20"/>
          <w:lang w:val="en-GB"/>
        </w:rPr>
        <w:t>ONS 2014 sub national population projections</w:t>
      </w:r>
    </w:p>
  </w:footnote>
  <w:footnote w:id="8">
    <w:p w:rsidR="00BE70B1" w:rsidRPr="00BE70B1" w:rsidRDefault="00BE70B1" w:rsidP="006014D3">
      <w:pPr>
        <w:pStyle w:val="FootnoteText"/>
        <w:rPr>
          <w:rFonts w:ascii="Arial" w:hAnsi="Arial" w:cs="Arial"/>
          <w:sz w:val="20"/>
          <w:szCs w:val="20"/>
        </w:rPr>
      </w:pPr>
      <w:r w:rsidRPr="00BE70B1">
        <w:rPr>
          <w:rStyle w:val="FootnoteReference"/>
          <w:rFonts w:ascii="Arial" w:hAnsi="Arial" w:cs="Arial"/>
          <w:sz w:val="20"/>
          <w:szCs w:val="20"/>
        </w:rPr>
        <w:footnoteRef/>
      </w:r>
      <w:r w:rsidRPr="00BE70B1">
        <w:rPr>
          <w:rFonts w:ascii="Arial" w:hAnsi="Arial" w:cs="Arial"/>
          <w:sz w:val="20"/>
          <w:szCs w:val="20"/>
        </w:rPr>
        <w:t xml:space="preserve"> Birmingham JSNA 2018/19 Older Adults Social Care Outcomes Framework</w:t>
      </w:r>
    </w:p>
  </w:footnote>
  <w:footnote w:id="9">
    <w:p w:rsidR="00BE70B1" w:rsidRPr="002446C6" w:rsidRDefault="00BE70B1" w:rsidP="00D504CD">
      <w:pPr>
        <w:pStyle w:val="FootnoteText"/>
        <w:rPr>
          <w:rFonts w:ascii="Arial" w:hAnsi="Arial" w:cs="Arial"/>
          <w:sz w:val="18"/>
          <w:szCs w:val="18"/>
        </w:rPr>
      </w:pPr>
      <w:r w:rsidRPr="002446C6">
        <w:rPr>
          <w:rStyle w:val="FootnoteReference"/>
          <w:rFonts w:ascii="Arial" w:hAnsi="Arial" w:cs="Arial"/>
          <w:sz w:val="18"/>
          <w:szCs w:val="18"/>
        </w:rPr>
        <w:footnoteRef/>
      </w:r>
      <w:r w:rsidRPr="002446C6">
        <w:rPr>
          <w:rFonts w:ascii="Arial" w:hAnsi="Arial" w:cs="Arial"/>
          <w:sz w:val="18"/>
          <w:szCs w:val="18"/>
        </w:rPr>
        <w:t xml:space="preserve"> Family Resources Survey 2010/11 statement taken from https://www.gov.uk/government/publications/disability-facts-and-figures/disability-facts-and-figures#fn:3</w:t>
      </w:r>
    </w:p>
  </w:footnote>
  <w:footnote w:id="10">
    <w:p w:rsidR="00BE70B1" w:rsidRPr="00A6004D" w:rsidRDefault="00BE70B1">
      <w:pPr>
        <w:pStyle w:val="FootnoteText"/>
        <w:rPr>
          <w:rFonts w:ascii="Arial" w:hAnsi="Arial" w:cs="Arial"/>
          <w:sz w:val="20"/>
          <w:szCs w:val="20"/>
          <w:lang w:val="en-GB"/>
        </w:rPr>
      </w:pPr>
      <w:r w:rsidRPr="00A6004D">
        <w:rPr>
          <w:rStyle w:val="FootnoteReference"/>
          <w:rFonts w:ascii="Arial" w:hAnsi="Arial" w:cs="Arial"/>
          <w:sz w:val="20"/>
          <w:szCs w:val="20"/>
        </w:rPr>
        <w:footnoteRef/>
      </w:r>
      <w:r w:rsidRPr="00A6004D">
        <w:rPr>
          <w:rFonts w:ascii="Arial" w:hAnsi="Arial" w:cs="Arial"/>
          <w:sz w:val="20"/>
          <w:szCs w:val="20"/>
        </w:rPr>
        <w:t xml:space="preserve"> </w:t>
      </w:r>
      <w:r w:rsidRPr="00A6004D">
        <w:rPr>
          <w:rFonts w:ascii="Arial" w:hAnsi="Arial" w:cs="Arial"/>
          <w:sz w:val="20"/>
          <w:szCs w:val="20"/>
          <w:lang w:val="en-GB"/>
        </w:rPr>
        <w:t>Census 2011</w:t>
      </w:r>
    </w:p>
  </w:footnote>
  <w:footnote w:id="11">
    <w:p w:rsidR="00BE70B1" w:rsidRPr="000D4F8C" w:rsidRDefault="00BE70B1" w:rsidP="00A85A8F">
      <w:pPr>
        <w:pStyle w:val="NormalWeb"/>
        <w:spacing w:before="0" w:beforeAutospacing="0" w:after="0" w:afterAutospacing="0"/>
        <w:rPr>
          <w:rFonts w:ascii="Times New Roman" w:eastAsia="Times New Roman" w:hAnsi="Times New Roman"/>
          <w:sz w:val="24"/>
          <w:szCs w:val="24"/>
          <w:lang w:eastAsia="en-GB"/>
        </w:rPr>
      </w:pPr>
      <w:r>
        <w:rPr>
          <w:rStyle w:val="FootnoteReference"/>
        </w:rPr>
        <w:footnoteRef/>
      </w:r>
      <w:r>
        <w:t xml:space="preserve"> </w:t>
      </w:r>
      <w:r w:rsidRPr="000D4F8C">
        <w:rPr>
          <w:rFonts w:ascii="ArialMT" w:eastAsia="Times New Roman" w:hAnsi="ArialMT"/>
          <w:sz w:val="18"/>
          <w:szCs w:val="18"/>
          <w:lang w:eastAsia="en-GB"/>
        </w:rPr>
        <w:t>Projecting Older People Population Information System,</w:t>
      </w:r>
      <w:r>
        <w:rPr>
          <w:rFonts w:ascii="ArialMT" w:eastAsia="Times New Roman" w:hAnsi="ArialMT"/>
          <w:sz w:val="18"/>
          <w:szCs w:val="18"/>
          <w:lang w:eastAsia="en-GB"/>
        </w:rPr>
        <w:t xml:space="preserve"> 2019 data</w:t>
      </w:r>
      <w:r w:rsidRPr="000D4F8C">
        <w:rPr>
          <w:rFonts w:ascii="ArialMT" w:eastAsia="Times New Roman" w:hAnsi="ArialMT"/>
          <w:sz w:val="18"/>
          <w:szCs w:val="18"/>
          <w:lang w:eastAsia="en-GB"/>
        </w:rPr>
        <w:t xml:space="preserve"> </w:t>
      </w:r>
      <w:r w:rsidRPr="000D4F8C">
        <w:rPr>
          <w:rFonts w:ascii="ArialMT" w:eastAsia="Times New Roman" w:hAnsi="ArialMT"/>
          <w:color w:val="7F7F7F"/>
          <w:sz w:val="18"/>
          <w:szCs w:val="18"/>
          <w:lang w:eastAsia="en-GB"/>
        </w:rPr>
        <w:t xml:space="preserve">www.poppi.org.uk </w:t>
      </w:r>
    </w:p>
  </w:footnote>
  <w:footnote w:id="12">
    <w:p w:rsidR="00BE70B1" w:rsidRPr="000D4F8C" w:rsidRDefault="00BE70B1" w:rsidP="00A85A8F">
      <w:pPr>
        <w:pStyle w:val="NormalWeb"/>
        <w:spacing w:before="0" w:beforeAutospacing="0" w:after="0" w:afterAutospacing="0"/>
        <w:rPr>
          <w:rFonts w:ascii="Times New Roman" w:eastAsia="Times New Roman" w:hAnsi="Times New Roman"/>
          <w:sz w:val="24"/>
          <w:szCs w:val="24"/>
          <w:lang w:eastAsia="en-GB"/>
        </w:rPr>
      </w:pPr>
      <w:r>
        <w:rPr>
          <w:rStyle w:val="FootnoteReference"/>
        </w:rPr>
        <w:footnoteRef/>
      </w:r>
      <w:r>
        <w:t xml:space="preserve"> </w:t>
      </w:r>
      <w:r w:rsidRPr="000D4F8C">
        <w:rPr>
          <w:rFonts w:ascii="ArialMT" w:eastAsia="Times New Roman" w:hAnsi="ArialMT"/>
          <w:sz w:val="18"/>
          <w:szCs w:val="18"/>
          <w:lang w:eastAsia="en-GB"/>
        </w:rPr>
        <w:t xml:space="preserve">Projecting Adult Needs and Service Information System, </w:t>
      </w:r>
      <w:r>
        <w:rPr>
          <w:rFonts w:ascii="ArialMT" w:eastAsia="Times New Roman" w:hAnsi="ArialMT"/>
          <w:sz w:val="18"/>
          <w:szCs w:val="18"/>
          <w:lang w:eastAsia="en-GB"/>
        </w:rPr>
        <w:t xml:space="preserve">20139 data </w:t>
      </w:r>
      <w:r w:rsidRPr="000D4F8C">
        <w:rPr>
          <w:rFonts w:ascii="ArialMT" w:eastAsia="Times New Roman" w:hAnsi="ArialMT"/>
          <w:color w:val="7F7F7F"/>
          <w:sz w:val="18"/>
          <w:szCs w:val="18"/>
          <w:lang w:eastAsia="en-GB"/>
        </w:rPr>
        <w:t xml:space="preserve">www.pansi.org.uk </w:t>
      </w:r>
    </w:p>
    <w:p w:rsidR="00BE70B1" w:rsidRDefault="00BE70B1" w:rsidP="00A85A8F">
      <w:pPr>
        <w:pStyle w:val="FootnoteText"/>
      </w:pPr>
    </w:p>
  </w:footnote>
  <w:footnote w:id="13">
    <w:p w:rsidR="00BE70B1" w:rsidRPr="002446C6" w:rsidRDefault="00BE70B1" w:rsidP="00A85A8F">
      <w:pPr>
        <w:pStyle w:val="FootnoteText"/>
        <w:rPr>
          <w:rFonts w:ascii="Arial" w:hAnsi="Arial" w:cs="Arial"/>
          <w:sz w:val="18"/>
          <w:szCs w:val="18"/>
          <w:lang w:val="en-GB"/>
        </w:rPr>
      </w:pPr>
      <w:r w:rsidRPr="002446C6">
        <w:rPr>
          <w:rStyle w:val="FootnoteReference"/>
          <w:rFonts w:ascii="Arial" w:hAnsi="Arial" w:cs="Arial"/>
          <w:sz w:val="18"/>
          <w:szCs w:val="18"/>
        </w:rPr>
        <w:footnoteRef/>
      </w:r>
      <w:r w:rsidRPr="002446C6">
        <w:rPr>
          <w:rFonts w:ascii="Arial" w:hAnsi="Arial" w:cs="Arial"/>
          <w:sz w:val="18"/>
          <w:szCs w:val="18"/>
        </w:rPr>
        <w:t xml:space="preserve"> </w:t>
      </w:r>
      <w:r w:rsidRPr="002446C6">
        <w:rPr>
          <w:rFonts w:ascii="Arial" w:hAnsi="Arial" w:cs="Arial"/>
          <w:sz w:val="18"/>
          <w:szCs w:val="18"/>
          <w:lang w:val="en-GB"/>
        </w:rPr>
        <w:t>Health Profile for the Birmingham published by Public Health England (3 July 2018)</w:t>
      </w:r>
    </w:p>
  </w:footnote>
  <w:footnote w:id="14">
    <w:p w:rsidR="00BE70B1" w:rsidRPr="002446C6" w:rsidRDefault="00BE70B1" w:rsidP="000369CE">
      <w:pPr>
        <w:pStyle w:val="FootnoteText"/>
        <w:rPr>
          <w:rFonts w:ascii="Arial" w:hAnsi="Arial" w:cs="Arial"/>
          <w:sz w:val="18"/>
          <w:szCs w:val="18"/>
        </w:rPr>
      </w:pPr>
      <w:r w:rsidRPr="002446C6">
        <w:rPr>
          <w:rStyle w:val="FootnoteReference"/>
          <w:rFonts w:ascii="Arial" w:hAnsi="Arial" w:cs="Arial"/>
          <w:sz w:val="18"/>
          <w:szCs w:val="18"/>
        </w:rPr>
        <w:footnoteRef/>
      </w:r>
      <w:r w:rsidRPr="002446C6">
        <w:rPr>
          <w:rFonts w:ascii="Arial" w:hAnsi="Arial" w:cs="Arial"/>
          <w:sz w:val="18"/>
          <w:szCs w:val="18"/>
        </w:rPr>
        <w:t xml:space="preserve"> Birmingham Strategic Housing Market Assessment (2013)</w:t>
      </w:r>
    </w:p>
  </w:footnote>
  <w:footnote w:id="15">
    <w:p w:rsidR="00BE70B1" w:rsidRPr="00226795" w:rsidRDefault="00BE70B1">
      <w:pPr>
        <w:pStyle w:val="FootnoteText"/>
        <w:rPr>
          <w:rFonts w:ascii="Arial" w:hAnsi="Arial" w:cs="Arial"/>
          <w:sz w:val="18"/>
          <w:szCs w:val="18"/>
        </w:rPr>
      </w:pPr>
      <w:r w:rsidRPr="00226795">
        <w:rPr>
          <w:rStyle w:val="FootnoteReference"/>
          <w:rFonts w:ascii="Arial" w:hAnsi="Arial" w:cs="Arial"/>
          <w:sz w:val="18"/>
          <w:szCs w:val="18"/>
        </w:rPr>
        <w:footnoteRef/>
      </w:r>
      <w:r w:rsidRPr="00226795">
        <w:rPr>
          <w:rFonts w:ascii="Arial" w:hAnsi="Arial" w:cs="Arial"/>
          <w:sz w:val="18"/>
          <w:szCs w:val="18"/>
        </w:rPr>
        <w:t xml:space="preserve"> English Housing Survey Headline Report, 2014-15</w:t>
      </w:r>
    </w:p>
  </w:footnote>
  <w:footnote w:id="16">
    <w:p w:rsidR="00BE70B1" w:rsidRPr="002F556B" w:rsidRDefault="00BE70B1">
      <w:pPr>
        <w:pStyle w:val="FootnoteText"/>
        <w:rPr>
          <w:rFonts w:ascii="Arial" w:hAnsi="Arial" w:cs="Arial"/>
          <w:sz w:val="18"/>
          <w:szCs w:val="18"/>
        </w:rPr>
      </w:pPr>
      <w:r w:rsidRPr="002F556B">
        <w:rPr>
          <w:rStyle w:val="FootnoteReference"/>
          <w:rFonts w:ascii="Arial" w:hAnsi="Arial" w:cs="Arial"/>
          <w:sz w:val="18"/>
          <w:szCs w:val="18"/>
        </w:rPr>
        <w:footnoteRef/>
      </w:r>
      <w:r w:rsidRPr="002F556B">
        <w:rPr>
          <w:rFonts w:ascii="Arial" w:hAnsi="Arial" w:cs="Arial"/>
          <w:sz w:val="18"/>
          <w:szCs w:val="18"/>
        </w:rPr>
        <w:t xml:space="preserve"> English Housing Survey Headline Report, 2018-19</w:t>
      </w:r>
    </w:p>
  </w:footnote>
  <w:footnote w:id="17">
    <w:p w:rsidR="00BE70B1" w:rsidRPr="000E536B" w:rsidRDefault="00BE70B1" w:rsidP="00347B1E">
      <w:pPr>
        <w:pStyle w:val="FootnoteText"/>
        <w:rPr>
          <w:rFonts w:ascii="Arial" w:hAnsi="Arial" w:cs="Arial"/>
          <w:sz w:val="20"/>
          <w:szCs w:val="20"/>
          <w:lang w:val="en-GB"/>
        </w:rPr>
      </w:pPr>
      <w:r w:rsidRPr="000E536B">
        <w:rPr>
          <w:rStyle w:val="FootnoteReference"/>
          <w:rFonts w:ascii="Arial" w:hAnsi="Arial" w:cs="Arial"/>
          <w:sz w:val="20"/>
          <w:szCs w:val="20"/>
        </w:rPr>
        <w:footnoteRef/>
      </w:r>
      <w:r w:rsidRPr="000E536B">
        <w:rPr>
          <w:rFonts w:ascii="Arial" w:hAnsi="Arial" w:cs="Arial"/>
          <w:sz w:val="20"/>
          <w:szCs w:val="20"/>
        </w:rPr>
        <w:t xml:space="preserve"> </w:t>
      </w:r>
      <w:r w:rsidRPr="000E536B">
        <w:rPr>
          <w:rFonts w:ascii="Arial" w:hAnsi="Arial" w:cs="Arial"/>
          <w:sz w:val="20"/>
          <w:szCs w:val="20"/>
          <w:lang w:val="en-GB"/>
        </w:rPr>
        <w:t>Census 2011</w:t>
      </w:r>
    </w:p>
  </w:footnote>
  <w:footnote w:id="18">
    <w:p w:rsidR="000E536B" w:rsidRPr="00F626FA" w:rsidRDefault="000E536B" w:rsidP="000E536B">
      <w:pPr>
        <w:pStyle w:val="FootnoteText"/>
        <w:rPr>
          <w:rFonts w:ascii="Arial" w:hAnsi="Arial" w:cs="Arial"/>
          <w:sz w:val="20"/>
          <w:szCs w:val="20"/>
        </w:rPr>
      </w:pPr>
      <w:r w:rsidRPr="00F626FA">
        <w:rPr>
          <w:rStyle w:val="FootnoteReference"/>
          <w:rFonts w:ascii="Arial" w:hAnsi="Arial" w:cs="Arial"/>
          <w:sz w:val="20"/>
          <w:szCs w:val="20"/>
        </w:rPr>
        <w:footnoteRef/>
      </w:r>
      <w:r w:rsidRPr="00F626FA">
        <w:rPr>
          <w:rFonts w:ascii="Arial" w:hAnsi="Arial" w:cs="Arial"/>
          <w:sz w:val="20"/>
          <w:szCs w:val="20"/>
        </w:rPr>
        <w:t xml:space="preserve"> Mid-2019 Population estimate</w:t>
      </w:r>
    </w:p>
  </w:footnote>
  <w:footnote w:id="19">
    <w:p w:rsidR="000E536B" w:rsidRPr="00F626FA" w:rsidRDefault="000E536B">
      <w:pPr>
        <w:pStyle w:val="FootnoteText"/>
        <w:rPr>
          <w:rFonts w:ascii="Arial" w:hAnsi="Arial" w:cs="Arial"/>
          <w:sz w:val="20"/>
          <w:szCs w:val="20"/>
          <w:lang w:val="en-GB"/>
        </w:rPr>
      </w:pPr>
      <w:r w:rsidRPr="00F626FA">
        <w:rPr>
          <w:rStyle w:val="FootnoteReference"/>
          <w:rFonts w:ascii="Arial" w:hAnsi="Arial" w:cs="Arial"/>
          <w:sz w:val="20"/>
          <w:szCs w:val="20"/>
        </w:rPr>
        <w:footnoteRef/>
      </w:r>
      <w:r w:rsidRPr="00F626FA">
        <w:rPr>
          <w:rFonts w:ascii="Arial" w:hAnsi="Arial" w:cs="Arial"/>
          <w:sz w:val="20"/>
          <w:szCs w:val="20"/>
        </w:rPr>
        <w:t xml:space="preserve"> ONS 2014 sub national population projections</w:t>
      </w:r>
    </w:p>
  </w:footnote>
  <w:footnote w:id="20">
    <w:p w:rsidR="00F626FA" w:rsidRPr="00F626FA" w:rsidRDefault="00F626FA">
      <w:pPr>
        <w:pStyle w:val="FootnoteText"/>
        <w:rPr>
          <w:rFonts w:ascii="Arial" w:hAnsi="Arial" w:cs="Arial"/>
          <w:sz w:val="20"/>
          <w:szCs w:val="20"/>
          <w:lang w:val="en-GB"/>
        </w:rPr>
      </w:pPr>
      <w:r w:rsidRPr="00F626FA">
        <w:rPr>
          <w:rStyle w:val="FootnoteReference"/>
          <w:rFonts w:ascii="Arial" w:hAnsi="Arial" w:cs="Arial"/>
          <w:sz w:val="20"/>
          <w:szCs w:val="20"/>
        </w:rPr>
        <w:footnoteRef/>
      </w:r>
      <w:r w:rsidRPr="00F626FA">
        <w:rPr>
          <w:rFonts w:ascii="Arial" w:hAnsi="Arial" w:cs="Arial"/>
          <w:sz w:val="20"/>
          <w:szCs w:val="20"/>
        </w:rPr>
        <w:t xml:space="preserve"> ONS’ 2014-based household projections</w:t>
      </w:r>
    </w:p>
  </w:footnote>
  <w:footnote w:id="21">
    <w:p w:rsidR="00BE70B1" w:rsidRPr="00F626FA" w:rsidRDefault="00BE70B1" w:rsidP="00924FB4">
      <w:pPr>
        <w:pStyle w:val="NormalWeb"/>
        <w:spacing w:before="0" w:beforeAutospacing="0" w:after="0" w:afterAutospacing="0"/>
        <w:rPr>
          <w:rFonts w:ascii="Arial" w:eastAsia="Times New Roman" w:hAnsi="Arial" w:cs="Arial"/>
          <w:lang w:eastAsia="en-GB"/>
        </w:rPr>
      </w:pPr>
      <w:r w:rsidRPr="00F626FA">
        <w:rPr>
          <w:rStyle w:val="FootnoteReference"/>
          <w:rFonts w:ascii="Arial" w:hAnsi="Arial" w:cs="Arial"/>
        </w:rPr>
        <w:footnoteRef/>
      </w:r>
      <w:r w:rsidRPr="00F626FA">
        <w:rPr>
          <w:rFonts w:ascii="Arial" w:hAnsi="Arial" w:cs="Arial"/>
        </w:rPr>
        <w:t xml:space="preserve"> </w:t>
      </w:r>
      <w:r w:rsidRPr="00F626FA">
        <w:rPr>
          <w:rFonts w:ascii="Arial" w:eastAsia="Times New Roman" w:hAnsi="Arial" w:cs="Arial"/>
          <w:lang w:eastAsia="en-GB"/>
        </w:rPr>
        <w:t xml:space="preserve">Projecting Older People Population Information System, 2019 data </w:t>
      </w:r>
      <w:r w:rsidRPr="00F626FA">
        <w:rPr>
          <w:rFonts w:ascii="Arial" w:eastAsia="Times New Roman" w:hAnsi="Arial" w:cs="Arial"/>
          <w:color w:val="7F7F7F"/>
          <w:lang w:eastAsia="en-GB"/>
        </w:rPr>
        <w:t xml:space="preserve">www.poppi.org.uk </w:t>
      </w:r>
    </w:p>
    <w:p w:rsidR="00BE70B1" w:rsidRPr="00924FB4" w:rsidRDefault="00BE70B1" w:rsidP="00924FB4">
      <w:pPr>
        <w:pStyle w:val="FootnoteText"/>
        <w:rPr>
          <w:rFonts w:ascii="Arial" w:hAnsi="Arial" w:cs="Arial"/>
          <w:sz w:val="20"/>
          <w:szCs w:val="20"/>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199"/>
    <w:multiLevelType w:val="multilevel"/>
    <w:tmpl w:val="B3183080"/>
    <w:lvl w:ilvl="0">
      <w:start w:val="3"/>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45A8B"/>
    <w:multiLevelType w:val="hybridMultilevel"/>
    <w:tmpl w:val="9148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1E44CA"/>
    <w:multiLevelType w:val="hybridMultilevel"/>
    <w:tmpl w:val="659C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875154"/>
    <w:multiLevelType w:val="multilevel"/>
    <w:tmpl w:val="B5EC9E0E"/>
    <w:lvl w:ilvl="0">
      <w:start w:val="3"/>
      <w:numFmt w:val="decimal"/>
      <w:lvlText w:val="%1"/>
      <w:lvlJc w:val="left"/>
      <w:pPr>
        <w:ind w:left="420" w:hanging="420"/>
      </w:pPr>
      <w:rPr>
        <w:rFonts w:hint="default"/>
      </w:rPr>
    </w:lvl>
    <w:lvl w:ilvl="1">
      <w:start w:val="3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1568EC"/>
    <w:multiLevelType w:val="hybridMultilevel"/>
    <w:tmpl w:val="1ACEDA04"/>
    <w:lvl w:ilvl="0" w:tplc="797AE130">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21607"/>
    <w:multiLevelType w:val="hybridMultilevel"/>
    <w:tmpl w:val="6A6E92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8644E05"/>
    <w:multiLevelType w:val="hybridMultilevel"/>
    <w:tmpl w:val="9A263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CE6E98"/>
    <w:multiLevelType w:val="multilevel"/>
    <w:tmpl w:val="C898E72C"/>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color w:val="auto"/>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C37617"/>
    <w:multiLevelType w:val="multilevel"/>
    <w:tmpl w:val="29667682"/>
    <w:lvl w:ilvl="0">
      <w:start w:val="3"/>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505601"/>
    <w:multiLevelType w:val="multilevel"/>
    <w:tmpl w:val="452C2326"/>
    <w:lvl w:ilvl="0">
      <w:start w:val="3"/>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980C0D"/>
    <w:multiLevelType w:val="multilevel"/>
    <w:tmpl w:val="EDAECCC2"/>
    <w:lvl w:ilvl="0">
      <w:start w:val="3"/>
      <w:numFmt w:val="decimal"/>
      <w:lvlText w:val="%1"/>
      <w:lvlJc w:val="left"/>
      <w:pPr>
        <w:ind w:left="420" w:hanging="420"/>
      </w:pPr>
      <w:rPr>
        <w:rFonts w:hint="default"/>
      </w:rPr>
    </w:lvl>
    <w:lvl w:ilvl="1">
      <w:start w:val="3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911019"/>
    <w:multiLevelType w:val="hybridMultilevel"/>
    <w:tmpl w:val="9D6CD2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B8440D6"/>
    <w:multiLevelType w:val="hybridMultilevel"/>
    <w:tmpl w:val="FE84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76CA1"/>
    <w:multiLevelType w:val="hybridMultilevel"/>
    <w:tmpl w:val="3A10E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E1432"/>
    <w:multiLevelType w:val="multilevel"/>
    <w:tmpl w:val="EF18F76E"/>
    <w:lvl w:ilvl="0">
      <w:start w:val="3"/>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0B2714"/>
    <w:multiLevelType w:val="hybridMultilevel"/>
    <w:tmpl w:val="B0122DD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6" w15:restartNumberingAfterBreak="0">
    <w:nsid w:val="54AB6559"/>
    <w:multiLevelType w:val="hybridMultilevel"/>
    <w:tmpl w:val="B8FC1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73BCB"/>
    <w:multiLevelType w:val="hybridMultilevel"/>
    <w:tmpl w:val="5358D9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8A31BAE"/>
    <w:multiLevelType w:val="hybridMultilevel"/>
    <w:tmpl w:val="90021AF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7466CE"/>
    <w:multiLevelType w:val="multilevel"/>
    <w:tmpl w:val="76C25C8E"/>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770769"/>
    <w:multiLevelType w:val="multilevel"/>
    <w:tmpl w:val="EABCB600"/>
    <w:lvl w:ilvl="0">
      <w:start w:val="3"/>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B831BB"/>
    <w:multiLevelType w:val="hybridMultilevel"/>
    <w:tmpl w:val="1C12316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2" w15:restartNumberingAfterBreak="0">
    <w:nsid w:val="69524680"/>
    <w:multiLevelType w:val="hybridMultilevel"/>
    <w:tmpl w:val="BBD426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CD2119E"/>
    <w:multiLevelType w:val="hybridMultilevel"/>
    <w:tmpl w:val="3D2414C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4A11FE7"/>
    <w:multiLevelType w:val="hybridMultilevel"/>
    <w:tmpl w:val="43F8CE6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5" w15:restartNumberingAfterBreak="0">
    <w:nsid w:val="76417823"/>
    <w:multiLevelType w:val="multilevel"/>
    <w:tmpl w:val="5FE0868E"/>
    <w:lvl w:ilvl="0">
      <w:start w:val="3"/>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7F62F1"/>
    <w:multiLevelType w:val="multilevel"/>
    <w:tmpl w:val="05F6195C"/>
    <w:lvl w:ilvl="0">
      <w:start w:val="3"/>
      <w:numFmt w:val="decimal"/>
      <w:lvlText w:val="%1"/>
      <w:lvlJc w:val="left"/>
      <w:pPr>
        <w:ind w:left="420" w:hanging="420"/>
      </w:pPr>
      <w:rPr>
        <w:rFonts w:hint="default"/>
      </w:rPr>
    </w:lvl>
    <w:lvl w:ilvl="1">
      <w:start w:val="3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644948"/>
    <w:multiLevelType w:val="hybridMultilevel"/>
    <w:tmpl w:val="2BF4A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21"/>
  </w:num>
  <w:num w:numId="4">
    <w:abstractNumId w:val="23"/>
  </w:num>
  <w:num w:numId="5">
    <w:abstractNumId w:val="24"/>
  </w:num>
  <w:num w:numId="6">
    <w:abstractNumId w:val="13"/>
  </w:num>
  <w:num w:numId="7">
    <w:abstractNumId w:val="6"/>
  </w:num>
  <w:num w:numId="8">
    <w:abstractNumId w:val="22"/>
  </w:num>
  <w:num w:numId="9">
    <w:abstractNumId w:val="2"/>
  </w:num>
  <w:num w:numId="10">
    <w:abstractNumId w:val="15"/>
  </w:num>
  <w:num w:numId="11">
    <w:abstractNumId w:val="18"/>
  </w:num>
  <w:num w:numId="12">
    <w:abstractNumId w:val="4"/>
  </w:num>
  <w:num w:numId="13">
    <w:abstractNumId w:val="16"/>
  </w:num>
  <w:num w:numId="14">
    <w:abstractNumId w:val="1"/>
  </w:num>
  <w:num w:numId="15">
    <w:abstractNumId w:val="17"/>
  </w:num>
  <w:num w:numId="16">
    <w:abstractNumId w:val="20"/>
  </w:num>
  <w:num w:numId="17">
    <w:abstractNumId w:val="3"/>
  </w:num>
  <w:num w:numId="18">
    <w:abstractNumId w:val="19"/>
  </w:num>
  <w:num w:numId="19">
    <w:abstractNumId w:val="14"/>
  </w:num>
  <w:num w:numId="20">
    <w:abstractNumId w:val="26"/>
  </w:num>
  <w:num w:numId="21">
    <w:abstractNumId w:val="5"/>
  </w:num>
  <w:num w:numId="22">
    <w:abstractNumId w:val="12"/>
  </w:num>
  <w:num w:numId="23">
    <w:abstractNumId w:val="27"/>
  </w:num>
  <w:num w:numId="24">
    <w:abstractNumId w:val="25"/>
  </w:num>
  <w:num w:numId="25">
    <w:abstractNumId w:val="8"/>
  </w:num>
  <w:num w:numId="26">
    <w:abstractNumId w:val="0"/>
  </w:num>
  <w:num w:numId="27">
    <w:abstractNumId w:val="9"/>
  </w:num>
  <w:num w:numId="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F5"/>
    <w:rsid w:val="0000124D"/>
    <w:rsid w:val="0000232E"/>
    <w:rsid w:val="0000667E"/>
    <w:rsid w:val="00006EE9"/>
    <w:rsid w:val="0001384D"/>
    <w:rsid w:val="00016F7B"/>
    <w:rsid w:val="0001715C"/>
    <w:rsid w:val="000249D1"/>
    <w:rsid w:val="000264BF"/>
    <w:rsid w:val="00027BF1"/>
    <w:rsid w:val="000307F5"/>
    <w:rsid w:val="0003230A"/>
    <w:rsid w:val="00032400"/>
    <w:rsid w:val="00033BAA"/>
    <w:rsid w:val="000369CE"/>
    <w:rsid w:val="000403D7"/>
    <w:rsid w:val="00045298"/>
    <w:rsid w:val="0004532E"/>
    <w:rsid w:val="000470BB"/>
    <w:rsid w:val="00051EDC"/>
    <w:rsid w:val="00052430"/>
    <w:rsid w:val="00066A16"/>
    <w:rsid w:val="00071525"/>
    <w:rsid w:val="00075022"/>
    <w:rsid w:val="000769E1"/>
    <w:rsid w:val="00081AB2"/>
    <w:rsid w:val="00084BF1"/>
    <w:rsid w:val="0008719C"/>
    <w:rsid w:val="00093852"/>
    <w:rsid w:val="000940F6"/>
    <w:rsid w:val="00095FD1"/>
    <w:rsid w:val="000A1C3C"/>
    <w:rsid w:val="000A2143"/>
    <w:rsid w:val="000A258D"/>
    <w:rsid w:val="000A2B38"/>
    <w:rsid w:val="000A6CCE"/>
    <w:rsid w:val="000B6875"/>
    <w:rsid w:val="000B7817"/>
    <w:rsid w:val="000C4E10"/>
    <w:rsid w:val="000C51B2"/>
    <w:rsid w:val="000D0B85"/>
    <w:rsid w:val="000D4F8C"/>
    <w:rsid w:val="000E072B"/>
    <w:rsid w:val="000E0D8D"/>
    <w:rsid w:val="000E1A5B"/>
    <w:rsid w:val="000E3BF7"/>
    <w:rsid w:val="000E46BE"/>
    <w:rsid w:val="000E536B"/>
    <w:rsid w:val="000E67F2"/>
    <w:rsid w:val="000E78AE"/>
    <w:rsid w:val="000E7AC6"/>
    <w:rsid w:val="000F779C"/>
    <w:rsid w:val="0010760E"/>
    <w:rsid w:val="00110067"/>
    <w:rsid w:val="00114A6D"/>
    <w:rsid w:val="00116111"/>
    <w:rsid w:val="00116388"/>
    <w:rsid w:val="00116648"/>
    <w:rsid w:val="0012119F"/>
    <w:rsid w:val="00130840"/>
    <w:rsid w:val="001349EF"/>
    <w:rsid w:val="0013514F"/>
    <w:rsid w:val="00143FD5"/>
    <w:rsid w:val="0015645F"/>
    <w:rsid w:val="0015700B"/>
    <w:rsid w:val="001609B7"/>
    <w:rsid w:val="001634CD"/>
    <w:rsid w:val="001634FC"/>
    <w:rsid w:val="00165FC0"/>
    <w:rsid w:val="0016732D"/>
    <w:rsid w:val="00167B7C"/>
    <w:rsid w:val="001702A4"/>
    <w:rsid w:val="00171CCC"/>
    <w:rsid w:val="001773FC"/>
    <w:rsid w:val="00180B5F"/>
    <w:rsid w:val="00184D02"/>
    <w:rsid w:val="00192356"/>
    <w:rsid w:val="001976CC"/>
    <w:rsid w:val="00197F3D"/>
    <w:rsid w:val="001A3BB6"/>
    <w:rsid w:val="001A7850"/>
    <w:rsid w:val="001B3A80"/>
    <w:rsid w:val="001C7A4D"/>
    <w:rsid w:val="001D3A17"/>
    <w:rsid w:val="001D44AC"/>
    <w:rsid w:val="001D463A"/>
    <w:rsid w:val="001D5ABE"/>
    <w:rsid w:val="001D7490"/>
    <w:rsid w:val="001D7FD0"/>
    <w:rsid w:val="001E142E"/>
    <w:rsid w:val="001E200D"/>
    <w:rsid w:val="001E53CB"/>
    <w:rsid w:val="001E570C"/>
    <w:rsid w:val="001F2D50"/>
    <w:rsid w:val="00200D11"/>
    <w:rsid w:val="00203348"/>
    <w:rsid w:val="002074E9"/>
    <w:rsid w:val="002075F2"/>
    <w:rsid w:val="002079A2"/>
    <w:rsid w:val="00210A19"/>
    <w:rsid w:val="00215C49"/>
    <w:rsid w:val="00221F04"/>
    <w:rsid w:val="00221F23"/>
    <w:rsid w:val="002225FD"/>
    <w:rsid w:val="0022321A"/>
    <w:rsid w:val="00224EE7"/>
    <w:rsid w:val="00226795"/>
    <w:rsid w:val="00226B29"/>
    <w:rsid w:val="00230F53"/>
    <w:rsid w:val="00241739"/>
    <w:rsid w:val="00242F19"/>
    <w:rsid w:val="002446C6"/>
    <w:rsid w:val="00245AF6"/>
    <w:rsid w:val="002502A0"/>
    <w:rsid w:val="002606E8"/>
    <w:rsid w:val="002616B3"/>
    <w:rsid w:val="00262FB7"/>
    <w:rsid w:val="002711D1"/>
    <w:rsid w:val="0027495D"/>
    <w:rsid w:val="0027555C"/>
    <w:rsid w:val="00287223"/>
    <w:rsid w:val="00290497"/>
    <w:rsid w:val="002979BE"/>
    <w:rsid w:val="002A0300"/>
    <w:rsid w:val="002A031A"/>
    <w:rsid w:val="002A08C5"/>
    <w:rsid w:val="002A291F"/>
    <w:rsid w:val="002A653B"/>
    <w:rsid w:val="002B681D"/>
    <w:rsid w:val="002C0870"/>
    <w:rsid w:val="002C2EF3"/>
    <w:rsid w:val="002D1501"/>
    <w:rsid w:val="002D4CCB"/>
    <w:rsid w:val="002D7E2D"/>
    <w:rsid w:val="002E3AE1"/>
    <w:rsid w:val="002F1AF2"/>
    <w:rsid w:val="002F556B"/>
    <w:rsid w:val="002F6589"/>
    <w:rsid w:val="00300D05"/>
    <w:rsid w:val="003122D0"/>
    <w:rsid w:val="00312819"/>
    <w:rsid w:val="00314101"/>
    <w:rsid w:val="003206D8"/>
    <w:rsid w:val="0032393D"/>
    <w:rsid w:val="00325D60"/>
    <w:rsid w:val="00326697"/>
    <w:rsid w:val="003301F1"/>
    <w:rsid w:val="003338D4"/>
    <w:rsid w:val="00333E6C"/>
    <w:rsid w:val="003365A7"/>
    <w:rsid w:val="00337371"/>
    <w:rsid w:val="0034352A"/>
    <w:rsid w:val="00343CB6"/>
    <w:rsid w:val="00344A94"/>
    <w:rsid w:val="00345BDC"/>
    <w:rsid w:val="003466FB"/>
    <w:rsid w:val="00347877"/>
    <w:rsid w:val="00347B1E"/>
    <w:rsid w:val="00351E1F"/>
    <w:rsid w:val="00355FF8"/>
    <w:rsid w:val="0035645D"/>
    <w:rsid w:val="00357410"/>
    <w:rsid w:val="003600D2"/>
    <w:rsid w:val="003619A1"/>
    <w:rsid w:val="0036256C"/>
    <w:rsid w:val="00363F52"/>
    <w:rsid w:val="0036501D"/>
    <w:rsid w:val="00365A8B"/>
    <w:rsid w:val="003706BF"/>
    <w:rsid w:val="00372263"/>
    <w:rsid w:val="00372434"/>
    <w:rsid w:val="003732DE"/>
    <w:rsid w:val="00381F1A"/>
    <w:rsid w:val="00385D68"/>
    <w:rsid w:val="00386C50"/>
    <w:rsid w:val="00392E74"/>
    <w:rsid w:val="00392EC0"/>
    <w:rsid w:val="003950DA"/>
    <w:rsid w:val="00397D4E"/>
    <w:rsid w:val="003A3BB2"/>
    <w:rsid w:val="003A6001"/>
    <w:rsid w:val="003A6936"/>
    <w:rsid w:val="003B0BF5"/>
    <w:rsid w:val="003B3294"/>
    <w:rsid w:val="003B4D40"/>
    <w:rsid w:val="003C002C"/>
    <w:rsid w:val="003C013E"/>
    <w:rsid w:val="003D0000"/>
    <w:rsid w:val="003D26DD"/>
    <w:rsid w:val="003D320B"/>
    <w:rsid w:val="003D3EFA"/>
    <w:rsid w:val="003E116E"/>
    <w:rsid w:val="003E12A8"/>
    <w:rsid w:val="003E2158"/>
    <w:rsid w:val="003E2C0A"/>
    <w:rsid w:val="003E3987"/>
    <w:rsid w:val="003E4126"/>
    <w:rsid w:val="003E7685"/>
    <w:rsid w:val="003F053E"/>
    <w:rsid w:val="003F22C6"/>
    <w:rsid w:val="00403A49"/>
    <w:rsid w:val="00405380"/>
    <w:rsid w:val="0041060E"/>
    <w:rsid w:val="00410B45"/>
    <w:rsid w:val="00411EE2"/>
    <w:rsid w:val="00413528"/>
    <w:rsid w:val="0041389F"/>
    <w:rsid w:val="00413BA0"/>
    <w:rsid w:val="0041678D"/>
    <w:rsid w:val="0042248D"/>
    <w:rsid w:val="00424876"/>
    <w:rsid w:val="00424EB8"/>
    <w:rsid w:val="00440B07"/>
    <w:rsid w:val="00441555"/>
    <w:rsid w:val="00444AC6"/>
    <w:rsid w:val="00447ECB"/>
    <w:rsid w:val="004509DE"/>
    <w:rsid w:val="0045529C"/>
    <w:rsid w:val="0045580E"/>
    <w:rsid w:val="004571A6"/>
    <w:rsid w:val="00461A42"/>
    <w:rsid w:val="004651E5"/>
    <w:rsid w:val="0047540F"/>
    <w:rsid w:val="00482063"/>
    <w:rsid w:val="0048286E"/>
    <w:rsid w:val="004870EC"/>
    <w:rsid w:val="004872E2"/>
    <w:rsid w:val="00491A40"/>
    <w:rsid w:val="004925A1"/>
    <w:rsid w:val="00494498"/>
    <w:rsid w:val="004A15E6"/>
    <w:rsid w:val="004A19F7"/>
    <w:rsid w:val="004A4E88"/>
    <w:rsid w:val="004A725C"/>
    <w:rsid w:val="004B1D7D"/>
    <w:rsid w:val="004B5BE6"/>
    <w:rsid w:val="004B77CF"/>
    <w:rsid w:val="004C05A2"/>
    <w:rsid w:val="004D04FD"/>
    <w:rsid w:val="004D68AE"/>
    <w:rsid w:val="004E212B"/>
    <w:rsid w:val="004E24C8"/>
    <w:rsid w:val="004F1A20"/>
    <w:rsid w:val="004F7B56"/>
    <w:rsid w:val="00503F40"/>
    <w:rsid w:val="0051408B"/>
    <w:rsid w:val="005178F7"/>
    <w:rsid w:val="00522DA2"/>
    <w:rsid w:val="005237A0"/>
    <w:rsid w:val="0052469D"/>
    <w:rsid w:val="005374A9"/>
    <w:rsid w:val="00543756"/>
    <w:rsid w:val="0054503F"/>
    <w:rsid w:val="005502E1"/>
    <w:rsid w:val="005518E8"/>
    <w:rsid w:val="005527A5"/>
    <w:rsid w:val="005532C0"/>
    <w:rsid w:val="005651B1"/>
    <w:rsid w:val="0057187C"/>
    <w:rsid w:val="00573DE4"/>
    <w:rsid w:val="00577771"/>
    <w:rsid w:val="00581334"/>
    <w:rsid w:val="005860F1"/>
    <w:rsid w:val="00590771"/>
    <w:rsid w:val="00597B89"/>
    <w:rsid w:val="005A11FC"/>
    <w:rsid w:val="005A56C5"/>
    <w:rsid w:val="005B2B25"/>
    <w:rsid w:val="005B7798"/>
    <w:rsid w:val="005C5D5B"/>
    <w:rsid w:val="005D5482"/>
    <w:rsid w:val="005D76A7"/>
    <w:rsid w:val="005E6FA6"/>
    <w:rsid w:val="005E7B43"/>
    <w:rsid w:val="005F42F8"/>
    <w:rsid w:val="006003E8"/>
    <w:rsid w:val="006014D3"/>
    <w:rsid w:val="00605B71"/>
    <w:rsid w:val="00610486"/>
    <w:rsid w:val="00610936"/>
    <w:rsid w:val="00610E57"/>
    <w:rsid w:val="00620D73"/>
    <w:rsid w:val="00622974"/>
    <w:rsid w:val="00624BC4"/>
    <w:rsid w:val="006269DB"/>
    <w:rsid w:val="00626DA5"/>
    <w:rsid w:val="00635151"/>
    <w:rsid w:val="006362F0"/>
    <w:rsid w:val="00640489"/>
    <w:rsid w:val="00643E78"/>
    <w:rsid w:val="00645418"/>
    <w:rsid w:val="00646ABB"/>
    <w:rsid w:val="006559A6"/>
    <w:rsid w:val="006569FC"/>
    <w:rsid w:val="0066370E"/>
    <w:rsid w:val="00663FB4"/>
    <w:rsid w:val="006740C1"/>
    <w:rsid w:val="00676CA2"/>
    <w:rsid w:val="00682FF7"/>
    <w:rsid w:val="006832CC"/>
    <w:rsid w:val="006841C6"/>
    <w:rsid w:val="0068483A"/>
    <w:rsid w:val="006876A7"/>
    <w:rsid w:val="00692BF1"/>
    <w:rsid w:val="006979D5"/>
    <w:rsid w:val="006A24CA"/>
    <w:rsid w:val="006A2CEB"/>
    <w:rsid w:val="006A6B9F"/>
    <w:rsid w:val="006A6CC5"/>
    <w:rsid w:val="006B2F75"/>
    <w:rsid w:val="006B7E38"/>
    <w:rsid w:val="006C2BDB"/>
    <w:rsid w:val="006C2E76"/>
    <w:rsid w:val="006C3BA8"/>
    <w:rsid w:val="006C3BDC"/>
    <w:rsid w:val="006C4165"/>
    <w:rsid w:val="006D03EB"/>
    <w:rsid w:val="006D4837"/>
    <w:rsid w:val="006D4B81"/>
    <w:rsid w:val="006E15BF"/>
    <w:rsid w:val="006E45CB"/>
    <w:rsid w:val="006F0B24"/>
    <w:rsid w:val="006F190C"/>
    <w:rsid w:val="006F5EE1"/>
    <w:rsid w:val="0070262A"/>
    <w:rsid w:val="00704284"/>
    <w:rsid w:val="00704525"/>
    <w:rsid w:val="007047C0"/>
    <w:rsid w:val="007061E8"/>
    <w:rsid w:val="00712EEA"/>
    <w:rsid w:val="0071325E"/>
    <w:rsid w:val="007151A3"/>
    <w:rsid w:val="007207C5"/>
    <w:rsid w:val="00721178"/>
    <w:rsid w:val="00723386"/>
    <w:rsid w:val="00725AFD"/>
    <w:rsid w:val="007315AA"/>
    <w:rsid w:val="00734236"/>
    <w:rsid w:val="00736173"/>
    <w:rsid w:val="00752CBA"/>
    <w:rsid w:val="007537FF"/>
    <w:rsid w:val="007547AF"/>
    <w:rsid w:val="00755597"/>
    <w:rsid w:val="00755CBB"/>
    <w:rsid w:val="00763915"/>
    <w:rsid w:val="007704B3"/>
    <w:rsid w:val="00772D53"/>
    <w:rsid w:val="00773E1C"/>
    <w:rsid w:val="007741E8"/>
    <w:rsid w:val="007760F5"/>
    <w:rsid w:val="00776904"/>
    <w:rsid w:val="0077723C"/>
    <w:rsid w:val="00777FAD"/>
    <w:rsid w:val="00781D41"/>
    <w:rsid w:val="00784A1E"/>
    <w:rsid w:val="00796E60"/>
    <w:rsid w:val="007A06AC"/>
    <w:rsid w:val="007A590A"/>
    <w:rsid w:val="007A7346"/>
    <w:rsid w:val="007A7F99"/>
    <w:rsid w:val="007B146F"/>
    <w:rsid w:val="007B15C8"/>
    <w:rsid w:val="007B3FC3"/>
    <w:rsid w:val="007B40F4"/>
    <w:rsid w:val="007B484D"/>
    <w:rsid w:val="007B57A8"/>
    <w:rsid w:val="007B683C"/>
    <w:rsid w:val="007C1BF4"/>
    <w:rsid w:val="007C2B1C"/>
    <w:rsid w:val="007C42E7"/>
    <w:rsid w:val="007D0243"/>
    <w:rsid w:val="007D1482"/>
    <w:rsid w:val="007D260D"/>
    <w:rsid w:val="007D4917"/>
    <w:rsid w:val="007D6801"/>
    <w:rsid w:val="007E0BC8"/>
    <w:rsid w:val="007E30CD"/>
    <w:rsid w:val="007E6726"/>
    <w:rsid w:val="007E796F"/>
    <w:rsid w:val="007F4F77"/>
    <w:rsid w:val="007F71BD"/>
    <w:rsid w:val="007F7755"/>
    <w:rsid w:val="0080076C"/>
    <w:rsid w:val="0080196F"/>
    <w:rsid w:val="00806B8F"/>
    <w:rsid w:val="00813049"/>
    <w:rsid w:val="0081373A"/>
    <w:rsid w:val="00813E3F"/>
    <w:rsid w:val="00815F6E"/>
    <w:rsid w:val="00827552"/>
    <w:rsid w:val="0083007A"/>
    <w:rsid w:val="00836811"/>
    <w:rsid w:val="008437A1"/>
    <w:rsid w:val="00846A20"/>
    <w:rsid w:val="00855F59"/>
    <w:rsid w:val="0085692B"/>
    <w:rsid w:val="00856BEE"/>
    <w:rsid w:val="00865C29"/>
    <w:rsid w:val="008740A8"/>
    <w:rsid w:val="008761BD"/>
    <w:rsid w:val="00876CED"/>
    <w:rsid w:val="008815A1"/>
    <w:rsid w:val="008901D6"/>
    <w:rsid w:val="00890737"/>
    <w:rsid w:val="00890ED8"/>
    <w:rsid w:val="00892C41"/>
    <w:rsid w:val="008931B9"/>
    <w:rsid w:val="00895188"/>
    <w:rsid w:val="00897E81"/>
    <w:rsid w:val="008A4229"/>
    <w:rsid w:val="008A4A71"/>
    <w:rsid w:val="008B662C"/>
    <w:rsid w:val="008C1120"/>
    <w:rsid w:val="008C3539"/>
    <w:rsid w:val="008C38D0"/>
    <w:rsid w:val="008C3995"/>
    <w:rsid w:val="008C4A82"/>
    <w:rsid w:val="008C62E0"/>
    <w:rsid w:val="008D0D9E"/>
    <w:rsid w:val="008D4D42"/>
    <w:rsid w:val="008D6866"/>
    <w:rsid w:val="008E1A3D"/>
    <w:rsid w:val="008E2778"/>
    <w:rsid w:val="008E6099"/>
    <w:rsid w:val="008E7CAA"/>
    <w:rsid w:val="008F21D3"/>
    <w:rsid w:val="008F7D9C"/>
    <w:rsid w:val="009015D4"/>
    <w:rsid w:val="0090240C"/>
    <w:rsid w:val="0090330E"/>
    <w:rsid w:val="009202B1"/>
    <w:rsid w:val="00923DDB"/>
    <w:rsid w:val="00924FB4"/>
    <w:rsid w:val="00927593"/>
    <w:rsid w:val="009305F9"/>
    <w:rsid w:val="009315D0"/>
    <w:rsid w:val="00937CB5"/>
    <w:rsid w:val="00942463"/>
    <w:rsid w:val="00943628"/>
    <w:rsid w:val="009504C6"/>
    <w:rsid w:val="00951CB1"/>
    <w:rsid w:val="00953190"/>
    <w:rsid w:val="009627B0"/>
    <w:rsid w:val="00962B82"/>
    <w:rsid w:val="00965531"/>
    <w:rsid w:val="0097143B"/>
    <w:rsid w:val="00984070"/>
    <w:rsid w:val="009920CE"/>
    <w:rsid w:val="00994753"/>
    <w:rsid w:val="0099559A"/>
    <w:rsid w:val="00997145"/>
    <w:rsid w:val="009A3267"/>
    <w:rsid w:val="009A4C50"/>
    <w:rsid w:val="009A671C"/>
    <w:rsid w:val="009A6DAD"/>
    <w:rsid w:val="009A7E49"/>
    <w:rsid w:val="009B0E79"/>
    <w:rsid w:val="009B4CFA"/>
    <w:rsid w:val="009C3540"/>
    <w:rsid w:val="009C5743"/>
    <w:rsid w:val="009C6B8F"/>
    <w:rsid w:val="009D4D39"/>
    <w:rsid w:val="009E1AD6"/>
    <w:rsid w:val="009E6E1B"/>
    <w:rsid w:val="009F265B"/>
    <w:rsid w:val="009F4A09"/>
    <w:rsid w:val="009F61C0"/>
    <w:rsid w:val="00A004BC"/>
    <w:rsid w:val="00A05B6C"/>
    <w:rsid w:val="00A07691"/>
    <w:rsid w:val="00A10EB2"/>
    <w:rsid w:val="00A13874"/>
    <w:rsid w:val="00A22904"/>
    <w:rsid w:val="00A24892"/>
    <w:rsid w:val="00A339E0"/>
    <w:rsid w:val="00A41658"/>
    <w:rsid w:val="00A4320D"/>
    <w:rsid w:val="00A55287"/>
    <w:rsid w:val="00A6004D"/>
    <w:rsid w:val="00A6665D"/>
    <w:rsid w:val="00A6690E"/>
    <w:rsid w:val="00A80ED1"/>
    <w:rsid w:val="00A849F1"/>
    <w:rsid w:val="00A85A8F"/>
    <w:rsid w:val="00A92618"/>
    <w:rsid w:val="00A93461"/>
    <w:rsid w:val="00A96958"/>
    <w:rsid w:val="00AA0FBC"/>
    <w:rsid w:val="00AA1680"/>
    <w:rsid w:val="00AA35F0"/>
    <w:rsid w:val="00AA47C7"/>
    <w:rsid w:val="00AA6AEB"/>
    <w:rsid w:val="00AA7200"/>
    <w:rsid w:val="00AB53EB"/>
    <w:rsid w:val="00AB5448"/>
    <w:rsid w:val="00AB63C1"/>
    <w:rsid w:val="00AB7FA3"/>
    <w:rsid w:val="00AC29E6"/>
    <w:rsid w:val="00AC5E7B"/>
    <w:rsid w:val="00AC7BED"/>
    <w:rsid w:val="00AD2066"/>
    <w:rsid w:val="00AD22F6"/>
    <w:rsid w:val="00AD284F"/>
    <w:rsid w:val="00AD35B1"/>
    <w:rsid w:val="00AD3F99"/>
    <w:rsid w:val="00AD6134"/>
    <w:rsid w:val="00AE309B"/>
    <w:rsid w:val="00AE64E3"/>
    <w:rsid w:val="00AF0FBE"/>
    <w:rsid w:val="00AF190C"/>
    <w:rsid w:val="00AF544D"/>
    <w:rsid w:val="00B047D3"/>
    <w:rsid w:val="00B05453"/>
    <w:rsid w:val="00B125A2"/>
    <w:rsid w:val="00B167F8"/>
    <w:rsid w:val="00B175AB"/>
    <w:rsid w:val="00B218C5"/>
    <w:rsid w:val="00B24384"/>
    <w:rsid w:val="00B25397"/>
    <w:rsid w:val="00B30A77"/>
    <w:rsid w:val="00B3397F"/>
    <w:rsid w:val="00B34152"/>
    <w:rsid w:val="00B37477"/>
    <w:rsid w:val="00B37677"/>
    <w:rsid w:val="00B37B6B"/>
    <w:rsid w:val="00B400A5"/>
    <w:rsid w:val="00B41CA9"/>
    <w:rsid w:val="00B43519"/>
    <w:rsid w:val="00B45023"/>
    <w:rsid w:val="00B45F1D"/>
    <w:rsid w:val="00B52772"/>
    <w:rsid w:val="00B623BF"/>
    <w:rsid w:val="00B65E20"/>
    <w:rsid w:val="00B740A1"/>
    <w:rsid w:val="00B75302"/>
    <w:rsid w:val="00B75EEB"/>
    <w:rsid w:val="00B76533"/>
    <w:rsid w:val="00B76E57"/>
    <w:rsid w:val="00B773DC"/>
    <w:rsid w:val="00B77F61"/>
    <w:rsid w:val="00B86785"/>
    <w:rsid w:val="00B91D54"/>
    <w:rsid w:val="00B921A9"/>
    <w:rsid w:val="00B95CB4"/>
    <w:rsid w:val="00BA18CD"/>
    <w:rsid w:val="00BA7C6B"/>
    <w:rsid w:val="00BB169C"/>
    <w:rsid w:val="00BB1905"/>
    <w:rsid w:val="00BB7FCC"/>
    <w:rsid w:val="00BC192D"/>
    <w:rsid w:val="00BC373F"/>
    <w:rsid w:val="00BD36B9"/>
    <w:rsid w:val="00BD39A1"/>
    <w:rsid w:val="00BD505F"/>
    <w:rsid w:val="00BE4760"/>
    <w:rsid w:val="00BE48F7"/>
    <w:rsid w:val="00BE4F30"/>
    <w:rsid w:val="00BE669F"/>
    <w:rsid w:val="00BE70B1"/>
    <w:rsid w:val="00BF5F98"/>
    <w:rsid w:val="00BF633C"/>
    <w:rsid w:val="00C0088D"/>
    <w:rsid w:val="00C0615D"/>
    <w:rsid w:val="00C0623E"/>
    <w:rsid w:val="00C131AD"/>
    <w:rsid w:val="00C13F89"/>
    <w:rsid w:val="00C15038"/>
    <w:rsid w:val="00C168C5"/>
    <w:rsid w:val="00C16EA8"/>
    <w:rsid w:val="00C23E5B"/>
    <w:rsid w:val="00C25F24"/>
    <w:rsid w:val="00C27B46"/>
    <w:rsid w:val="00C31881"/>
    <w:rsid w:val="00C31D77"/>
    <w:rsid w:val="00C32006"/>
    <w:rsid w:val="00C3707B"/>
    <w:rsid w:val="00C44B97"/>
    <w:rsid w:val="00C50F94"/>
    <w:rsid w:val="00C53298"/>
    <w:rsid w:val="00C55C8C"/>
    <w:rsid w:val="00C640AC"/>
    <w:rsid w:val="00C735FD"/>
    <w:rsid w:val="00C7607E"/>
    <w:rsid w:val="00C8256D"/>
    <w:rsid w:val="00C83577"/>
    <w:rsid w:val="00C835AC"/>
    <w:rsid w:val="00C836BC"/>
    <w:rsid w:val="00C85C91"/>
    <w:rsid w:val="00C86254"/>
    <w:rsid w:val="00C86600"/>
    <w:rsid w:val="00C87271"/>
    <w:rsid w:val="00C949F4"/>
    <w:rsid w:val="00CA1DE8"/>
    <w:rsid w:val="00CA1F69"/>
    <w:rsid w:val="00CA5978"/>
    <w:rsid w:val="00CB1A1A"/>
    <w:rsid w:val="00CB41C5"/>
    <w:rsid w:val="00CC00C6"/>
    <w:rsid w:val="00CD0ADE"/>
    <w:rsid w:val="00CD74A0"/>
    <w:rsid w:val="00CE24AB"/>
    <w:rsid w:val="00CF1E9B"/>
    <w:rsid w:val="00CF24BF"/>
    <w:rsid w:val="00CF4D8F"/>
    <w:rsid w:val="00CF6048"/>
    <w:rsid w:val="00CF65BE"/>
    <w:rsid w:val="00CF7A23"/>
    <w:rsid w:val="00CF7E8C"/>
    <w:rsid w:val="00D0276B"/>
    <w:rsid w:val="00D06DEF"/>
    <w:rsid w:val="00D10AE9"/>
    <w:rsid w:val="00D10B2E"/>
    <w:rsid w:val="00D13CBE"/>
    <w:rsid w:val="00D2328D"/>
    <w:rsid w:val="00D23F7D"/>
    <w:rsid w:val="00D26441"/>
    <w:rsid w:val="00D26B0C"/>
    <w:rsid w:val="00D30FC3"/>
    <w:rsid w:val="00D34226"/>
    <w:rsid w:val="00D35D51"/>
    <w:rsid w:val="00D36F47"/>
    <w:rsid w:val="00D3726E"/>
    <w:rsid w:val="00D418FD"/>
    <w:rsid w:val="00D504CD"/>
    <w:rsid w:val="00D60325"/>
    <w:rsid w:val="00D61288"/>
    <w:rsid w:val="00D65880"/>
    <w:rsid w:val="00D67D88"/>
    <w:rsid w:val="00D67F60"/>
    <w:rsid w:val="00D76983"/>
    <w:rsid w:val="00D92A56"/>
    <w:rsid w:val="00DA0820"/>
    <w:rsid w:val="00DA40A2"/>
    <w:rsid w:val="00DB42B5"/>
    <w:rsid w:val="00DB711B"/>
    <w:rsid w:val="00DB7778"/>
    <w:rsid w:val="00DC03A3"/>
    <w:rsid w:val="00DC4C20"/>
    <w:rsid w:val="00DC6880"/>
    <w:rsid w:val="00DD5804"/>
    <w:rsid w:val="00DD5CE0"/>
    <w:rsid w:val="00DF2429"/>
    <w:rsid w:val="00DF3633"/>
    <w:rsid w:val="00DF5955"/>
    <w:rsid w:val="00DF5B5A"/>
    <w:rsid w:val="00DF7B27"/>
    <w:rsid w:val="00E035AA"/>
    <w:rsid w:val="00E07D17"/>
    <w:rsid w:val="00E12B7E"/>
    <w:rsid w:val="00E13540"/>
    <w:rsid w:val="00E13A61"/>
    <w:rsid w:val="00E14CF0"/>
    <w:rsid w:val="00E16ECF"/>
    <w:rsid w:val="00E21F05"/>
    <w:rsid w:val="00E23264"/>
    <w:rsid w:val="00E250B1"/>
    <w:rsid w:val="00E3301A"/>
    <w:rsid w:val="00E35695"/>
    <w:rsid w:val="00E41220"/>
    <w:rsid w:val="00E43215"/>
    <w:rsid w:val="00E60EEF"/>
    <w:rsid w:val="00E65EB7"/>
    <w:rsid w:val="00E66E32"/>
    <w:rsid w:val="00E76CC4"/>
    <w:rsid w:val="00E77E10"/>
    <w:rsid w:val="00E860BA"/>
    <w:rsid w:val="00E90DFF"/>
    <w:rsid w:val="00E9218F"/>
    <w:rsid w:val="00E92BDA"/>
    <w:rsid w:val="00E92FB9"/>
    <w:rsid w:val="00E96826"/>
    <w:rsid w:val="00EA69DF"/>
    <w:rsid w:val="00EA7696"/>
    <w:rsid w:val="00EB1A22"/>
    <w:rsid w:val="00EB4C94"/>
    <w:rsid w:val="00EB55AB"/>
    <w:rsid w:val="00EB5E16"/>
    <w:rsid w:val="00EB7615"/>
    <w:rsid w:val="00EC41FA"/>
    <w:rsid w:val="00EC507C"/>
    <w:rsid w:val="00ED311E"/>
    <w:rsid w:val="00ED40A0"/>
    <w:rsid w:val="00ED4A25"/>
    <w:rsid w:val="00ED4DBC"/>
    <w:rsid w:val="00ED757E"/>
    <w:rsid w:val="00EE0675"/>
    <w:rsid w:val="00EE43C5"/>
    <w:rsid w:val="00EE50A5"/>
    <w:rsid w:val="00EE65C5"/>
    <w:rsid w:val="00EF10BF"/>
    <w:rsid w:val="00EF2214"/>
    <w:rsid w:val="00EF47B6"/>
    <w:rsid w:val="00EF4B70"/>
    <w:rsid w:val="00F03EC5"/>
    <w:rsid w:val="00F0507D"/>
    <w:rsid w:val="00F1158B"/>
    <w:rsid w:val="00F13998"/>
    <w:rsid w:val="00F16393"/>
    <w:rsid w:val="00F24B67"/>
    <w:rsid w:val="00F27047"/>
    <w:rsid w:val="00F2741E"/>
    <w:rsid w:val="00F31180"/>
    <w:rsid w:val="00F41E55"/>
    <w:rsid w:val="00F43389"/>
    <w:rsid w:val="00F4596E"/>
    <w:rsid w:val="00F515A7"/>
    <w:rsid w:val="00F51C8D"/>
    <w:rsid w:val="00F5442E"/>
    <w:rsid w:val="00F626FA"/>
    <w:rsid w:val="00F65A19"/>
    <w:rsid w:val="00F77D9C"/>
    <w:rsid w:val="00F817FB"/>
    <w:rsid w:val="00F832AF"/>
    <w:rsid w:val="00F83AF4"/>
    <w:rsid w:val="00F843AD"/>
    <w:rsid w:val="00F90A39"/>
    <w:rsid w:val="00F91523"/>
    <w:rsid w:val="00F97F99"/>
    <w:rsid w:val="00FA6C91"/>
    <w:rsid w:val="00FB0997"/>
    <w:rsid w:val="00FB0B21"/>
    <w:rsid w:val="00FB542A"/>
    <w:rsid w:val="00FC0148"/>
    <w:rsid w:val="00FC08F0"/>
    <w:rsid w:val="00FC486A"/>
    <w:rsid w:val="00FC76A4"/>
    <w:rsid w:val="00FD39E1"/>
    <w:rsid w:val="00FE5DD8"/>
    <w:rsid w:val="00FF6240"/>
    <w:rsid w:val="00FF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8196D"/>
  <w14:defaultImageDpi w14:val="300"/>
  <w15:docId w15:val="{0BBBC482-5F84-6947-9AA0-173F2BE9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F5"/>
    <w:pPr>
      <w:ind w:left="720"/>
      <w:contextualSpacing/>
    </w:pPr>
  </w:style>
  <w:style w:type="paragraph" w:styleId="Header">
    <w:name w:val="header"/>
    <w:basedOn w:val="Normal"/>
    <w:link w:val="HeaderChar"/>
    <w:uiPriority w:val="99"/>
    <w:unhideWhenUsed/>
    <w:rsid w:val="00752CBA"/>
    <w:pPr>
      <w:tabs>
        <w:tab w:val="center" w:pos="4320"/>
        <w:tab w:val="right" w:pos="8640"/>
      </w:tabs>
    </w:pPr>
  </w:style>
  <w:style w:type="character" w:customStyle="1" w:styleId="HeaderChar">
    <w:name w:val="Header Char"/>
    <w:basedOn w:val="DefaultParagraphFont"/>
    <w:link w:val="Header"/>
    <w:uiPriority w:val="99"/>
    <w:rsid w:val="00752CBA"/>
  </w:style>
  <w:style w:type="paragraph" w:styleId="Footer">
    <w:name w:val="footer"/>
    <w:basedOn w:val="Normal"/>
    <w:link w:val="FooterChar"/>
    <w:uiPriority w:val="99"/>
    <w:unhideWhenUsed/>
    <w:rsid w:val="00752CBA"/>
    <w:pPr>
      <w:tabs>
        <w:tab w:val="center" w:pos="4320"/>
        <w:tab w:val="right" w:pos="8640"/>
      </w:tabs>
    </w:pPr>
  </w:style>
  <w:style w:type="character" w:customStyle="1" w:styleId="FooterChar">
    <w:name w:val="Footer Char"/>
    <w:basedOn w:val="DefaultParagraphFont"/>
    <w:link w:val="Footer"/>
    <w:uiPriority w:val="99"/>
    <w:rsid w:val="00752CBA"/>
  </w:style>
  <w:style w:type="character" w:styleId="PageNumber">
    <w:name w:val="page number"/>
    <w:basedOn w:val="DefaultParagraphFont"/>
    <w:uiPriority w:val="99"/>
    <w:semiHidden/>
    <w:unhideWhenUsed/>
    <w:rsid w:val="00752CBA"/>
  </w:style>
  <w:style w:type="paragraph" w:styleId="NormalWeb">
    <w:name w:val="Normal (Web)"/>
    <w:basedOn w:val="Normal"/>
    <w:uiPriority w:val="99"/>
    <w:unhideWhenUsed/>
    <w:rsid w:val="006979D5"/>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E13540"/>
  </w:style>
  <w:style w:type="character" w:customStyle="1" w:styleId="FootnoteTextChar">
    <w:name w:val="Footnote Text Char"/>
    <w:basedOn w:val="DefaultParagraphFont"/>
    <w:link w:val="FootnoteText"/>
    <w:uiPriority w:val="99"/>
    <w:rsid w:val="00E13540"/>
  </w:style>
  <w:style w:type="character" w:styleId="FootnoteReference">
    <w:name w:val="footnote reference"/>
    <w:basedOn w:val="DefaultParagraphFont"/>
    <w:uiPriority w:val="99"/>
    <w:unhideWhenUsed/>
    <w:rsid w:val="00E13540"/>
    <w:rPr>
      <w:vertAlign w:val="superscript"/>
    </w:rPr>
  </w:style>
  <w:style w:type="character" w:styleId="Hyperlink">
    <w:name w:val="Hyperlink"/>
    <w:basedOn w:val="DefaultParagraphFont"/>
    <w:uiPriority w:val="99"/>
    <w:unhideWhenUsed/>
    <w:rsid w:val="00AA35F0"/>
    <w:rPr>
      <w:color w:val="0000FF" w:themeColor="hyperlink"/>
      <w:u w:val="single"/>
    </w:rPr>
  </w:style>
  <w:style w:type="paragraph" w:customStyle="1" w:styleId="Style1">
    <w:name w:val="Style 1"/>
    <w:basedOn w:val="ListParagraph"/>
    <w:link w:val="Style1Char"/>
    <w:qFormat/>
    <w:rsid w:val="00897E81"/>
    <w:pPr>
      <w:spacing w:after="200" w:line="276" w:lineRule="auto"/>
      <w:ind w:left="0"/>
    </w:pPr>
    <w:rPr>
      <w:rFonts w:ascii="Arial" w:eastAsiaTheme="minorHAnsi" w:hAnsi="Arial" w:cs="Arial"/>
      <w:b/>
      <w:sz w:val="32"/>
      <w:szCs w:val="32"/>
      <w:lang w:val="en-GB"/>
    </w:rPr>
  </w:style>
  <w:style w:type="character" w:customStyle="1" w:styleId="Style1Char">
    <w:name w:val="Style 1 Char"/>
    <w:basedOn w:val="DefaultParagraphFont"/>
    <w:link w:val="Style1"/>
    <w:rsid w:val="00897E81"/>
    <w:rPr>
      <w:rFonts w:ascii="Arial" w:eastAsiaTheme="minorHAnsi" w:hAnsi="Arial" w:cs="Arial"/>
      <w:b/>
      <w:sz w:val="32"/>
      <w:szCs w:val="32"/>
      <w:lang w:val="en-GB"/>
    </w:rPr>
  </w:style>
  <w:style w:type="character" w:styleId="FollowedHyperlink">
    <w:name w:val="FollowedHyperlink"/>
    <w:basedOn w:val="DefaultParagraphFont"/>
    <w:uiPriority w:val="99"/>
    <w:semiHidden/>
    <w:unhideWhenUsed/>
    <w:rsid w:val="00AC7BED"/>
    <w:rPr>
      <w:color w:val="800080" w:themeColor="followedHyperlink"/>
      <w:u w:val="single"/>
    </w:rPr>
  </w:style>
  <w:style w:type="table" w:styleId="TableGrid">
    <w:name w:val="Table Grid"/>
    <w:basedOn w:val="TableNormal"/>
    <w:uiPriority w:val="39"/>
    <w:rsid w:val="00EE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811"/>
    <w:rPr>
      <w:rFonts w:ascii="Tahoma" w:hAnsi="Tahoma" w:cs="Tahoma"/>
      <w:sz w:val="16"/>
      <w:szCs w:val="16"/>
    </w:rPr>
  </w:style>
  <w:style w:type="character" w:customStyle="1" w:styleId="BalloonTextChar">
    <w:name w:val="Balloon Text Char"/>
    <w:basedOn w:val="DefaultParagraphFont"/>
    <w:link w:val="BalloonText"/>
    <w:uiPriority w:val="99"/>
    <w:semiHidden/>
    <w:rsid w:val="00836811"/>
    <w:rPr>
      <w:rFonts w:ascii="Tahoma" w:hAnsi="Tahoma" w:cs="Tahoma"/>
      <w:sz w:val="16"/>
      <w:szCs w:val="16"/>
    </w:rPr>
  </w:style>
  <w:style w:type="paragraph" w:styleId="EndnoteText">
    <w:name w:val="endnote text"/>
    <w:basedOn w:val="Normal"/>
    <w:link w:val="EndnoteTextChar"/>
    <w:uiPriority w:val="99"/>
    <w:semiHidden/>
    <w:unhideWhenUsed/>
    <w:rsid w:val="00A92618"/>
    <w:rPr>
      <w:sz w:val="20"/>
      <w:szCs w:val="20"/>
    </w:rPr>
  </w:style>
  <w:style w:type="character" w:customStyle="1" w:styleId="EndnoteTextChar">
    <w:name w:val="Endnote Text Char"/>
    <w:basedOn w:val="DefaultParagraphFont"/>
    <w:link w:val="EndnoteText"/>
    <w:uiPriority w:val="99"/>
    <w:semiHidden/>
    <w:rsid w:val="00A92618"/>
    <w:rPr>
      <w:sz w:val="20"/>
      <w:szCs w:val="20"/>
    </w:rPr>
  </w:style>
  <w:style w:type="character" w:styleId="EndnoteReference">
    <w:name w:val="endnote reference"/>
    <w:basedOn w:val="DefaultParagraphFont"/>
    <w:uiPriority w:val="99"/>
    <w:semiHidden/>
    <w:unhideWhenUsed/>
    <w:rsid w:val="00A92618"/>
    <w:rPr>
      <w:vertAlign w:val="superscript"/>
    </w:rPr>
  </w:style>
  <w:style w:type="character" w:styleId="CommentReference">
    <w:name w:val="annotation reference"/>
    <w:basedOn w:val="DefaultParagraphFont"/>
    <w:uiPriority w:val="99"/>
    <w:semiHidden/>
    <w:unhideWhenUsed/>
    <w:rsid w:val="0022321A"/>
    <w:rPr>
      <w:sz w:val="16"/>
      <w:szCs w:val="16"/>
    </w:rPr>
  </w:style>
  <w:style w:type="paragraph" w:styleId="CommentText">
    <w:name w:val="annotation text"/>
    <w:basedOn w:val="Normal"/>
    <w:link w:val="CommentTextChar"/>
    <w:uiPriority w:val="99"/>
    <w:semiHidden/>
    <w:unhideWhenUsed/>
    <w:rsid w:val="0022321A"/>
    <w:rPr>
      <w:sz w:val="20"/>
      <w:szCs w:val="20"/>
    </w:rPr>
  </w:style>
  <w:style w:type="character" w:customStyle="1" w:styleId="CommentTextChar">
    <w:name w:val="Comment Text Char"/>
    <w:basedOn w:val="DefaultParagraphFont"/>
    <w:link w:val="CommentText"/>
    <w:uiPriority w:val="99"/>
    <w:semiHidden/>
    <w:rsid w:val="0022321A"/>
    <w:rPr>
      <w:sz w:val="20"/>
      <w:szCs w:val="20"/>
    </w:rPr>
  </w:style>
  <w:style w:type="paragraph" w:styleId="CommentSubject">
    <w:name w:val="annotation subject"/>
    <w:basedOn w:val="CommentText"/>
    <w:next w:val="CommentText"/>
    <w:link w:val="CommentSubjectChar"/>
    <w:uiPriority w:val="99"/>
    <w:semiHidden/>
    <w:unhideWhenUsed/>
    <w:rsid w:val="0022321A"/>
    <w:rPr>
      <w:b/>
      <w:bCs/>
    </w:rPr>
  </w:style>
  <w:style w:type="character" w:customStyle="1" w:styleId="CommentSubjectChar">
    <w:name w:val="Comment Subject Char"/>
    <w:basedOn w:val="CommentTextChar"/>
    <w:link w:val="CommentSubject"/>
    <w:uiPriority w:val="99"/>
    <w:semiHidden/>
    <w:rsid w:val="0022321A"/>
    <w:rPr>
      <w:b/>
      <w:bCs/>
      <w:sz w:val="20"/>
      <w:szCs w:val="20"/>
    </w:rPr>
  </w:style>
  <w:style w:type="paragraph" w:customStyle="1" w:styleId="Default">
    <w:name w:val="Default"/>
    <w:rsid w:val="00895188"/>
    <w:pPr>
      <w:autoSpaceDE w:val="0"/>
      <w:autoSpaceDN w:val="0"/>
      <w:adjustRightInd w:val="0"/>
    </w:pPr>
    <w:rPr>
      <w:rFonts w:ascii="Arial" w:eastAsia="Calibri" w:hAnsi="Arial" w:cs="Arial"/>
      <w:color w:val="000000"/>
      <w:lang w:val="en-GB" w:eastAsia="en-GB"/>
    </w:rPr>
  </w:style>
  <w:style w:type="character" w:styleId="UnresolvedMention">
    <w:name w:val="Unresolved Mention"/>
    <w:basedOn w:val="DefaultParagraphFont"/>
    <w:uiPriority w:val="99"/>
    <w:semiHidden/>
    <w:unhideWhenUsed/>
    <w:rsid w:val="00337371"/>
    <w:rPr>
      <w:color w:val="605E5C"/>
      <w:shd w:val="clear" w:color="auto" w:fill="E1DFDD"/>
    </w:rPr>
  </w:style>
  <w:style w:type="paragraph" w:styleId="Revision">
    <w:name w:val="Revision"/>
    <w:hidden/>
    <w:uiPriority w:val="99"/>
    <w:semiHidden/>
    <w:rsid w:val="00DF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472">
      <w:bodyDiv w:val="1"/>
      <w:marLeft w:val="0"/>
      <w:marRight w:val="0"/>
      <w:marTop w:val="0"/>
      <w:marBottom w:val="0"/>
      <w:divBdr>
        <w:top w:val="none" w:sz="0" w:space="0" w:color="auto"/>
        <w:left w:val="none" w:sz="0" w:space="0" w:color="auto"/>
        <w:bottom w:val="none" w:sz="0" w:space="0" w:color="auto"/>
        <w:right w:val="none" w:sz="0" w:space="0" w:color="auto"/>
      </w:divBdr>
    </w:div>
    <w:div w:id="13307976">
      <w:bodyDiv w:val="1"/>
      <w:marLeft w:val="0"/>
      <w:marRight w:val="0"/>
      <w:marTop w:val="0"/>
      <w:marBottom w:val="0"/>
      <w:divBdr>
        <w:top w:val="none" w:sz="0" w:space="0" w:color="auto"/>
        <w:left w:val="none" w:sz="0" w:space="0" w:color="auto"/>
        <w:bottom w:val="none" w:sz="0" w:space="0" w:color="auto"/>
        <w:right w:val="none" w:sz="0" w:space="0" w:color="auto"/>
      </w:divBdr>
    </w:div>
    <w:div w:id="52773077">
      <w:bodyDiv w:val="1"/>
      <w:marLeft w:val="0"/>
      <w:marRight w:val="0"/>
      <w:marTop w:val="0"/>
      <w:marBottom w:val="0"/>
      <w:divBdr>
        <w:top w:val="none" w:sz="0" w:space="0" w:color="auto"/>
        <w:left w:val="none" w:sz="0" w:space="0" w:color="auto"/>
        <w:bottom w:val="none" w:sz="0" w:space="0" w:color="auto"/>
        <w:right w:val="none" w:sz="0" w:space="0" w:color="auto"/>
      </w:divBdr>
    </w:div>
    <w:div w:id="69088362">
      <w:bodyDiv w:val="1"/>
      <w:marLeft w:val="0"/>
      <w:marRight w:val="0"/>
      <w:marTop w:val="0"/>
      <w:marBottom w:val="0"/>
      <w:divBdr>
        <w:top w:val="none" w:sz="0" w:space="0" w:color="auto"/>
        <w:left w:val="none" w:sz="0" w:space="0" w:color="auto"/>
        <w:bottom w:val="none" w:sz="0" w:space="0" w:color="auto"/>
        <w:right w:val="none" w:sz="0" w:space="0" w:color="auto"/>
      </w:divBdr>
    </w:div>
    <w:div w:id="90861936">
      <w:bodyDiv w:val="1"/>
      <w:marLeft w:val="0"/>
      <w:marRight w:val="0"/>
      <w:marTop w:val="0"/>
      <w:marBottom w:val="0"/>
      <w:divBdr>
        <w:top w:val="none" w:sz="0" w:space="0" w:color="auto"/>
        <w:left w:val="none" w:sz="0" w:space="0" w:color="auto"/>
        <w:bottom w:val="none" w:sz="0" w:space="0" w:color="auto"/>
        <w:right w:val="none" w:sz="0" w:space="0" w:color="auto"/>
      </w:divBdr>
    </w:div>
    <w:div w:id="146091032">
      <w:bodyDiv w:val="1"/>
      <w:marLeft w:val="0"/>
      <w:marRight w:val="0"/>
      <w:marTop w:val="0"/>
      <w:marBottom w:val="0"/>
      <w:divBdr>
        <w:top w:val="none" w:sz="0" w:space="0" w:color="auto"/>
        <w:left w:val="none" w:sz="0" w:space="0" w:color="auto"/>
        <w:bottom w:val="none" w:sz="0" w:space="0" w:color="auto"/>
        <w:right w:val="none" w:sz="0" w:space="0" w:color="auto"/>
      </w:divBdr>
      <w:divsChild>
        <w:div w:id="1576742812">
          <w:marLeft w:val="0"/>
          <w:marRight w:val="0"/>
          <w:marTop w:val="0"/>
          <w:marBottom w:val="0"/>
          <w:divBdr>
            <w:top w:val="none" w:sz="0" w:space="0" w:color="auto"/>
            <w:left w:val="none" w:sz="0" w:space="0" w:color="auto"/>
            <w:bottom w:val="none" w:sz="0" w:space="0" w:color="auto"/>
            <w:right w:val="none" w:sz="0" w:space="0" w:color="auto"/>
          </w:divBdr>
          <w:divsChild>
            <w:div w:id="1764373437">
              <w:marLeft w:val="0"/>
              <w:marRight w:val="0"/>
              <w:marTop w:val="0"/>
              <w:marBottom w:val="0"/>
              <w:divBdr>
                <w:top w:val="none" w:sz="0" w:space="0" w:color="auto"/>
                <w:left w:val="none" w:sz="0" w:space="0" w:color="auto"/>
                <w:bottom w:val="none" w:sz="0" w:space="0" w:color="auto"/>
                <w:right w:val="none" w:sz="0" w:space="0" w:color="auto"/>
              </w:divBdr>
              <w:divsChild>
                <w:div w:id="17477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9201">
      <w:bodyDiv w:val="1"/>
      <w:marLeft w:val="0"/>
      <w:marRight w:val="0"/>
      <w:marTop w:val="0"/>
      <w:marBottom w:val="0"/>
      <w:divBdr>
        <w:top w:val="none" w:sz="0" w:space="0" w:color="auto"/>
        <w:left w:val="none" w:sz="0" w:space="0" w:color="auto"/>
        <w:bottom w:val="none" w:sz="0" w:space="0" w:color="auto"/>
        <w:right w:val="none" w:sz="0" w:space="0" w:color="auto"/>
      </w:divBdr>
    </w:div>
    <w:div w:id="153223277">
      <w:bodyDiv w:val="1"/>
      <w:marLeft w:val="0"/>
      <w:marRight w:val="0"/>
      <w:marTop w:val="0"/>
      <w:marBottom w:val="0"/>
      <w:divBdr>
        <w:top w:val="none" w:sz="0" w:space="0" w:color="auto"/>
        <w:left w:val="none" w:sz="0" w:space="0" w:color="auto"/>
        <w:bottom w:val="none" w:sz="0" w:space="0" w:color="auto"/>
        <w:right w:val="none" w:sz="0" w:space="0" w:color="auto"/>
      </w:divBdr>
      <w:divsChild>
        <w:div w:id="1258441570">
          <w:marLeft w:val="0"/>
          <w:marRight w:val="0"/>
          <w:marTop w:val="0"/>
          <w:marBottom w:val="0"/>
          <w:divBdr>
            <w:top w:val="none" w:sz="0" w:space="0" w:color="auto"/>
            <w:left w:val="none" w:sz="0" w:space="0" w:color="auto"/>
            <w:bottom w:val="none" w:sz="0" w:space="0" w:color="auto"/>
            <w:right w:val="none" w:sz="0" w:space="0" w:color="auto"/>
          </w:divBdr>
          <w:divsChild>
            <w:div w:id="1467966092">
              <w:marLeft w:val="0"/>
              <w:marRight w:val="0"/>
              <w:marTop w:val="0"/>
              <w:marBottom w:val="0"/>
              <w:divBdr>
                <w:top w:val="none" w:sz="0" w:space="0" w:color="auto"/>
                <w:left w:val="none" w:sz="0" w:space="0" w:color="auto"/>
                <w:bottom w:val="none" w:sz="0" w:space="0" w:color="auto"/>
                <w:right w:val="none" w:sz="0" w:space="0" w:color="auto"/>
              </w:divBdr>
              <w:divsChild>
                <w:div w:id="250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3752">
      <w:bodyDiv w:val="1"/>
      <w:marLeft w:val="0"/>
      <w:marRight w:val="0"/>
      <w:marTop w:val="0"/>
      <w:marBottom w:val="0"/>
      <w:divBdr>
        <w:top w:val="none" w:sz="0" w:space="0" w:color="auto"/>
        <w:left w:val="none" w:sz="0" w:space="0" w:color="auto"/>
        <w:bottom w:val="none" w:sz="0" w:space="0" w:color="auto"/>
        <w:right w:val="none" w:sz="0" w:space="0" w:color="auto"/>
      </w:divBdr>
    </w:div>
    <w:div w:id="164905357">
      <w:bodyDiv w:val="1"/>
      <w:marLeft w:val="0"/>
      <w:marRight w:val="0"/>
      <w:marTop w:val="0"/>
      <w:marBottom w:val="0"/>
      <w:divBdr>
        <w:top w:val="none" w:sz="0" w:space="0" w:color="auto"/>
        <w:left w:val="none" w:sz="0" w:space="0" w:color="auto"/>
        <w:bottom w:val="none" w:sz="0" w:space="0" w:color="auto"/>
        <w:right w:val="none" w:sz="0" w:space="0" w:color="auto"/>
      </w:divBdr>
    </w:div>
    <w:div w:id="168954310">
      <w:bodyDiv w:val="1"/>
      <w:marLeft w:val="0"/>
      <w:marRight w:val="0"/>
      <w:marTop w:val="0"/>
      <w:marBottom w:val="0"/>
      <w:divBdr>
        <w:top w:val="none" w:sz="0" w:space="0" w:color="auto"/>
        <w:left w:val="none" w:sz="0" w:space="0" w:color="auto"/>
        <w:bottom w:val="none" w:sz="0" w:space="0" w:color="auto"/>
        <w:right w:val="none" w:sz="0" w:space="0" w:color="auto"/>
      </w:divBdr>
    </w:div>
    <w:div w:id="171380509">
      <w:bodyDiv w:val="1"/>
      <w:marLeft w:val="0"/>
      <w:marRight w:val="0"/>
      <w:marTop w:val="0"/>
      <w:marBottom w:val="0"/>
      <w:divBdr>
        <w:top w:val="none" w:sz="0" w:space="0" w:color="auto"/>
        <w:left w:val="none" w:sz="0" w:space="0" w:color="auto"/>
        <w:bottom w:val="none" w:sz="0" w:space="0" w:color="auto"/>
        <w:right w:val="none" w:sz="0" w:space="0" w:color="auto"/>
      </w:divBdr>
    </w:div>
    <w:div w:id="216815943">
      <w:bodyDiv w:val="1"/>
      <w:marLeft w:val="0"/>
      <w:marRight w:val="0"/>
      <w:marTop w:val="0"/>
      <w:marBottom w:val="0"/>
      <w:divBdr>
        <w:top w:val="none" w:sz="0" w:space="0" w:color="auto"/>
        <w:left w:val="none" w:sz="0" w:space="0" w:color="auto"/>
        <w:bottom w:val="none" w:sz="0" w:space="0" w:color="auto"/>
        <w:right w:val="none" w:sz="0" w:space="0" w:color="auto"/>
      </w:divBdr>
    </w:div>
    <w:div w:id="237131012">
      <w:bodyDiv w:val="1"/>
      <w:marLeft w:val="0"/>
      <w:marRight w:val="0"/>
      <w:marTop w:val="0"/>
      <w:marBottom w:val="0"/>
      <w:divBdr>
        <w:top w:val="none" w:sz="0" w:space="0" w:color="auto"/>
        <w:left w:val="none" w:sz="0" w:space="0" w:color="auto"/>
        <w:bottom w:val="none" w:sz="0" w:space="0" w:color="auto"/>
        <w:right w:val="none" w:sz="0" w:space="0" w:color="auto"/>
      </w:divBdr>
    </w:div>
    <w:div w:id="249630387">
      <w:bodyDiv w:val="1"/>
      <w:marLeft w:val="0"/>
      <w:marRight w:val="0"/>
      <w:marTop w:val="0"/>
      <w:marBottom w:val="0"/>
      <w:divBdr>
        <w:top w:val="none" w:sz="0" w:space="0" w:color="auto"/>
        <w:left w:val="none" w:sz="0" w:space="0" w:color="auto"/>
        <w:bottom w:val="none" w:sz="0" w:space="0" w:color="auto"/>
        <w:right w:val="none" w:sz="0" w:space="0" w:color="auto"/>
      </w:divBdr>
    </w:div>
    <w:div w:id="307900299">
      <w:bodyDiv w:val="1"/>
      <w:marLeft w:val="0"/>
      <w:marRight w:val="0"/>
      <w:marTop w:val="0"/>
      <w:marBottom w:val="0"/>
      <w:divBdr>
        <w:top w:val="none" w:sz="0" w:space="0" w:color="auto"/>
        <w:left w:val="none" w:sz="0" w:space="0" w:color="auto"/>
        <w:bottom w:val="none" w:sz="0" w:space="0" w:color="auto"/>
        <w:right w:val="none" w:sz="0" w:space="0" w:color="auto"/>
      </w:divBdr>
      <w:divsChild>
        <w:div w:id="462891685">
          <w:marLeft w:val="0"/>
          <w:marRight w:val="0"/>
          <w:marTop w:val="0"/>
          <w:marBottom w:val="0"/>
          <w:divBdr>
            <w:top w:val="none" w:sz="0" w:space="0" w:color="auto"/>
            <w:left w:val="none" w:sz="0" w:space="0" w:color="auto"/>
            <w:bottom w:val="none" w:sz="0" w:space="0" w:color="auto"/>
            <w:right w:val="none" w:sz="0" w:space="0" w:color="auto"/>
          </w:divBdr>
          <w:divsChild>
            <w:div w:id="1602910387">
              <w:marLeft w:val="0"/>
              <w:marRight w:val="0"/>
              <w:marTop w:val="0"/>
              <w:marBottom w:val="0"/>
              <w:divBdr>
                <w:top w:val="none" w:sz="0" w:space="0" w:color="auto"/>
                <w:left w:val="none" w:sz="0" w:space="0" w:color="auto"/>
                <w:bottom w:val="none" w:sz="0" w:space="0" w:color="auto"/>
                <w:right w:val="none" w:sz="0" w:space="0" w:color="auto"/>
              </w:divBdr>
              <w:divsChild>
                <w:div w:id="13987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8067">
      <w:bodyDiv w:val="1"/>
      <w:marLeft w:val="0"/>
      <w:marRight w:val="0"/>
      <w:marTop w:val="0"/>
      <w:marBottom w:val="0"/>
      <w:divBdr>
        <w:top w:val="none" w:sz="0" w:space="0" w:color="auto"/>
        <w:left w:val="none" w:sz="0" w:space="0" w:color="auto"/>
        <w:bottom w:val="none" w:sz="0" w:space="0" w:color="auto"/>
        <w:right w:val="none" w:sz="0" w:space="0" w:color="auto"/>
      </w:divBdr>
    </w:div>
    <w:div w:id="345400567">
      <w:bodyDiv w:val="1"/>
      <w:marLeft w:val="0"/>
      <w:marRight w:val="0"/>
      <w:marTop w:val="0"/>
      <w:marBottom w:val="0"/>
      <w:divBdr>
        <w:top w:val="none" w:sz="0" w:space="0" w:color="auto"/>
        <w:left w:val="none" w:sz="0" w:space="0" w:color="auto"/>
        <w:bottom w:val="none" w:sz="0" w:space="0" w:color="auto"/>
        <w:right w:val="none" w:sz="0" w:space="0" w:color="auto"/>
      </w:divBdr>
    </w:div>
    <w:div w:id="345833690">
      <w:bodyDiv w:val="1"/>
      <w:marLeft w:val="0"/>
      <w:marRight w:val="0"/>
      <w:marTop w:val="0"/>
      <w:marBottom w:val="0"/>
      <w:divBdr>
        <w:top w:val="none" w:sz="0" w:space="0" w:color="auto"/>
        <w:left w:val="none" w:sz="0" w:space="0" w:color="auto"/>
        <w:bottom w:val="none" w:sz="0" w:space="0" w:color="auto"/>
        <w:right w:val="none" w:sz="0" w:space="0" w:color="auto"/>
      </w:divBdr>
    </w:div>
    <w:div w:id="360862620">
      <w:bodyDiv w:val="1"/>
      <w:marLeft w:val="0"/>
      <w:marRight w:val="0"/>
      <w:marTop w:val="0"/>
      <w:marBottom w:val="0"/>
      <w:divBdr>
        <w:top w:val="none" w:sz="0" w:space="0" w:color="auto"/>
        <w:left w:val="none" w:sz="0" w:space="0" w:color="auto"/>
        <w:bottom w:val="none" w:sz="0" w:space="0" w:color="auto"/>
        <w:right w:val="none" w:sz="0" w:space="0" w:color="auto"/>
      </w:divBdr>
    </w:div>
    <w:div w:id="387188902">
      <w:bodyDiv w:val="1"/>
      <w:marLeft w:val="0"/>
      <w:marRight w:val="0"/>
      <w:marTop w:val="0"/>
      <w:marBottom w:val="0"/>
      <w:divBdr>
        <w:top w:val="none" w:sz="0" w:space="0" w:color="auto"/>
        <w:left w:val="none" w:sz="0" w:space="0" w:color="auto"/>
        <w:bottom w:val="none" w:sz="0" w:space="0" w:color="auto"/>
        <w:right w:val="none" w:sz="0" w:space="0" w:color="auto"/>
      </w:divBdr>
      <w:divsChild>
        <w:div w:id="1684892740">
          <w:marLeft w:val="0"/>
          <w:marRight w:val="0"/>
          <w:marTop w:val="0"/>
          <w:marBottom w:val="0"/>
          <w:divBdr>
            <w:top w:val="none" w:sz="0" w:space="0" w:color="auto"/>
            <w:left w:val="none" w:sz="0" w:space="0" w:color="auto"/>
            <w:bottom w:val="none" w:sz="0" w:space="0" w:color="auto"/>
            <w:right w:val="none" w:sz="0" w:space="0" w:color="auto"/>
          </w:divBdr>
          <w:divsChild>
            <w:div w:id="1824856525">
              <w:marLeft w:val="0"/>
              <w:marRight w:val="0"/>
              <w:marTop w:val="0"/>
              <w:marBottom w:val="0"/>
              <w:divBdr>
                <w:top w:val="none" w:sz="0" w:space="0" w:color="auto"/>
                <w:left w:val="none" w:sz="0" w:space="0" w:color="auto"/>
                <w:bottom w:val="none" w:sz="0" w:space="0" w:color="auto"/>
                <w:right w:val="none" w:sz="0" w:space="0" w:color="auto"/>
              </w:divBdr>
              <w:divsChild>
                <w:div w:id="12895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6384">
      <w:bodyDiv w:val="1"/>
      <w:marLeft w:val="0"/>
      <w:marRight w:val="0"/>
      <w:marTop w:val="0"/>
      <w:marBottom w:val="0"/>
      <w:divBdr>
        <w:top w:val="none" w:sz="0" w:space="0" w:color="auto"/>
        <w:left w:val="none" w:sz="0" w:space="0" w:color="auto"/>
        <w:bottom w:val="none" w:sz="0" w:space="0" w:color="auto"/>
        <w:right w:val="none" w:sz="0" w:space="0" w:color="auto"/>
      </w:divBdr>
    </w:div>
    <w:div w:id="457845038">
      <w:bodyDiv w:val="1"/>
      <w:marLeft w:val="0"/>
      <w:marRight w:val="0"/>
      <w:marTop w:val="0"/>
      <w:marBottom w:val="0"/>
      <w:divBdr>
        <w:top w:val="none" w:sz="0" w:space="0" w:color="auto"/>
        <w:left w:val="none" w:sz="0" w:space="0" w:color="auto"/>
        <w:bottom w:val="none" w:sz="0" w:space="0" w:color="auto"/>
        <w:right w:val="none" w:sz="0" w:space="0" w:color="auto"/>
      </w:divBdr>
      <w:divsChild>
        <w:div w:id="1645574450">
          <w:marLeft w:val="0"/>
          <w:marRight w:val="0"/>
          <w:marTop w:val="0"/>
          <w:marBottom w:val="0"/>
          <w:divBdr>
            <w:top w:val="none" w:sz="0" w:space="0" w:color="auto"/>
            <w:left w:val="none" w:sz="0" w:space="0" w:color="auto"/>
            <w:bottom w:val="none" w:sz="0" w:space="0" w:color="auto"/>
            <w:right w:val="none" w:sz="0" w:space="0" w:color="auto"/>
          </w:divBdr>
          <w:divsChild>
            <w:div w:id="1049261240">
              <w:marLeft w:val="0"/>
              <w:marRight w:val="0"/>
              <w:marTop w:val="0"/>
              <w:marBottom w:val="0"/>
              <w:divBdr>
                <w:top w:val="none" w:sz="0" w:space="0" w:color="auto"/>
                <w:left w:val="none" w:sz="0" w:space="0" w:color="auto"/>
                <w:bottom w:val="none" w:sz="0" w:space="0" w:color="auto"/>
                <w:right w:val="none" w:sz="0" w:space="0" w:color="auto"/>
              </w:divBdr>
              <w:divsChild>
                <w:div w:id="2043969016">
                  <w:marLeft w:val="0"/>
                  <w:marRight w:val="0"/>
                  <w:marTop w:val="0"/>
                  <w:marBottom w:val="0"/>
                  <w:divBdr>
                    <w:top w:val="none" w:sz="0" w:space="0" w:color="auto"/>
                    <w:left w:val="none" w:sz="0" w:space="0" w:color="auto"/>
                    <w:bottom w:val="none" w:sz="0" w:space="0" w:color="auto"/>
                    <w:right w:val="none" w:sz="0" w:space="0" w:color="auto"/>
                  </w:divBdr>
                  <w:divsChild>
                    <w:div w:id="1341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21519">
      <w:bodyDiv w:val="1"/>
      <w:marLeft w:val="0"/>
      <w:marRight w:val="0"/>
      <w:marTop w:val="0"/>
      <w:marBottom w:val="0"/>
      <w:divBdr>
        <w:top w:val="none" w:sz="0" w:space="0" w:color="auto"/>
        <w:left w:val="none" w:sz="0" w:space="0" w:color="auto"/>
        <w:bottom w:val="none" w:sz="0" w:space="0" w:color="auto"/>
        <w:right w:val="none" w:sz="0" w:space="0" w:color="auto"/>
      </w:divBdr>
    </w:div>
    <w:div w:id="501899004">
      <w:bodyDiv w:val="1"/>
      <w:marLeft w:val="0"/>
      <w:marRight w:val="0"/>
      <w:marTop w:val="0"/>
      <w:marBottom w:val="0"/>
      <w:divBdr>
        <w:top w:val="none" w:sz="0" w:space="0" w:color="auto"/>
        <w:left w:val="none" w:sz="0" w:space="0" w:color="auto"/>
        <w:bottom w:val="none" w:sz="0" w:space="0" w:color="auto"/>
        <w:right w:val="none" w:sz="0" w:space="0" w:color="auto"/>
      </w:divBdr>
    </w:div>
    <w:div w:id="510726961">
      <w:bodyDiv w:val="1"/>
      <w:marLeft w:val="0"/>
      <w:marRight w:val="0"/>
      <w:marTop w:val="0"/>
      <w:marBottom w:val="0"/>
      <w:divBdr>
        <w:top w:val="none" w:sz="0" w:space="0" w:color="auto"/>
        <w:left w:val="none" w:sz="0" w:space="0" w:color="auto"/>
        <w:bottom w:val="none" w:sz="0" w:space="0" w:color="auto"/>
        <w:right w:val="none" w:sz="0" w:space="0" w:color="auto"/>
      </w:divBdr>
    </w:div>
    <w:div w:id="525795343">
      <w:bodyDiv w:val="1"/>
      <w:marLeft w:val="0"/>
      <w:marRight w:val="0"/>
      <w:marTop w:val="0"/>
      <w:marBottom w:val="0"/>
      <w:divBdr>
        <w:top w:val="none" w:sz="0" w:space="0" w:color="auto"/>
        <w:left w:val="none" w:sz="0" w:space="0" w:color="auto"/>
        <w:bottom w:val="none" w:sz="0" w:space="0" w:color="auto"/>
        <w:right w:val="none" w:sz="0" w:space="0" w:color="auto"/>
      </w:divBdr>
    </w:div>
    <w:div w:id="546648063">
      <w:bodyDiv w:val="1"/>
      <w:marLeft w:val="0"/>
      <w:marRight w:val="0"/>
      <w:marTop w:val="0"/>
      <w:marBottom w:val="0"/>
      <w:divBdr>
        <w:top w:val="none" w:sz="0" w:space="0" w:color="auto"/>
        <w:left w:val="none" w:sz="0" w:space="0" w:color="auto"/>
        <w:bottom w:val="none" w:sz="0" w:space="0" w:color="auto"/>
        <w:right w:val="none" w:sz="0" w:space="0" w:color="auto"/>
      </w:divBdr>
    </w:div>
    <w:div w:id="571431399">
      <w:bodyDiv w:val="1"/>
      <w:marLeft w:val="0"/>
      <w:marRight w:val="0"/>
      <w:marTop w:val="0"/>
      <w:marBottom w:val="0"/>
      <w:divBdr>
        <w:top w:val="none" w:sz="0" w:space="0" w:color="auto"/>
        <w:left w:val="none" w:sz="0" w:space="0" w:color="auto"/>
        <w:bottom w:val="none" w:sz="0" w:space="0" w:color="auto"/>
        <w:right w:val="none" w:sz="0" w:space="0" w:color="auto"/>
      </w:divBdr>
    </w:div>
    <w:div w:id="586500163">
      <w:bodyDiv w:val="1"/>
      <w:marLeft w:val="0"/>
      <w:marRight w:val="0"/>
      <w:marTop w:val="0"/>
      <w:marBottom w:val="0"/>
      <w:divBdr>
        <w:top w:val="none" w:sz="0" w:space="0" w:color="auto"/>
        <w:left w:val="none" w:sz="0" w:space="0" w:color="auto"/>
        <w:bottom w:val="none" w:sz="0" w:space="0" w:color="auto"/>
        <w:right w:val="none" w:sz="0" w:space="0" w:color="auto"/>
      </w:divBdr>
      <w:divsChild>
        <w:div w:id="1282104384">
          <w:marLeft w:val="0"/>
          <w:marRight w:val="0"/>
          <w:marTop w:val="0"/>
          <w:marBottom w:val="0"/>
          <w:divBdr>
            <w:top w:val="none" w:sz="0" w:space="0" w:color="auto"/>
            <w:left w:val="none" w:sz="0" w:space="0" w:color="auto"/>
            <w:bottom w:val="none" w:sz="0" w:space="0" w:color="auto"/>
            <w:right w:val="none" w:sz="0" w:space="0" w:color="auto"/>
          </w:divBdr>
          <w:divsChild>
            <w:div w:id="552817718">
              <w:marLeft w:val="0"/>
              <w:marRight w:val="0"/>
              <w:marTop w:val="0"/>
              <w:marBottom w:val="0"/>
              <w:divBdr>
                <w:top w:val="none" w:sz="0" w:space="0" w:color="auto"/>
                <w:left w:val="none" w:sz="0" w:space="0" w:color="auto"/>
                <w:bottom w:val="none" w:sz="0" w:space="0" w:color="auto"/>
                <w:right w:val="none" w:sz="0" w:space="0" w:color="auto"/>
              </w:divBdr>
              <w:divsChild>
                <w:div w:id="1292438733">
                  <w:marLeft w:val="0"/>
                  <w:marRight w:val="0"/>
                  <w:marTop w:val="0"/>
                  <w:marBottom w:val="0"/>
                  <w:divBdr>
                    <w:top w:val="none" w:sz="0" w:space="0" w:color="auto"/>
                    <w:left w:val="none" w:sz="0" w:space="0" w:color="auto"/>
                    <w:bottom w:val="none" w:sz="0" w:space="0" w:color="auto"/>
                    <w:right w:val="none" w:sz="0" w:space="0" w:color="auto"/>
                  </w:divBdr>
                  <w:divsChild>
                    <w:div w:id="1415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54407">
      <w:bodyDiv w:val="1"/>
      <w:marLeft w:val="0"/>
      <w:marRight w:val="0"/>
      <w:marTop w:val="0"/>
      <w:marBottom w:val="0"/>
      <w:divBdr>
        <w:top w:val="none" w:sz="0" w:space="0" w:color="auto"/>
        <w:left w:val="none" w:sz="0" w:space="0" w:color="auto"/>
        <w:bottom w:val="none" w:sz="0" w:space="0" w:color="auto"/>
        <w:right w:val="none" w:sz="0" w:space="0" w:color="auto"/>
      </w:divBdr>
    </w:div>
    <w:div w:id="669257377">
      <w:bodyDiv w:val="1"/>
      <w:marLeft w:val="0"/>
      <w:marRight w:val="0"/>
      <w:marTop w:val="0"/>
      <w:marBottom w:val="0"/>
      <w:divBdr>
        <w:top w:val="none" w:sz="0" w:space="0" w:color="auto"/>
        <w:left w:val="none" w:sz="0" w:space="0" w:color="auto"/>
        <w:bottom w:val="none" w:sz="0" w:space="0" w:color="auto"/>
        <w:right w:val="none" w:sz="0" w:space="0" w:color="auto"/>
      </w:divBdr>
    </w:div>
    <w:div w:id="694843562">
      <w:bodyDiv w:val="1"/>
      <w:marLeft w:val="0"/>
      <w:marRight w:val="0"/>
      <w:marTop w:val="0"/>
      <w:marBottom w:val="0"/>
      <w:divBdr>
        <w:top w:val="none" w:sz="0" w:space="0" w:color="auto"/>
        <w:left w:val="none" w:sz="0" w:space="0" w:color="auto"/>
        <w:bottom w:val="none" w:sz="0" w:space="0" w:color="auto"/>
        <w:right w:val="none" w:sz="0" w:space="0" w:color="auto"/>
      </w:divBdr>
      <w:divsChild>
        <w:div w:id="586309663">
          <w:marLeft w:val="0"/>
          <w:marRight w:val="0"/>
          <w:marTop w:val="0"/>
          <w:marBottom w:val="0"/>
          <w:divBdr>
            <w:top w:val="none" w:sz="0" w:space="0" w:color="auto"/>
            <w:left w:val="none" w:sz="0" w:space="0" w:color="auto"/>
            <w:bottom w:val="none" w:sz="0" w:space="0" w:color="auto"/>
            <w:right w:val="none" w:sz="0" w:space="0" w:color="auto"/>
          </w:divBdr>
          <w:divsChild>
            <w:div w:id="1576746940">
              <w:marLeft w:val="0"/>
              <w:marRight w:val="0"/>
              <w:marTop w:val="0"/>
              <w:marBottom w:val="0"/>
              <w:divBdr>
                <w:top w:val="none" w:sz="0" w:space="0" w:color="auto"/>
                <w:left w:val="none" w:sz="0" w:space="0" w:color="auto"/>
                <w:bottom w:val="none" w:sz="0" w:space="0" w:color="auto"/>
                <w:right w:val="none" w:sz="0" w:space="0" w:color="auto"/>
              </w:divBdr>
              <w:divsChild>
                <w:div w:id="18339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9012">
      <w:bodyDiv w:val="1"/>
      <w:marLeft w:val="0"/>
      <w:marRight w:val="0"/>
      <w:marTop w:val="0"/>
      <w:marBottom w:val="0"/>
      <w:divBdr>
        <w:top w:val="none" w:sz="0" w:space="0" w:color="auto"/>
        <w:left w:val="none" w:sz="0" w:space="0" w:color="auto"/>
        <w:bottom w:val="none" w:sz="0" w:space="0" w:color="auto"/>
        <w:right w:val="none" w:sz="0" w:space="0" w:color="auto"/>
      </w:divBdr>
      <w:divsChild>
        <w:div w:id="655842121">
          <w:marLeft w:val="0"/>
          <w:marRight w:val="0"/>
          <w:marTop w:val="0"/>
          <w:marBottom w:val="0"/>
          <w:divBdr>
            <w:top w:val="none" w:sz="0" w:space="0" w:color="auto"/>
            <w:left w:val="none" w:sz="0" w:space="0" w:color="auto"/>
            <w:bottom w:val="none" w:sz="0" w:space="0" w:color="auto"/>
            <w:right w:val="none" w:sz="0" w:space="0" w:color="auto"/>
          </w:divBdr>
          <w:divsChild>
            <w:div w:id="903833148">
              <w:marLeft w:val="0"/>
              <w:marRight w:val="0"/>
              <w:marTop w:val="0"/>
              <w:marBottom w:val="0"/>
              <w:divBdr>
                <w:top w:val="none" w:sz="0" w:space="0" w:color="auto"/>
                <w:left w:val="none" w:sz="0" w:space="0" w:color="auto"/>
                <w:bottom w:val="none" w:sz="0" w:space="0" w:color="auto"/>
                <w:right w:val="none" w:sz="0" w:space="0" w:color="auto"/>
              </w:divBdr>
              <w:divsChild>
                <w:div w:id="1083650616">
                  <w:marLeft w:val="0"/>
                  <w:marRight w:val="0"/>
                  <w:marTop w:val="0"/>
                  <w:marBottom w:val="0"/>
                  <w:divBdr>
                    <w:top w:val="none" w:sz="0" w:space="0" w:color="auto"/>
                    <w:left w:val="none" w:sz="0" w:space="0" w:color="auto"/>
                    <w:bottom w:val="none" w:sz="0" w:space="0" w:color="auto"/>
                    <w:right w:val="none" w:sz="0" w:space="0" w:color="auto"/>
                  </w:divBdr>
                  <w:divsChild>
                    <w:div w:id="7782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663627">
      <w:bodyDiv w:val="1"/>
      <w:marLeft w:val="0"/>
      <w:marRight w:val="0"/>
      <w:marTop w:val="0"/>
      <w:marBottom w:val="0"/>
      <w:divBdr>
        <w:top w:val="none" w:sz="0" w:space="0" w:color="auto"/>
        <w:left w:val="none" w:sz="0" w:space="0" w:color="auto"/>
        <w:bottom w:val="none" w:sz="0" w:space="0" w:color="auto"/>
        <w:right w:val="none" w:sz="0" w:space="0" w:color="auto"/>
      </w:divBdr>
    </w:div>
    <w:div w:id="755713598">
      <w:bodyDiv w:val="1"/>
      <w:marLeft w:val="0"/>
      <w:marRight w:val="0"/>
      <w:marTop w:val="0"/>
      <w:marBottom w:val="0"/>
      <w:divBdr>
        <w:top w:val="none" w:sz="0" w:space="0" w:color="auto"/>
        <w:left w:val="none" w:sz="0" w:space="0" w:color="auto"/>
        <w:bottom w:val="none" w:sz="0" w:space="0" w:color="auto"/>
        <w:right w:val="none" w:sz="0" w:space="0" w:color="auto"/>
      </w:divBdr>
    </w:div>
    <w:div w:id="795294423">
      <w:bodyDiv w:val="1"/>
      <w:marLeft w:val="0"/>
      <w:marRight w:val="0"/>
      <w:marTop w:val="0"/>
      <w:marBottom w:val="0"/>
      <w:divBdr>
        <w:top w:val="none" w:sz="0" w:space="0" w:color="auto"/>
        <w:left w:val="none" w:sz="0" w:space="0" w:color="auto"/>
        <w:bottom w:val="none" w:sz="0" w:space="0" w:color="auto"/>
        <w:right w:val="none" w:sz="0" w:space="0" w:color="auto"/>
      </w:divBdr>
    </w:div>
    <w:div w:id="833568263">
      <w:bodyDiv w:val="1"/>
      <w:marLeft w:val="0"/>
      <w:marRight w:val="0"/>
      <w:marTop w:val="0"/>
      <w:marBottom w:val="0"/>
      <w:divBdr>
        <w:top w:val="none" w:sz="0" w:space="0" w:color="auto"/>
        <w:left w:val="none" w:sz="0" w:space="0" w:color="auto"/>
        <w:bottom w:val="none" w:sz="0" w:space="0" w:color="auto"/>
        <w:right w:val="none" w:sz="0" w:space="0" w:color="auto"/>
      </w:divBdr>
      <w:divsChild>
        <w:div w:id="380594438">
          <w:marLeft w:val="0"/>
          <w:marRight w:val="0"/>
          <w:marTop w:val="0"/>
          <w:marBottom w:val="0"/>
          <w:divBdr>
            <w:top w:val="none" w:sz="0" w:space="0" w:color="auto"/>
            <w:left w:val="none" w:sz="0" w:space="0" w:color="auto"/>
            <w:bottom w:val="none" w:sz="0" w:space="0" w:color="auto"/>
            <w:right w:val="none" w:sz="0" w:space="0" w:color="auto"/>
          </w:divBdr>
          <w:divsChild>
            <w:div w:id="624193534">
              <w:marLeft w:val="0"/>
              <w:marRight w:val="0"/>
              <w:marTop w:val="0"/>
              <w:marBottom w:val="0"/>
              <w:divBdr>
                <w:top w:val="none" w:sz="0" w:space="0" w:color="auto"/>
                <w:left w:val="none" w:sz="0" w:space="0" w:color="auto"/>
                <w:bottom w:val="none" w:sz="0" w:space="0" w:color="auto"/>
                <w:right w:val="none" w:sz="0" w:space="0" w:color="auto"/>
              </w:divBdr>
              <w:divsChild>
                <w:div w:id="7852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7403">
      <w:bodyDiv w:val="1"/>
      <w:marLeft w:val="0"/>
      <w:marRight w:val="0"/>
      <w:marTop w:val="0"/>
      <w:marBottom w:val="0"/>
      <w:divBdr>
        <w:top w:val="none" w:sz="0" w:space="0" w:color="auto"/>
        <w:left w:val="none" w:sz="0" w:space="0" w:color="auto"/>
        <w:bottom w:val="none" w:sz="0" w:space="0" w:color="auto"/>
        <w:right w:val="none" w:sz="0" w:space="0" w:color="auto"/>
      </w:divBdr>
      <w:divsChild>
        <w:div w:id="1983119785">
          <w:marLeft w:val="0"/>
          <w:marRight w:val="0"/>
          <w:marTop w:val="0"/>
          <w:marBottom w:val="0"/>
          <w:divBdr>
            <w:top w:val="none" w:sz="0" w:space="0" w:color="auto"/>
            <w:left w:val="none" w:sz="0" w:space="0" w:color="auto"/>
            <w:bottom w:val="none" w:sz="0" w:space="0" w:color="auto"/>
            <w:right w:val="none" w:sz="0" w:space="0" w:color="auto"/>
          </w:divBdr>
          <w:divsChild>
            <w:div w:id="2054840673">
              <w:marLeft w:val="0"/>
              <w:marRight w:val="0"/>
              <w:marTop w:val="0"/>
              <w:marBottom w:val="0"/>
              <w:divBdr>
                <w:top w:val="none" w:sz="0" w:space="0" w:color="auto"/>
                <w:left w:val="none" w:sz="0" w:space="0" w:color="auto"/>
                <w:bottom w:val="none" w:sz="0" w:space="0" w:color="auto"/>
                <w:right w:val="none" w:sz="0" w:space="0" w:color="auto"/>
              </w:divBdr>
              <w:divsChild>
                <w:div w:id="10610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2681">
      <w:bodyDiv w:val="1"/>
      <w:marLeft w:val="0"/>
      <w:marRight w:val="0"/>
      <w:marTop w:val="0"/>
      <w:marBottom w:val="0"/>
      <w:divBdr>
        <w:top w:val="none" w:sz="0" w:space="0" w:color="auto"/>
        <w:left w:val="none" w:sz="0" w:space="0" w:color="auto"/>
        <w:bottom w:val="none" w:sz="0" w:space="0" w:color="auto"/>
        <w:right w:val="none" w:sz="0" w:space="0" w:color="auto"/>
      </w:divBdr>
      <w:divsChild>
        <w:div w:id="114182754">
          <w:marLeft w:val="0"/>
          <w:marRight w:val="0"/>
          <w:marTop w:val="0"/>
          <w:marBottom w:val="0"/>
          <w:divBdr>
            <w:top w:val="none" w:sz="0" w:space="0" w:color="auto"/>
            <w:left w:val="none" w:sz="0" w:space="0" w:color="auto"/>
            <w:bottom w:val="none" w:sz="0" w:space="0" w:color="auto"/>
            <w:right w:val="none" w:sz="0" w:space="0" w:color="auto"/>
          </w:divBdr>
          <w:divsChild>
            <w:div w:id="1235627962">
              <w:marLeft w:val="0"/>
              <w:marRight w:val="0"/>
              <w:marTop w:val="0"/>
              <w:marBottom w:val="0"/>
              <w:divBdr>
                <w:top w:val="none" w:sz="0" w:space="0" w:color="auto"/>
                <w:left w:val="none" w:sz="0" w:space="0" w:color="auto"/>
                <w:bottom w:val="none" w:sz="0" w:space="0" w:color="auto"/>
                <w:right w:val="none" w:sz="0" w:space="0" w:color="auto"/>
              </w:divBdr>
              <w:divsChild>
                <w:div w:id="9412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5646">
      <w:bodyDiv w:val="1"/>
      <w:marLeft w:val="0"/>
      <w:marRight w:val="0"/>
      <w:marTop w:val="0"/>
      <w:marBottom w:val="0"/>
      <w:divBdr>
        <w:top w:val="none" w:sz="0" w:space="0" w:color="auto"/>
        <w:left w:val="none" w:sz="0" w:space="0" w:color="auto"/>
        <w:bottom w:val="none" w:sz="0" w:space="0" w:color="auto"/>
        <w:right w:val="none" w:sz="0" w:space="0" w:color="auto"/>
      </w:divBdr>
    </w:div>
    <w:div w:id="901060265">
      <w:bodyDiv w:val="1"/>
      <w:marLeft w:val="0"/>
      <w:marRight w:val="0"/>
      <w:marTop w:val="0"/>
      <w:marBottom w:val="0"/>
      <w:divBdr>
        <w:top w:val="none" w:sz="0" w:space="0" w:color="auto"/>
        <w:left w:val="none" w:sz="0" w:space="0" w:color="auto"/>
        <w:bottom w:val="none" w:sz="0" w:space="0" w:color="auto"/>
        <w:right w:val="none" w:sz="0" w:space="0" w:color="auto"/>
      </w:divBdr>
      <w:divsChild>
        <w:div w:id="139810163">
          <w:marLeft w:val="0"/>
          <w:marRight w:val="0"/>
          <w:marTop w:val="0"/>
          <w:marBottom w:val="0"/>
          <w:divBdr>
            <w:top w:val="none" w:sz="0" w:space="0" w:color="auto"/>
            <w:left w:val="none" w:sz="0" w:space="0" w:color="auto"/>
            <w:bottom w:val="none" w:sz="0" w:space="0" w:color="auto"/>
            <w:right w:val="none" w:sz="0" w:space="0" w:color="auto"/>
          </w:divBdr>
          <w:divsChild>
            <w:div w:id="250510318">
              <w:marLeft w:val="0"/>
              <w:marRight w:val="0"/>
              <w:marTop w:val="0"/>
              <w:marBottom w:val="0"/>
              <w:divBdr>
                <w:top w:val="none" w:sz="0" w:space="0" w:color="auto"/>
                <w:left w:val="none" w:sz="0" w:space="0" w:color="auto"/>
                <w:bottom w:val="none" w:sz="0" w:space="0" w:color="auto"/>
                <w:right w:val="none" w:sz="0" w:space="0" w:color="auto"/>
              </w:divBdr>
              <w:divsChild>
                <w:div w:id="19315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2845">
      <w:bodyDiv w:val="1"/>
      <w:marLeft w:val="0"/>
      <w:marRight w:val="0"/>
      <w:marTop w:val="0"/>
      <w:marBottom w:val="0"/>
      <w:divBdr>
        <w:top w:val="none" w:sz="0" w:space="0" w:color="auto"/>
        <w:left w:val="none" w:sz="0" w:space="0" w:color="auto"/>
        <w:bottom w:val="none" w:sz="0" w:space="0" w:color="auto"/>
        <w:right w:val="none" w:sz="0" w:space="0" w:color="auto"/>
      </w:divBdr>
    </w:div>
    <w:div w:id="907109132">
      <w:bodyDiv w:val="1"/>
      <w:marLeft w:val="0"/>
      <w:marRight w:val="0"/>
      <w:marTop w:val="0"/>
      <w:marBottom w:val="0"/>
      <w:divBdr>
        <w:top w:val="none" w:sz="0" w:space="0" w:color="auto"/>
        <w:left w:val="none" w:sz="0" w:space="0" w:color="auto"/>
        <w:bottom w:val="none" w:sz="0" w:space="0" w:color="auto"/>
        <w:right w:val="none" w:sz="0" w:space="0" w:color="auto"/>
      </w:divBdr>
    </w:div>
    <w:div w:id="940986677">
      <w:bodyDiv w:val="1"/>
      <w:marLeft w:val="0"/>
      <w:marRight w:val="0"/>
      <w:marTop w:val="0"/>
      <w:marBottom w:val="0"/>
      <w:divBdr>
        <w:top w:val="none" w:sz="0" w:space="0" w:color="auto"/>
        <w:left w:val="none" w:sz="0" w:space="0" w:color="auto"/>
        <w:bottom w:val="none" w:sz="0" w:space="0" w:color="auto"/>
        <w:right w:val="none" w:sz="0" w:space="0" w:color="auto"/>
      </w:divBdr>
    </w:div>
    <w:div w:id="948928231">
      <w:bodyDiv w:val="1"/>
      <w:marLeft w:val="0"/>
      <w:marRight w:val="0"/>
      <w:marTop w:val="0"/>
      <w:marBottom w:val="0"/>
      <w:divBdr>
        <w:top w:val="none" w:sz="0" w:space="0" w:color="auto"/>
        <w:left w:val="none" w:sz="0" w:space="0" w:color="auto"/>
        <w:bottom w:val="none" w:sz="0" w:space="0" w:color="auto"/>
        <w:right w:val="none" w:sz="0" w:space="0" w:color="auto"/>
      </w:divBdr>
    </w:div>
    <w:div w:id="1001350467">
      <w:bodyDiv w:val="1"/>
      <w:marLeft w:val="0"/>
      <w:marRight w:val="0"/>
      <w:marTop w:val="0"/>
      <w:marBottom w:val="0"/>
      <w:divBdr>
        <w:top w:val="none" w:sz="0" w:space="0" w:color="auto"/>
        <w:left w:val="none" w:sz="0" w:space="0" w:color="auto"/>
        <w:bottom w:val="none" w:sz="0" w:space="0" w:color="auto"/>
        <w:right w:val="none" w:sz="0" w:space="0" w:color="auto"/>
      </w:divBdr>
    </w:div>
    <w:div w:id="1003245095">
      <w:bodyDiv w:val="1"/>
      <w:marLeft w:val="0"/>
      <w:marRight w:val="0"/>
      <w:marTop w:val="0"/>
      <w:marBottom w:val="0"/>
      <w:divBdr>
        <w:top w:val="none" w:sz="0" w:space="0" w:color="auto"/>
        <w:left w:val="none" w:sz="0" w:space="0" w:color="auto"/>
        <w:bottom w:val="none" w:sz="0" w:space="0" w:color="auto"/>
        <w:right w:val="none" w:sz="0" w:space="0" w:color="auto"/>
      </w:divBdr>
    </w:div>
    <w:div w:id="1015885004">
      <w:bodyDiv w:val="1"/>
      <w:marLeft w:val="0"/>
      <w:marRight w:val="0"/>
      <w:marTop w:val="0"/>
      <w:marBottom w:val="0"/>
      <w:divBdr>
        <w:top w:val="none" w:sz="0" w:space="0" w:color="auto"/>
        <w:left w:val="none" w:sz="0" w:space="0" w:color="auto"/>
        <w:bottom w:val="none" w:sz="0" w:space="0" w:color="auto"/>
        <w:right w:val="none" w:sz="0" w:space="0" w:color="auto"/>
      </w:divBdr>
      <w:divsChild>
        <w:div w:id="146752792">
          <w:marLeft w:val="0"/>
          <w:marRight w:val="0"/>
          <w:marTop w:val="0"/>
          <w:marBottom w:val="0"/>
          <w:divBdr>
            <w:top w:val="none" w:sz="0" w:space="0" w:color="auto"/>
            <w:left w:val="none" w:sz="0" w:space="0" w:color="auto"/>
            <w:bottom w:val="none" w:sz="0" w:space="0" w:color="auto"/>
            <w:right w:val="none" w:sz="0" w:space="0" w:color="auto"/>
          </w:divBdr>
          <w:divsChild>
            <w:div w:id="1355307678">
              <w:marLeft w:val="0"/>
              <w:marRight w:val="0"/>
              <w:marTop w:val="0"/>
              <w:marBottom w:val="0"/>
              <w:divBdr>
                <w:top w:val="none" w:sz="0" w:space="0" w:color="auto"/>
                <w:left w:val="none" w:sz="0" w:space="0" w:color="auto"/>
                <w:bottom w:val="none" w:sz="0" w:space="0" w:color="auto"/>
                <w:right w:val="none" w:sz="0" w:space="0" w:color="auto"/>
              </w:divBdr>
              <w:divsChild>
                <w:div w:id="16485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2835">
      <w:bodyDiv w:val="1"/>
      <w:marLeft w:val="0"/>
      <w:marRight w:val="0"/>
      <w:marTop w:val="0"/>
      <w:marBottom w:val="0"/>
      <w:divBdr>
        <w:top w:val="none" w:sz="0" w:space="0" w:color="auto"/>
        <w:left w:val="none" w:sz="0" w:space="0" w:color="auto"/>
        <w:bottom w:val="none" w:sz="0" w:space="0" w:color="auto"/>
        <w:right w:val="none" w:sz="0" w:space="0" w:color="auto"/>
      </w:divBdr>
    </w:div>
    <w:div w:id="1048914430">
      <w:bodyDiv w:val="1"/>
      <w:marLeft w:val="0"/>
      <w:marRight w:val="0"/>
      <w:marTop w:val="0"/>
      <w:marBottom w:val="0"/>
      <w:divBdr>
        <w:top w:val="none" w:sz="0" w:space="0" w:color="auto"/>
        <w:left w:val="none" w:sz="0" w:space="0" w:color="auto"/>
        <w:bottom w:val="none" w:sz="0" w:space="0" w:color="auto"/>
        <w:right w:val="none" w:sz="0" w:space="0" w:color="auto"/>
      </w:divBdr>
    </w:div>
    <w:div w:id="1068383812">
      <w:bodyDiv w:val="1"/>
      <w:marLeft w:val="0"/>
      <w:marRight w:val="0"/>
      <w:marTop w:val="0"/>
      <w:marBottom w:val="0"/>
      <w:divBdr>
        <w:top w:val="none" w:sz="0" w:space="0" w:color="auto"/>
        <w:left w:val="none" w:sz="0" w:space="0" w:color="auto"/>
        <w:bottom w:val="none" w:sz="0" w:space="0" w:color="auto"/>
        <w:right w:val="none" w:sz="0" w:space="0" w:color="auto"/>
      </w:divBdr>
    </w:div>
    <w:div w:id="1146439336">
      <w:bodyDiv w:val="1"/>
      <w:marLeft w:val="0"/>
      <w:marRight w:val="0"/>
      <w:marTop w:val="0"/>
      <w:marBottom w:val="0"/>
      <w:divBdr>
        <w:top w:val="none" w:sz="0" w:space="0" w:color="auto"/>
        <w:left w:val="none" w:sz="0" w:space="0" w:color="auto"/>
        <w:bottom w:val="none" w:sz="0" w:space="0" w:color="auto"/>
        <w:right w:val="none" w:sz="0" w:space="0" w:color="auto"/>
      </w:divBdr>
    </w:div>
    <w:div w:id="1155875422">
      <w:bodyDiv w:val="1"/>
      <w:marLeft w:val="0"/>
      <w:marRight w:val="0"/>
      <w:marTop w:val="0"/>
      <w:marBottom w:val="0"/>
      <w:divBdr>
        <w:top w:val="none" w:sz="0" w:space="0" w:color="auto"/>
        <w:left w:val="none" w:sz="0" w:space="0" w:color="auto"/>
        <w:bottom w:val="none" w:sz="0" w:space="0" w:color="auto"/>
        <w:right w:val="none" w:sz="0" w:space="0" w:color="auto"/>
      </w:divBdr>
    </w:div>
    <w:div w:id="1198005922">
      <w:bodyDiv w:val="1"/>
      <w:marLeft w:val="0"/>
      <w:marRight w:val="0"/>
      <w:marTop w:val="0"/>
      <w:marBottom w:val="0"/>
      <w:divBdr>
        <w:top w:val="none" w:sz="0" w:space="0" w:color="auto"/>
        <w:left w:val="none" w:sz="0" w:space="0" w:color="auto"/>
        <w:bottom w:val="none" w:sz="0" w:space="0" w:color="auto"/>
        <w:right w:val="none" w:sz="0" w:space="0" w:color="auto"/>
      </w:divBdr>
    </w:div>
    <w:div w:id="1217623323">
      <w:bodyDiv w:val="1"/>
      <w:marLeft w:val="0"/>
      <w:marRight w:val="0"/>
      <w:marTop w:val="0"/>
      <w:marBottom w:val="0"/>
      <w:divBdr>
        <w:top w:val="none" w:sz="0" w:space="0" w:color="auto"/>
        <w:left w:val="none" w:sz="0" w:space="0" w:color="auto"/>
        <w:bottom w:val="none" w:sz="0" w:space="0" w:color="auto"/>
        <w:right w:val="none" w:sz="0" w:space="0" w:color="auto"/>
      </w:divBdr>
      <w:divsChild>
        <w:div w:id="1933970591">
          <w:marLeft w:val="0"/>
          <w:marRight w:val="0"/>
          <w:marTop w:val="0"/>
          <w:marBottom w:val="0"/>
          <w:divBdr>
            <w:top w:val="none" w:sz="0" w:space="0" w:color="auto"/>
            <w:left w:val="none" w:sz="0" w:space="0" w:color="auto"/>
            <w:bottom w:val="none" w:sz="0" w:space="0" w:color="auto"/>
            <w:right w:val="none" w:sz="0" w:space="0" w:color="auto"/>
          </w:divBdr>
          <w:divsChild>
            <w:div w:id="1591431810">
              <w:marLeft w:val="0"/>
              <w:marRight w:val="0"/>
              <w:marTop w:val="0"/>
              <w:marBottom w:val="0"/>
              <w:divBdr>
                <w:top w:val="none" w:sz="0" w:space="0" w:color="auto"/>
                <w:left w:val="none" w:sz="0" w:space="0" w:color="auto"/>
                <w:bottom w:val="none" w:sz="0" w:space="0" w:color="auto"/>
                <w:right w:val="none" w:sz="0" w:space="0" w:color="auto"/>
              </w:divBdr>
              <w:divsChild>
                <w:div w:id="1145925585">
                  <w:marLeft w:val="0"/>
                  <w:marRight w:val="0"/>
                  <w:marTop w:val="0"/>
                  <w:marBottom w:val="0"/>
                  <w:divBdr>
                    <w:top w:val="none" w:sz="0" w:space="0" w:color="auto"/>
                    <w:left w:val="none" w:sz="0" w:space="0" w:color="auto"/>
                    <w:bottom w:val="none" w:sz="0" w:space="0" w:color="auto"/>
                    <w:right w:val="none" w:sz="0" w:space="0" w:color="auto"/>
                  </w:divBdr>
                  <w:divsChild>
                    <w:div w:id="18561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250283">
      <w:bodyDiv w:val="1"/>
      <w:marLeft w:val="0"/>
      <w:marRight w:val="0"/>
      <w:marTop w:val="0"/>
      <w:marBottom w:val="0"/>
      <w:divBdr>
        <w:top w:val="none" w:sz="0" w:space="0" w:color="auto"/>
        <w:left w:val="none" w:sz="0" w:space="0" w:color="auto"/>
        <w:bottom w:val="none" w:sz="0" w:space="0" w:color="auto"/>
        <w:right w:val="none" w:sz="0" w:space="0" w:color="auto"/>
      </w:divBdr>
    </w:div>
    <w:div w:id="1314066153">
      <w:bodyDiv w:val="1"/>
      <w:marLeft w:val="0"/>
      <w:marRight w:val="0"/>
      <w:marTop w:val="0"/>
      <w:marBottom w:val="0"/>
      <w:divBdr>
        <w:top w:val="none" w:sz="0" w:space="0" w:color="auto"/>
        <w:left w:val="none" w:sz="0" w:space="0" w:color="auto"/>
        <w:bottom w:val="none" w:sz="0" w:space="0" w:color="auto"/>
        <w:right w:val="none" w:sz="0" w:space="0" w:color="auto"/>
      </w:divBdr>
    </w:div>
    <w:div w:id="1328048931">
      <w:bodyDiv w:val="1"/>
      <w:marLeft w:val="0"/>
      <w:marRight w:val="0"/>
      <w:marTop w:val="0"/>
      <w:marBottom w:val="0"/>
      <w:divBdr>
        <w:top w:val="none" w:sz="0" w:space="0" w:color="auto"/>
        <w:left w:val="none" w:sz="0" w:space="0" w:color="auto"/>
        <w:bottom w:val="none" w:sz="0" w:space="0" w:color="auto"/>
        <w:right w:val="none" w:sz="0" w:space="0" w:color="auto"/>
      </w:divBdr>
      <w:divsChild>
        <w:div w:id="689333000">
          <w:marLeft w:val="0"/>
          <w:marRight w:val="0"/>
          <w:marTop w:val="0"/>
          <w:marBottom w:val="0"/>
          <w:divBdr>
            <w:top w:val="none" w:sz="0" w:space="0" w:color="auto"/>
            <w:left w:val="none" w:sz="0" w:space="0" w:color="auto"/>
            <w:bottom w:val="none" w:sz="0" w:space="0" w:color="auto"/>
            <w:right w:val="none" w:sz="0" w:space="0" w:color="auto"/>
          </w:divBdr>
          <w:divsChild>
            <w:div w:id="826018758">
              <w:marLeft w:val="0"/>
              <w:marRight w:val="0"/>
              <w:marTop w:val="0"/>
              <w:marBottom w:val="0"/>
              <w:divBdr>
                <w:top w:val="none" w:sz="0" w:space="0" w:color="auto"/>
                <w:left w:val="none" w:sz="0" w:space="0" w:color="auto"/>
                <w:bottom w:val="none" w:sz="0" w:space="0" w:color="auto"/>
                <w:right w:val="none" w:sz="0" w:space="0" w:color="auto"/>
              </w:divBdr>
              <w:divsChild>
                <w:div w:id="5701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3438">
      <w:bodyDiv w:val="1"/>
      <w:marLeft w:val="0"/>
      <w:marRight w:val="0"/>
      <w:marTop w:val="0"/>
      <w:marBottom w:val="0"/>
      <w:divBdr>
        <w:top w:val="none" w:sz="0" w:space="0" w:color="auto"/>
        <w:left w:val="none" w:sz="0" w:space="0" w:color="auto"/>
        <w:bottom w:val="none" w:sz="0" w:space="0" w:color="auto"/>
        <w:right w:val="none" w:sz="0" w:space="0" w:color="auto"/>
      </w:divBdr>
    </w:div>
    <w:div w:id="1408723342">
      <w:bodyDiv w:val="1"/>
      <w:marLeft w:val="0"/>
      <w:marRight w:val="0"/>
      <w:marTop w:val="0"/>
      <w:marBottom w:val="0"/>
      <w:divBdr>
        <w:top w:val="none" w:sz="0" w:space="0" w:color="auto"/>
        <w:left w:val="none" w:sz="0" w:space="0" w:color="auto"/>
        <w:bottom w:val="none" w:sz="0" w:space="0" w:color="auto"/>
        <w:right w:val="none" w:sz="0" w:space="0" w:color="auto"/>
      </w:divBdr>
    </w:div>
    <w:div w:id="1410037533">
      <w:bodyDiv w:val="1"/>
      <w:marLeft w:val="0"/>
      <w:marRight w:val="0"/>
      <w:marTop w:val="0"/>
      <w:marBottom w:val="0"/>
      <w:divBdr>
        <w:top w:val="none" w:sz="0" w:space="0" w:color="auto"/>
        <w:left w:val="none" w:sz="0" w:space="0" w:color="auto"/>
        <w:bottom w:val="none" w:sz="0" w:space="0" w:color="auto"/>
        <w:right w:val="none" w:sz="0" w:space="0" w:color="auto"/>
      </w:divBdr>
    </w:div>
    <w:div w:id="1416168528">
      <w:bodyDiv w:val="1"/>
      <w:marLeft w:val="0"/>
      <w:marRight w:val="0"/>
      <w:marTop w:val="0"/>
      <w:marBottom w:val="0"/>
      <w:divBdr>
        <w:top w:val="none" w:sz="0" w:space="0" w:color="auto"/>
        <w:left w:val="none" w:sz="0" w:space="0" w:color="auto"/>
        <w:bottom w:val="none" w:sz="0" w:space="0" w:color="auto"/>
        <w:right w:val="none" w:sz="0" w:space="0" w:color="auto"/>
      </w:divBdr>
    </w:div>
    <w:div w:id="1427194330">
      <w:bodyDiv w:val="1"/>
      <w:marLeft w:val="0"/>
      <w:marRight w:val="0"/>
      <w:marTop w:val="0"/>
      <w:marBottom w:val="0"/>
      <w:divBdr>
        <w:top w:val="none" w:sz="0" w:space="0" w:color="auto"/>
        <w:left w:val="none" w:sz="0" w:space="0" w:color="auto"/>
        <w:bottom w:val="none" w:sz="0" w:space="0" w:color="auto"/>
        <w:right w:val="none" w:sz="0" w:space="0" w:color="auto"/>
      </w:divBdr>
    </w:div>
    <w:div w:id="1433696842">
      <w:bodyDiv w:val="1"/>
      <w:marLeft w:val="0"/>
      <w:marRight w:val="0"/>
      <w:marTop w:val="0"/>
      <w:marBottom w:val="0"/>
      <w:divBdr>
        <w:top w:val="none" w:sz="0" w:space="0" w:color="auto"/>
        <w:left w:val="none" w:sz="0" w:space="0" w:color="auto"/>
        <w:bottom w:val="none" w:sz="0" w:space="0" w:color="auto"/>
        <w:right w:val="none" w:sz="0" w:space="0" w:color="auto"/>
      </w:divBdr>
    </w:div>
    <w:div w:id="1460032308">
      <w:bodyDiv w:val="1"/>
      <w:marLeft w:val="0"/>
      <w:marRight w:val="0"/>
      <w:marTop w:val="0"/>
      <w:marBottom w:val="0"/>
      <w:divBdr>
        <w:top w:val="none" w:sz="0" w:space="0" w:color="auto"/>
        <w:left w:val="none" w:sz="0" w:space="0" w:color="auto"/>
        <w:bottom w:val="none" w:sz="0" w:space="0" w:color="auto"/>
        <w:right w:val="none" w:sz="0" w:space="0" w:color="auto"/>
      </w:divBdr>
    </w:div>
    <w:div w:id="1502045645">
      <w:bodyDiv w:val="1"/>
      <w:marLeft w:val="0"/>
      <w:marRight w:val="0"/>
      <w:marTop w:val="0"/>
      <w:marBottom w:val="0"/>
      <w:divBdr>
        <w:top w:val="none" w:sz="0" w:space="0" w:color="auto"/>
        <w:left w:val="none" w:sz="0" w:space="0" w:color="auto"/>
        <w:bottom w:val="none" w:sz="0" w:space="0" w:color="auto"/>
        <w:right w:val="none" w:sz="0" w:space="0" w:color="auto"/>
      </w:divBdr>
    </w:div>
    <w:div w:id="1503928423">
      <w:bodyDiv w:val="1"/>
      <w:marLeft w:val="0"/>
      <w:marRight w:val="0"/>
      <w:marTop w:val="0"/>
      <w:marBottom w:val="0"/>
      <w:divBdr>
        <w:top w:val="none" w:sz="0" w:space="0" w:color="auto"/>
        <w:left w:val="none" w:sz="0" w:space="0" w:color="auto"/>
        <w:bottom w:val="none" w:sz="0" w:space="0" w:color="auto"/>
        <w:right w:val="none" w:sz="0" w:space="0" w:color="auto"/>
      </w:divBdr>
    </w:div>
    <w:div w:id="1515027695">
      <w:bodyDiv w:val="1"/>
      <w:marLeft w:val="0"/>
      <w:marRight w:val="0"/>
      <w:marTop w:val="0"/>
      <w:marBottom w:val="0"/>
      <w:divBdr>
        <w:top w:val="none" w:sz="0" w:space="0" w:color="auto"/>
        <w:left w:val="none" w:sz="0" w:space="0" w:color="auto"/>
        <w:bottom w:val="none" w:sz="0" w:space="0" w:color="auto"/>
        <w:right w:val="none" w:sz="0" w:space="0" w:color="auto"/>
      </w:divBdr>
    </w:div>
    <w:div w:id="1529948652">
      <w:bodyDiv w:val="1"/>
      <w:marLeft w:val="0"/>
      <w:marRight w:val="0"/>
      <w:marTop w:val="0"/>
      <w:marBottom w:val="0"/>
      <w:divBdr>
        <w:top w:val="none" w:sz="0" w:space="0" w:color="auto"/>
        <w:left w:val="none" w:sz="0" w:space="0" w:color="auto"/>
        <w:bottom w:val="none" w:sz="0" w:space="0" w:color="auto"/>
        <w:right w:val="none" w:sz="0" w:space="0" w:color="auto"/>
      </w:divBdr>
      <w:divsChild>
        <w:div w:id="1584877923">
          <w:marLeft w:val="0"/>
          <w:marRight w:val="0"/>
          <w:marTop w:val="0"/>
          <w:marBottom w:val="0"/>
          <w:divBdr>
            <w:top w:val="none" w:sz="0" w:space="0" w:color="auto"/>
            <w:left w:val="none" w:sz="0" w:space="0" w:color="auto"/>
            <w:bottom w:val="none" w:sz="0" w:space="0" w:color="auto"/>
            <w:right w:val="none" w:sz="0" w:space="0" w:color="auto"/>
          </w:divBdr>
          <w:divsChild>
            <w:div w:id="1787233022">
              <w:marLeft w:val="0"/>
              <w:marRight w:val="0"/>
              <w:marTop w:val="0"/>
              <w:marBottom w:val="0"/>
              <w:divBdr>
                <w:top w:val="none" w:sz="0" w:space="0" w:color="auto"/>
                <w:left w:val="none" w:sz="0" w:space="0" w:color="auto"/>
                <w:bottom w:val="none" w:sz="0" w:space="0" w:color="auto"/>
                <w:right w:val="none" w:sz="0" w:space="0" w:color="auto"/>
              </w:divBdr>
              <w:divsChild>
                <w:div w:id="4401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06580">
      <w:bodyDiv w:val="1"/>
      <w:marLeft w:val="0"/>
      <w:marRight w:val="0"/>
      <w:marTop w:val="0"/>
      <w:marBottom w:val="0"/>
      <w:divBdr>
        <w:top w:val="none" w:sz="0" w:space="0" w:color="auto"/>
        <w:left w:val="none" w:sz="0" w:space="0" w:color="auto"/>
        <w:bottom w:val="none" w:sz="0" w:space="0" w:color="auto"/>
        <w:right w:val="none" w:sz="0" w:space="0" w:color="auto"/>
      </w:divBdr>
    </w:div>
    <w:div w:id="1542211966">
      <w:bodyDiv w:val="1"/>
      <w:marLeft w:val="0"/>
      <w:marRight w:val="0"/>
      <w:marTop w:val="0"/>
      <w:marBottom w:val="0"/>
      <w:divBdr>
        <w:top w:val="none" w:sz="0" w:space="0" w:color="auto"/>
        <w:left w:val="none" w:sz="0" w:space="0" w:color="auto"/>
        <w:bottom w:val="none" w:sz="0" w:space="0" w:color="auto"/>
        <w:right w:val="none" w:sz="0" w:space="0" w:color="auto"/>
      </w:divBdr>
      <w:divsChild>
        <w:div w:id="810905413">
          <w:marLeft w:val="0"/>
          <w:marRight w:val="0"/>
          <w:marTop w:val="0"/>
          <w:marBottom w:val="0"/>
          <w:divBdr>
            <w:top w:val="none" w:sz="0" w:space="0" w:color="auto"/>
            <w:left w:val="none" w:sz="0" w:space="0" w:color="auto"/>
            <w:bottom w:val="none" w:sz="0" w:space="0" w:color="auto"/>
            <w:right w:val="none" w:sz="0" w:space="0" w:color="auto"/>
          </w:divBdr>
          <w:divsChild>
            <w:div w:id="377703874">
              <w:marLeft w:val="0"/>
              <w:marRight w:val="0"/>
              <w:marTop w:val="0"/>
              <w:marBottom w:val="0"/>
              <w:divBdr>
                <w:top w:val="none" w:sz="0" w:space="0" w:color="auto"/>
                <w:left w:val="none" w:sz="0" w:space="0" w:color="auto"/>
                <w:bottom w:val="none" w:sz="0" w:space="0" w:color="auto"/>
                <w:right w:val="none" w:sz="0" w:space="0" w:color="auto"/>
              </w:divBdr>
              <w:divsChild>
                <w:div w:id="10669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90066">
      <w:bodyDiv w:val="1"/>
      <w:marLeft w:val="0"/>
      <w:marRight w:val="0"/>
      <w:marTop w:val="0"/>
      <w:marBottom w:val="0"/>
      <w:divBdr>
        <w:top w:val="none" w:sz="0" w:space="0" w:color="auto"/>
        <w:left w:val="none" w:sz="0" w:space="0" w:color="auto"/>
        <w:bottom w:val="none" w:sz="0" w:space="0" w:color="auto"/>
        <w:right w:val="none" w:sz="0" w:space="0" w:color="auto"/>
      </w:divBdr>
    </w:div>
    <w:div w:id="1577129883">
      <w:bodyDiv w:val="1"/>
      <w:marLeft w:val="0"/>
      <w:marRight w:val="0"/>
      <w:marTop w:val="0"/>
      <w:marBottom w:val="0"/>
      <w:divBdr>
        <w:top w:val="none" w:sz="0" w:space="0" w:color="auto"/>
        <w:left w:val="none" w:sz="0" w:space="0" w:color="auto"/>
        <w:bottom w:val="none" w:sz="0" w:space="0" w:color="auto"/>
        <w:right w:val="none" w:sz="0" w:space="0" w:color="auto"/>
      </w:divBdr>
    </w:div>
    <w:div w:id="1592157554">
      <w:bodyDiv w:val="1"/>
      <w:marLeft w:val="0"/>
      <w:marRight w:val="0"/>
      <w:marTop w:val="0"/>
      <w:marBottom w:val="0"/>
      <w:divBdr>
        <w:top w:val="none" w:sz="0" w:space="0" w:color="auto"/>
        <w:left w:val="none" w:sz="0" w:space="0" w:color="auto"/>
        <w:bottom w:val="none" w:sz="0" w:space="0" w:color="auto"/>
        <w:right w:val="none" w:sz="0" w:space="0" w:color="auto"/>
      </w:divBdr>
    </w:div>
    <w:div w:id="1595164537">
      <w:bodyDiv w:val="1"/>
      <w:marLeft w:val="0"/>
      <w:marRight w:val="0"/>
      <w:marTop w:val="0"/>
      <w:marBottom w:val="0"/>
      <w:divBdr>
        <w:top w:val="none" w:sz="0" w:space="0" w:color="auto"/>
        <w:left w:val="none" w:sz="0" w:space="0" w:color="auto"/>
        <w:bottom w:val="none" w:sz="0" w:space="0" w:color="auto"/>
        <w:right w:val="none" w:sz="0" w:space="0" w:color="auto"/>
      </w:divBdr>
      <w:divsChild>
        <w:div w:id="1640332412">
          <w:marLeft w:val="0"/>
          <w:marRight w:val="0"/>
          <w:marTop w:val="0"/>
          <w:marBottom w:val="0"/>
          <w:divBdr>
            <w:top w:val="none" w:sz="0" w:space="0" w:color="auto"/>
            <w:left w:val="none" w:sz="0" w:space="0" w:color="auto"/>
            <w:bottom w:val="none" w:sz="0" w:space="0" w:color="auto"/>
            <w:right w:val="none" w:sz="0" w:space="0" w:color="auto"/>
          </w:divBdr>
          <w:divsChild>
            <w:div w:id="295917226">
              <w:marLeft w:val="0"/>
              <w:marRight w:val="0"/>
              <w:marTop w:val="0"/>
              <w:marBottom w:val="0"/>
              <w:divBdr>
                <w:top w:val="none" w:sz="0" w:space="0" w:color="auto"/>
                <w:left w:val="none" w:sz="0" w:space="0" w:color="auto"/>
                <w:bottom w:val="none" w:sz="0" w:space="0" w:color="auto"/>
                <w:right w:val="none" w:sz="0" w:space="0" w:color="auto"/>
              </w:divBdr>
              <w:divsChild>
                <w:div w:id="18559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051">
      <w:bodyDiv w:val="1"/>
      <w:marLeft w:val="0"/>
      <w:marRight w:val="0"/>
      <w:marTop w:val="0"/>
      <w:marBottom w:val="0"/>
      <w:divBdr>
        <w:top w:val="none" w:sz="0" w:space="0" w:color="auto"/>
        <w:left w:val="none" w:sz="0" w:space="0" w:color="auto"/>
        <w:bottom w:val="none" w:sz="0" w:space="0" w:color="auto"/>
        <w:right w:val="none" w:sz="0" w:space="0" w:color="auto"/>
      </w:divBdr>
    </w:div>
    <w:div w:id="1631979976">
      <w:bodyDiv w:val="1"/>
      <w:marLeft w:val="0"/>
      <w:marRight w:val="0"/>
      <w:marTop w:val="0"/>
      <w:marBottom w:val="0"/>
      <w:divBdr>
        <w:top w:val="none" w:sz="0" w:space="0" w:color="auto"/>
        <w:left w:val="none" w:sz="0" w:space="0" w:color="auto"/>
        <w:bottom w:val="none" w:sz="0" w:space="0" w:color="auto"/>
        <w:right w:val="none" w:sz="0" w:space="0" w:color="auto"/>
      </w:divBdr>
      <w:divsChild>
        <w:div w:id="1050113562">
          <w:marLeft w:val="0"/>
          <w:marRight w:val="0"/>
          <w:marTop w:val="0"/>
          <w:marBottom w:val="0"/>
          <w:divBdr>
            <w:top w:val="none" w:sz="0" w:space="0" w:color="auto"/>
            <w:left w:val="none" w:sz="0" w:space="0" w:color="auto"/>
            <w:bottom w:val="none" w:sz="0" w:space="0" w:color="auto"/>
            <w:right w:val="none" w:sz="0" w:space="0" w:color="auto"/>
          </w:divBdr>
          <w:divsChild>
            <w:div w:id="2056928175">
              <w:marLeft w:val="0"/>
              <w:marRight w:val="0"/>
              <w:marTop w:val="0"/>
              <w:marBottom w:val="0"/>
              <w:divBdr>
                <w:top w:val="none" w:sz="0" w:space="0" w:color="auto"/>
                <w:left w:val="none" w:sz="0" w:space="0" w:color="auto"/>
                <w:bottom w:val="none" w:sz="0" w:space="0" w:color="auto"/>
                <w:right w:val="none" w:sz="0" w:space="0" w:color="auto"/>
              </w:divBdr>
              <w:divsChild>
                <w:div w:id="21322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6437">
      <w:bodyDiv w:val="1"/>
      <w:marLeft w:val="0"/>
      <w:marRight w:val="0"/>
      <w:marTop w:val="0"/>
      <w:marBottom w:val="0"/>
      <w:divBdr>
        <w:top w:val="none" w:sz="0" w:space="0" w:color="auto"/>
        <w:left w:val="none" w:sz="0" w:space="0" w:color="auto"/>
        <w:bottom w:val="none" w:sz="0" w:space="0" w:color="auto"/>
        <w:right w:val="none" w:sz="0" w:space="0" w:color="auto"/>
      </w:divBdr>
    </w:div>
    <w:div w:id="1715077664">
      <w:bodyDiv w:val="1"/>
      <w:marLeft w:val="0"/>
      <w:marRight w:val="0"/>
      <w:marTop w:val="0"/>
      <w:marBottom w:val="0"/>
      <w:divBdr>
        <w:top w:val="none" w:sz="0" w:space="0" w:color="auto"/>
        <w:left w:val="none" w:sz="0" w:space="0" w:color="auto"/>
        <w:bottom w:val="none" w:sz="0" w:space="0" w:color="auto"/>
        <w:right w:val="none" w:sz="0" w:space="0" w:color="auto"/>
      </w:divBdr>
      <w:divsChild>
        <w:div w:id="2059934554">
          <w:marLeft w:val="0"/>
          <w:marRight w:val="0"/>
          <w:marTop w:val="0"/>
          <w:marBottom w:val="0"/>
          <w:divBdr>
            <w:top w:val="none" w:sz="0" w:space="0" w:color="auto"/>
            <w:left w:val="none" w:sz="0" w:space="0" w:color="auto"/>
            <w:bottom w:val="none" w:sz="0" w:space="0" w:color="auto"/>
            <w:right w:val="none" w:sz="0" w:space="0" w:color="auto"/>
          </w:divBdr>
          <w:divsChild>
            <w:div w:id="1012337127">
              <w:marLeft w:val="0"/>
              <w:marRight w:val="0"/>
              <w:marTop w:val="0"/>
              <w:marBottom w:val="0"/>
              <w:divBdr>
                <w:top w:val="none" w:sz="0" w:space="0" w:color="auto"/>
                <w:left w:val="none" w:sz="0" w:space="0" w:color="auto"/>
                <w:bottom w:val="none" w:sz="0" w:space="0" w:color="auto"/>
                <w:right w:val="none" w:sz="0" w:space="0" w:color="auto"/>
              </w:divBdr>
              <w:divsChild>
                <w:div w:id="1426729855">
                  <w:marLeft w:val="0"/>
                  <w:marRight w:val="0"/>
                  <w:marTop w:val="0"/>
                  <w:marBottom w:val="0"/>
                  <w:divBdr>
                    <w:top w:val="none" w:sz="0" w:space="0" w:color="auto"/>
                    <w:left w:val="none" w:sz="0" w:space="0" w:color="auto"/>
                    <w:bottom w:val="none" w:sz="0" w:space="0" w:color="auto"/>
                    <w:right w:val="none" w:sz="0" w:space="0" w:color="auto"/>
                  </w:divBdr>
                  <w:divsChild>
                    <w:div w:id="3355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19547">
      <w:bodyDiv w:val="1"/>
      <w:marLeft w:val="0"/>
      <w:marRight w:val="0"/>
      <w:marTop w:val="0"/>
      <w:marBottom w:val="0"/>
      <w:divBdr>
        <w:top w:val="none" w:sz="0" w:space="0" w:color="auto"/>
        <w:left w:val="none" w:sz="0" w:space="0" w:color="auto"/>
        <w:bottom w:val="none" w:sz="0" w:space="0" w:color="auto"/>
        <w:right w:val="none" w:sz="0" w:space="0" w:color="auto"/>
      </w:divBdr>
    </w:div>
    <w:div w:id="1741900373">
      <w:bodyDiv w:val="1"/>
      <w:marLeft w:val="0"/>
      <w:marRight w:val="0"/>
      <w:marTop w:val="0"/>
      <w:marBottom w:val="0"/>
      <w:divBdr>
        <w:top w:val="none" w:sz="0" w:space="0" w:color="auto"/>
        <w:left w:val="none" w:sz="0" w:space="0" w:color="auto"/>
        <w:bottom w:val="none" w:sz="0" w:space="0" w:color="auto"/>
        <w:right w:val="none" w:sz="0" w:space="0" w:color="auto"/>
      </w:divBdr>
    </w:div>
    <w:div w:id="1756710108">
      <w:bodyDiv w:val="1"/>
      <w:marLeft w:val="0"/>
      <w:marRight w:val="0"/>
      <w:marTop w:val="0"/>
      <w:marBottom w:val="0"/>
      <w:divBdr>
        <w:top w:val="none" w:sz="0" w:space="0" w:color="auto"/>
        <w:left w:val="none" w:sz="0" w:space="0" w:color="auto"/>
        <w:bottom w:val="none" w:sz="0" w:space="0" w:color="auto"/>
        <w:right w:val="none" w:sz="0" w:space="0" w:color="auto"/>
      </w:divBdr>
    </w:div>
    <w:div w:id="1772776779">
      <w:bodyDiv w:val="1"/>
      <w:marLeft w:val="0"/>
      <w:marRight w:val="0"/>
      <w:marTop w:val="0"/>
      <w:marBottom w:val="0"/>
      <w:divBdr>
        <w:top w:val="none" w:sz="0" w:space="0" w:color="auto"/>
        <w:left w:val="none" w:sz="0" w:space="0" w:color="auto"/>
        <w:bottom w:val="none" w:sz="0" w:space="0" w:color="auto"/>
        <w:right w:val="none" w:sz="0" w:space="0" w:color="auto"/>
      </w:divBdr>
    </w:div>
    <w:div w:id="1775395433">
      <w:bodyDiv w:val="1"/>
      <w:marLeft w:val="0"/>
      <w:marRight w:val="0"/>
      <w:marTop w:val="0"/>
      <w:marBottom w:val="0"/>
      <w:divBdr>
        <w:top w:val="none" w:sz="0" w:space="0" w:color="auto"/>
        <w:left w:val="none" w:sz="0" w:space="0" w:color="auto"/>
        <w:bottom w:val="none" w:sz="0" w:space="0" w:color="auto"/>
        <w:right w:val="none" w:sz="0" w:space="0" w:color="auto"/>
      </w:divBdr>
    </w:div>
    <w:div w:id="1824615358">
      <w:bodyDiv w:val="1"/>
      <w:marLeft w:val="0"/>
      <w:marRight w:val="0"/>
      <w:marTop w:val="0"/>
      <w:marBottom w:val="0"/>
      <w:divBdr>
        <w:top w:val="none" w:sz="0" w:space="0" w:color="auto"/>
        <w:left w:val="none" w:sz="0" w:space="0" w:color="auto"/>
        <w:bottom w:val="none" w:sz="0" w:space="0" w:color="auto"/>
        <w:right w:val="none" w:sz="0" w:space="0" w:color="auto"/>
      </w:divBdr>
    </w:div>
    <w:div w:id="1838229627">
      <w:bodyDiv w:val="1"/>
      <w:marLeft w:val="0"/>
      <w:marRight w:val="0"/>
      <w:marTop w:val="0"/>
      <w:marBottom w:val="0"/>
      <w:divBdr>
        <w:top w:val="none" w:sz="0" w:space="0" w:color="auto"/>
        <w:left w:val="none" w:sz="0" w:space="0" w:color="auto"/>
        <w:bottom w:val="none" w:sz="0" w:space="0" w:color="auto"/>
        <w:right w:val="none" w:sz="0" w:space="0" w:color="auto"/>
      </w:divBdr>
    </w:div>
    <w:div w:id="1847286456">
      <w:bodyDiv w:val="1"/>
      <w:marLeft w:val="0"/>
      <w:marRight w:val="0"/>
      <w:marTop w:val="0"/>
      <w:marBottom w:val="0"/>
      <w:divBdr>
        <w:top w:val="none" w:sz="0" w:space="0" w:color="auto"/>
        <w:left w:val="none" w:sz="0" w:space="0" w:color="auto"/>
        <w:bottom w:val="none" w:sz="0" w:space="0" w:color="auto"/>
        <w:right w:val="none" w:sz="0" w:space="0" w:color="auto"/>
      </w:divBdr>
    </w:div>
    <w:div w:id="1859156465">
      <w:bodyDiv w:val="1"/>
      <w:marLeft w:val="0"/>
      <w:marRight w:val="0"/>
      <w:marTop w:val="0"/>
      <w:marBottom w:val="0"/>
      <w:divBdr>
        <w:top w:val="none" w:sz="0" w:space="0" w:color="auto"/>
        <w:left w:val="none" w:sz="0" w:space="0" w:color="auto"/>
        <w:bottom w:val="none" w:sz="0" w:space="0" w:color="auto"/>
        <w:right w:val="none" w:sz="0" w:space="0" w:color="auto"/>
      </w:divBdr>
    </w:div>
    <w:div w:id="1871449083">
      <w:bodyDiv w:val="1"/>
      <w:marLeft w:val="0"/>
      <w:marRight w:val="0"/>
      <w:marTop w:val="0"/>
      <w:marBottom w:val="0"/>
      <w:divBdr>
        <w:top w:val="none" w:sz="0" w:space="0" w:color="auto"/>
        <w:left w:val="none" w:sz="0" w:space="0" w:color="auto"/>
        <w:bottom w:val="none" w:sz="0" w:space="0" w:color="auto"/>
        <w:right w:val="none" w:sz="0" w:space="0" w:color="auto"/>
      </w:divBdr>
    </w:div>
    <w:div w:id="1875730378">
      <w:bodyDiv w:val="1"/>
      <w:marLeft w:val="0"/>
      <w:marRight w:val="0"/>
      <w:marTop w:val="0"/>
      <w:marBottom w:val="0"/>
      <w:divBdr>
        <w:top w:val="none" w:sz="0" w:space="0" w:color="auto"/>
        <w:left w:val="none" w:sz="0" w:space="0" w:color="auto"/>
        <w:bottom w:val="none" w:sz="0" w:space="0" w:color="auto"/>
        <w:right w:val="none" w:sz="0" w:space="0" w:color="auto"/>
      </w:divBdr>
    </w:div>
    <w:div w:id="1888448682">
      <w:bodyDiv w:val="1"/>
      <w:marLeft w:val="0"/>
      <w:marRight w:val="0"/>
      <w:marTop w:val="0"/>
      <w:marBottom w:val="0"/>
      <w:divBdr>
        <w:top w:val="none" w:sz="0" w:space="0" w:color="auto"/>
        <w:left w:val="none" w:sz="0" w:space="0" w:color="auto"/>
        <w:bottom w:val="none" w:sz="0" w:space="0" w:color="auto"/>
        <w:right w:val="none" w:sz="0" w:space="0" w:color="auto"/>
      </w:divBdr>
      <w:divsChild>
        <w:div w:id="148904954">
          <w:marLeft w:val="0"/>
          <w:marRight w:val="0"/>
          <w:marTop w:val="0"/>
          <w:marBottom w:val="0"/>
          <w:divBdr>
            <w:top w:val="none" w:sz="0" w:space="0" w:color="auto"/>
            <w:left w:val="none" w:sz="0" w:space="0" w:color="auto"/>
            <w:bottom w:val="none" w:sz="0" w:space="0" w:color="auto"/>
            <w:right w:val="none" w:sz="0" w:space="0" w:color="auto"/>
          </w:divBdr>
          <w:divsChild>
            <w:div w:id="1895773265">
              <w:marLeft w:val="0"/>
              <w:marRight w:val="0"/>
              <w:marTop w:val="0"/>
              <w:marBottom w:val="0"/>
              <w:divBdr>
                <w:top w:val="none" w:sz="0" w:space="0" w:color="auto"/>
                <w:left w:val="none" w:sz="0" w:space="0" w:color="auto"/>
                <w:bottom w:val="none" w:sz="0" w:space="0" w:color="auto"/>
                <w:right w:val="none" w:sz="0" w:space="0" w:color="auto"/>
              </w:divBdr>
              <w:divsChild>
                <w:div w:id="1007290308">
                  <w:marLeft w:val="0"/>
                  <w:marRight w:val="0"/>
                  <w:marTop w:val="0"/>
                  <w:marBottom w:val="0"/>
                  <w:divBdr>
                    <w:top w:val="none" w:sz="0" w:space="0" w:color="auto"/>
                    <w:left w:val="none" w:sz="0" w:space="0" w:color="auto"/>
                    <w:bottom w:val="none" w:sz="0" w:space="0" w:color="auto"/>
                    <w:right w:val="none" w:sz="0" w:space="0" w:color="auto"/>
                  </w:divBdr>
                </w:div>
              </w:divsChild>
            </w:div>
            <w:div w:id="435255762">
              <w:marLeft w:val="0"/>
              <w:marRight w:val="0"/>
              <w:marTop w:val="0"/>
              <w:marBottom w:val="0"/>
              <w:divBdr>
                <w:top w:val="none" w:sz="0" w:space="0" w:color="auto"/>
                <w:left w:val="none" w:sz="0" w:space="0" w:color="auto"/>
                <w:bottom w:val="none" w:sz="0" w:space="0" w:color="auto"/>
                <w:right w:val="none" w:sz="0" w:space="0" w:color="auto"/>
              </w:divBdr>
              <w:divsChild>
                <w:div w:id="7210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6308">
          <w:marLeft w:val="0"/>
          <w:marRight w:val="0"/>
          <w:marTop w:val="0"/>
          <w:marBottom w:val="0"/>
          <w:divBdr>
            <w:top w:val="none" w:sz="0" w:space="0" w:color="auto"/>
            <w:left w:val="none" w:sz="0" w:space="0" w:color="auto"/>
            <w:bottom w:val="none" w:sz="0" w:space="0" w:color="auto"/>
            <w:right w:val="none" w:sz="0" w:space="0" w:color="auto"/>
          </w:divBdr>
          <w:divsChild>
            <w:div w:id="229049282">
              <w:marLeft w:val="0"/>
              <w:marRight w:val="0"/>
              <w:marTop w:val="0"/>
              <w:marBottom w:val="0"/>
              <w:divBdr>
                <w:top w:val="none" w:sz="0" w:space="0" w:color="auto"/>
                <w:left w:val="none" w:sz="0" w:space="0" w:color="auto"/>
                <w:bottom w:val="none" w:sz="0" w:space="0" w:color="auto"/>
                <w:right w:val="none" w:sz="0" w:space="0" w:color="auto"/>
              </w:divBdr>
              <w:divsChild>
                <w:div w:id="1504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0304">
      <w:bodyDiv w:val="1"/>
      <w:marLeft w:val="0"/>
      <w:marRight w:val="0"/>
      <w:marTop w:val="0"/>
      <w:marBottom w:val="0"/>
      <w:divBdr>
        <w:top w:val="none" w:sz="0" w:space="0" w:color="auto"/>
        <w:left w:val="none" w:sz="0" w:space="0" w:color="auto"/>
        <w:bottom w:val="none" w:sz="0" w:space="0" w:color="auto"/>
        <w:right w:val="none" w:sz="0" w:space="0" w:color="auto"/>
      </w:divBdr>
    </w:div>
    <w:div w:id="1931699988">
      <w:bodyDiv w:val="1"/>
      <w:marLeft w:val="0"/>
      <w:marRight w:val="0"/>
      <w:marTop w:val="0"/>
      <w:marBottom w:val="0"/>
      <w:divBdr>
        <w:top w:val="none" w:sz="0" w:space="0" w:color="auto"/>
        <w:left w:val="none" w:sz="0" w:space="0" w:color="auto"/>
        <w:bottom w:val="none" w:sz="0" w:space="0" w:color="auto"/>
        <w:right w:val="none" w:sz="0" w:space="0" w:color="auto"/>
      </w:divBdr>
    </w:div>
    <w:div w:id="1932464743">
      <w:bodyDiv w:val="1"/>
      <w:marLeft w:val="0"/>
      <w:marRight w:val="0"/>
      <w:marTop w:val="0"/>
      <w:marBottom w:val="0"/>
      <w:divBdr>
        <w:top w:val="none" w:sz="0" w:space="0" w:color="auto"/>
        <w:left w:val="none" w:sz="0" w:space="0" w:color="auto"/>
        <w:bottom w:val="none" w:sz="0" w:space="0" w:color="auto"/>
        <w:right w:val="none" w:sz="0" w:space="0" w:color="auto"/>
      </w:divBdr>
    </w:div>
    <w:div w:id="1963002695">
      <w:bodyDiv w:val="1"/>
      <w:marLeft w:val="0"/>
      <w:marRight w:val="0"/>
      <w:marTop w:val="0"/>
      <w:marBottom w:val="0"/>
      <w:divBdr>
        <w:top w:val="none" w:sz="0" w:space="0" w:color="auto"/>
        <w:left w:val="none" w:sz="0" w:space="0" w:color="auto"/>
        <w:bottom w:val="none" w:sz="0" w:space="0" w:color="auto"/>
        <w:right w:val="none" w:sz="0" w:space="0" w:color="auto"/>
      </w:divBdr>
    </w:div>
    <w:div w:id="1964724296">
      <w:bodyDiv w:val="1"/>
      <w:marLeft w:val="0"/>
      <w:marRight w:val="0"/>
      <w:marTop w:val="0"/>
      <w:marBottom w:val="0"/>
      <w:divBdr>
        <w:top w:val="none" w:sz="0" w:space="0" w:color="auto"/>
        <w:left w:val="none" w:sz="0" w:space="0" w:color="auto"/>
        <w:bottom w:val="none" w:sz="0" w:space="0" w:color="auto"/>
        <w:right w:val="none" w:sz="0" w:space="0" w:color="auto"/>
      </w:divBdr>
    </w:div>
    <w:div w:id="2011105950">
      <w:bodyDiv w:val="1"/>
      <w:marLeft w:val="0"/>
      <w:marRight w:val="0"/>
      <w:marTop w:val="0"/>
      <w:marBottom w:val="0"/>
      <w:divBdr>
        <w:top w:val="none" w:sz="0" w:space="0" w:color="auto"/>
        <w:left w:val="none" w:sz="0" w:space="0" w:color="auto"/>
        <w:bottom w:val="none" w:sz="0" w:space="0" w:color="auto"/>
        <w:right w:val="none" w:sz="0" w:space="0" w:color="auto"/>
      </w:divBdr>
      <w:divsChild>
        <w:div w:id="1304042171">
          <w:marLeft w:val="0"/>
          <w:marRight w:val="0"/>
          <w:marTop w:val="0"/>
          <w:marBottom w:val="0"/>
          <w:divBdr>
            <w:top w:val="none" w:sz="0" w:space="0" w:color="auto"/>
            <w:left w:val="none" w:sz="0" w:space="0" w:color="auto"/>
            <w:bottom w:val="none" w:sz="0" w:space="0" w:color="auto"/>
            <w:right w:val="none" w:sz="0" w:space="0" w:color="auto"/>
          </w:divBdr>
          <w:divsChild>
            <w:div w:id="1221479374">
              <w:marLeft w:val="0"/>
              <w:marRight w:val="0"/>
              <w:marTop w:val="0"/>
              <w:marBottom w:val="0"/>
              <w:divBdr>
                <w:top w:val="none" w:sz="0" w:space="0" w:color="auto"/>
                <w:left w:val="none" w:sz="0" w:space="0" w:color="auto"/>
                <w:bottom w:val="none" w:sz="0" w:space="0" w:color="auto"/>
                <w:right w:val="none" w:sz="0" w:space="0" w:color="auto"/>
              </w:divBdr>
              <w:divsChild>
                <w:div w:id="2150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8473">
      <w:bodyDiv w:val="1"/>
      <w:marLeft w:val="0"/>
      <w:marRight w:val="0"/>
      <w:marTop w:val="0"/>
      <w:marBottom w:val="0"/>
      <w:divBdr>
        <w:top w:val="none" w:sz="0" w:space="0" w:color="auto"/>
        <w:left w:val="none" w:sz="0" w:space="0" w:color="auto"/>
        <w:bottom w:val="none" w:sz="0" w:space="0" w:color="auto"/>
        <w:right w:val="none" w:sz="0" w:space="0" w:color="auto"/>
      </w:divBdr>
    </w:div>
    <w:div w:id="2134053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access-to-and-use-of-buildings-approved-document-m" TargetMode="External"/><Relationship Id="rId2" Type="http://schemas.openxmlformats.org/officeDocument/2006/relationships/hyperlink" Target="https://www.gov.uk/government/publications/technical-housing-standards-nationally-described-space-standard" TargetMode="External"/><Relationship Id="rId1" Type="http://schemas.openxmlformats.org/officeDocument/2006/relationships/hyperlink" Target="https://www.gov.uk/government/speeches/planning-update-march-2015" TargetMode="External"/><Relationship Id="rId4" Type="http://schemas.openxmlformats.org/officeDocument/2006/relationships/hyperlink" Target="https://www.birmingham.gov.uk/downloads/file/10257/birmingham_city_council_plan_201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E3D1-4975-40AC-BED7-271ED76E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28</Pages>
  <Words>9517</Words>
  <Characters>54250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Hyndburn Borough Council</Company>
  <LinksUpToDate>false</LinksUpToDate>
  <CharactersWithSpaces>63640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Uyen-Phan Han</cp:lastModifiedBy>
  <cp:revision>25</cp:revision>
  <cp:lastPrinted>2020-05-13T15:26:00Z</cp:lastPrinted>
  <dcterms:created xsi:type="dcterms:W3CDTF">2020-07-13T14:38:00Z</dcterms:created>
  <dcterms:modified xsi:type="dcterms:W3CDTF">2020-07-16T22:43:00Z</dcterms:modified>
</cp:coreProperties>
</file>