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25963" w14:textId="77777777" w:rsidR="004A37C2" w:rsidRPr="00C60C94" w:rsidRDefault="004A37C2" w:rsidP="004A37C2">
      <w:pPr>
        <w:rPr>
          <w:rFonts w:ascii="Arial" w:hAnsi="Arial" w:cs="Arial"/>
          <w:b/>
          <w:color w:val="1F3864" w:themeColor="accent1" w:themeShade="80"/>
          <w:sz w:val="24"/>
          <w:szCs w:val="24"/>
        </w:rPr>
      </w:pPr>
      <w:r w:rsidRPr="00C60C94">
        <w:rPr>
          <w:rFonts w:ascii="Arial" w:hAnsi="Arial" w:cs="Arial"/>
          <w:b/>
          <w:color w:val="1F3864" w:themeColor="accent1" w:themeShade="80"/>
          <w:sz w:val="24"/>
          <w:szCs w:val="24"/>
        </w:rPr>
        <w:t>Reflecting on George Floyd’s De</w:t>
      </w:r>
      <w:bookmarkStart w:id="0" w:name="_GoBack"/>
      <w:bookmarkEnd w:id="0"/>
      <w:r w:rsidRPr="00C60C94">
        <w:rPr>
          <w:rFonts w:ascii="Arial" w:hAnsi="Arial" w:cs="Arial"/>
          <w:b/>
          <w:color w:val="1F3864" w:themeColor="accent1" w:themeShade="80"/>
          <w:sz w:val="24"/>
          <w:szCs w:val="24"/>
        </w:rPr>
        <w:t>ath</w:t>
      </w:r>
    </w:p>
    <w:p w14:paraId="796C0267" w14:textId="77777777" w:rsidR="004A37C2" w:rsidRPr="00C60C94" w:rsidRDefault="004A37C2" w:rsidP="004A37C2">
      <w:pPr>
        <w:rPr>
          <w:rFonts w:ascii="Arial" w:hAnsi="Arial" w:cs="Arial"/>
          <w:b/>
          <w:color w:val="1F3864" w:themeColor="accent1" w:themeShade="80"/>
          <w:sz w:val="24"/>
          <w:szCs w:val="24"/>
        </w:rPr>
      </w:pPr>
      <w:r w:rsidRPr="00C60C94">
        <w:rPr>
          <w:rFonts w:ascii="Arial" w:hAnsi="Arial" w:cs="Arial"/>
          <w:b/>
          <w:color w:val="1F3864" w:themeColor="accent1" w:themeShade="80"/>
          <w:sz w:val="24"/>
          <w:szCs w:val="24"/>
        </w:rPr>
        <w:t>How can we support our pupils?</w:t>
      </w:r>
    </w:p>
    <w:p w14:paraId="3FA528A6" w14:textId="77777777" w:rsidR="004A37C2" w:rsidRPr="00C60C94" w:rsidRDefault="004A37C2" w:rsidP="004A37C2">
      <w:pPr>
        <w:rPr>
          <w:rFonts w:ascii="Arial" w:hAnsi="Arial" w:cs="Arial"/>
          <w:color w:val="000000"/>
          <w:sz w:val="24"/>
          <w:szCs w:val="24"/>
          <w:shd w:val="clear" w:color="auto" w:fill="FFFFFF"/>
        </w:rPr>
      </w:pPr>
      <w:r w:rsidRPr="00C60C94">
        <w:rPr>
          <w:rFonts w:ascii="Arial" w:hAnsi="Arial" w:cs="Arial"/>
          <w:sz w:val="24"/>
          <w:szCs w:val="24"/>
        </w:rPr>
        <w:t xml:space="preserve">We understand that conversations and discussions on tragic events like </w:t>
      </w:r>
      <w:r w:rsidR="007A148A">
        <w:rPr>
          <w:rFonts w:ascii="Arial" w:hAnsi="Arial" w:cs="Arial"/>
          <w:sz w:val="24"/>
          <w:szCs w:val="24"/>
        </w:rPr>
        <w:t xml:space="preserve">the death of George Floyd in the </w:t>
      </w:r>
      <w:r w:rsidRPr="00C60C94">
        <w:rPr>
          <w:rFonts w:ascii="Arial" w:hAnsi="Arial" w:cs="Arial"/>
          <w:sz w:val="24"/>
          <w:szCs w:val="24"/>
        </w:rPr>
        <w:t xml:space="preserve">USA can be difficult for teachers to </w:t>
      </w:r>
      <w:r w:rsidRPr="00C60C94">
        <w:rPr>
          <w:rFonts w:ascii="Arial" w:hAnsi="Arial" w:cs="Arial"/>
          <w:color w:val="000000"/>
          <w:sz w:val="24"/>
          <w:szCs w:val="24"/>
          <w:shd w:val="clear" w:color="auto" w:fill="FFFFFF"/>
        </w:rPr>
        <w:t>facilitate, and distance learning presents added challenges to teaching sensitive material.  Despite these challenges, it’s critical to make space for students to process the difficult and deeply painful events they are viewing.</w:t>
      </w:r>
    </w:p>
    <w:p w14:paraId="3E152C44" w14:textId="77777777" w:rsidR="004A37C2" w:rsidRPr="00C60C94" w:rsidRDefault="004A37C2" w:rsidP="004A37C2">
      <w:pPr>
        <w:rPr>
          <w:rFonts w:ascii="Arial" w:hAnsi="Arial" w:cs="Arial"/>
          <w:b/>
          <w:color w:val="1F3864" w:themeColor="accent1" w:themeShade="80"/>
          <w:sz w:val="24"/>
          <w:szCs w:val="24"/>
          <w:shd w:val="clear" w:color="auto" w:fill="FFFFFF"/>
        </w:rPr>
      </w:pPr>
      <w:r w:rsidRPr="00C60C94">
        <w:rPr>
          <w:rFonts w:ascii="Arial" w:hAnsi="Arial" w:cs="Arial"/>
          <w:b/>
          <w:color w:val="1F3864" w:themeColor="accent1" w:themeShade="80"/>
          <w:sz w:val="24"/>
          <w:szCs w:val="24"/>
          <w:shd w:val="clear" w:color="auto" w:fill="FFFFFF"/>
        </w:rPr>
        <w:t>Recommended Resources</w:t>
      </w:r>
    </w:p>
    <w:p w14:paraId="4D4FFCE0" w14:textId="77777777" w:rsidR="004A37C2" w:rsidRDefault="004A37C2">
      <w:r w:rsidRPr="00C60C94">
        <w:rPr>
          <w:rFonts w:ascii="Arial" w:hAnsi="Arial" w:cs="Arial"/>
          <w:color w:val="000000"/>
          <w:sz w:val="24"/>
          <w:szCs w:val="24"/>
          <w:shd w:val="clear" w:color="auto" w:fill="FFFFFF"/>
        </w:rPr>
        <w:t>There are many resources and reference points being circulated on issues of anti-racism.  To make it simpler for you, we would like to draw your attention to age appropriate material that we recommend from trusted organisations</w:t>
      </w:r>
      <w:r>
        <w:rPr>
          <w:rFonts w:ascii="Arial" w:hAnsi="Arial" w:cs="Arial"/>
          <w:color w:val="000000"/>
          <w:sz w:val="24"/>
          <w:szCs w:val="24"/>
          <w:shd w:val="clear" w:color="auto" w:fill="FFFFFF"/>
        </w:rPr>
        <w:t>:</w:t>
      </w:r>
    </w:p>
    <w:tbl>
      <w:tblPr>
        <w:tblStyle w:val="TableGrid"/>
        <w:tblW w:w="9776" w:type="dxa"/>
        <w:tblLook w:val="04A0" w:firstRow="1" w:lastRow="0" w:firstColumn="1" w:lastColumn="0" w:noHBand="0" w:noVBand="1"/>
      </w:tblPr>
      <w:tblGrid>
        <w:gridCol w:w="4508"/>
        <w:gridCol w:w="5268"/>
      </w:tblGrid>
      <w:tr w:rsidR="004A37C2" w:rsidRPr="004A37C2" w14:paraId="25B7F31E" w14:textId="77777777" w:rsidTr="001E4F26">
        <w:tc>
          <w:tcPr>
            <w:tcW w:w="9776" w:type="dxa"/>
            <w:gridSpan w:val="2"/>
            <w:shd w:val="clear" w:color="auto" w:fill="8EAADB" w:themeFill="accent1" w:themeFillTint="99"/>
          </w:tcPr>
          <w:p w14:paraId="10A504DB" w14:textId="77777777" w:rsidR="004A37C2" w:rsidRPr="004A37C2" w:rsidRDefault="004A37C2" w:rsidP="004A37C2">
            <w:pPr>
              <w:pStyle w:val="ListParagraph"/>
              <w:numPr>
                <w:ilvl w:val="0"/>
                <w:numId w:val="2"/>
              </w:numPr>
              <w:rPr>
                <w:rFonts w:ascii="Arial" w:hAnsi="Arial" w:cs="Arial"/>
                <w:b/>
                <w:color w:val="FFFFFF" w:themeColor="background1"/>
                <w:sz w:val="24"/>
              </w:rPr>
            </w:pPr>
            <w:r w:rsidRPr="004A37C2">
              <w:rPr>
                <w:rFonts w:ascii="Arial" w:hAnsi="Arial" w:cs="Arial"/>
                <w:b/>
                <w:color w:val="FFFFFF" w:themeColor="background1"/>
                <w:sz w:val="24"/>
              </w:rPr>
              <w:t>Votes for Schools</w:t>
            </w:r>
          </w:p>
        </w:tc>
      </w:tr>
      <w:tr w:rsidR="004A37C2" w:rsidRPr="004A37C2" w14:paraId="191F78BB" w14:textId="77777777" w:rsidTr="004A37C2">
        <w:tc>
          <w:tcPr>
            <w:tcW w:w="9776" w:type="dxa"/>
            <w:gridSpan w:val="2"/>
          </w:tcPr>
          <w:p w14:paraId="1CF68A29" w14:textId="77777777" w:rsidR="004A37C2" w:rsidRPr="004A37C2" w:rsidRDefault="004A37C2" w:rsidP="004A37C2">
            <w:pPr>
              <w:pStyle w:val="ListParagraph"/>
              <w:ind w:left="0"/>
              <w:rPr>
                <w:rFonts w:ascii="Arial" w:hAnsi="Arial" w:cs="Arial"/>
                <w:color w:val="000000"/>
                <w:sz w:val="24"/>
                <w:szCs w:val="24"/>
                <w:shd w:val="clear" w:color="auto" w:fill="FFFFFF"/>
              </w:rPr>
            </w:pPr>
            <w:r w:rsidRPr="004A37C2">
              <w:rPr>
                <w:rFonts w:ascii="Arial" w:hAnsi="Arial" w:cs="Arial"/>
                <w:color w:val="000000"/>
                <w:sz w:val="24"/>
                <w:szCs w:val="24"/>
                <w:shd w:val="clear" w:color="auto" w:fill="FFFFFF"/>
              </w:rPr>
              <w:t xml:space="preserve">Each week, Votes for Schools creates resources for teachers to hold a topical debate or discussion with their classes.  At the end of the week, students vote on a debate and leave comments.  They have adapted this concept so it can be used to ‘Vote from home’.  </w:t>
            </w:r>
          </w:p>
          <w:p w14:paraId="391F0C94" w14:textId="77777777" w:rsidR="004A37C2" w:rsidRPr="004A37C2" w:rsidRDefault="004A37C2" w:rsidP="004A37C2">
            <w:pPr>
              <w:pStyle w:val="ListParagraph"/>
              <w:ind w:left="0"/>
              <w:rPr>
                <w:rFonts w:ascii="Arial" w:hAnsi="Arial" w:cs="Arial"/>
                <w:color w:val="000000"/>
                <w:sz w:val="24"/>
                <w:szCs w:val="24"/>
                <w:shd w:val="clear" w:color="auto" w:fill="FFFFFF"/>
              </w:rPr>
            </w:pPr>
          </w:p>
          <w:p w14:paraId="773260C1" w14:textId="77777777" w:rsidR="004A37C2" w:rsidRPr="004A37C2" w:rsidRDefault="004A37C2" w:rsidP="004A37C2">
            <w:pPr>
              <w:pStyle w:val="ListParagraph"/>
              <w:ind w:left="0"/>
              <w:rPr>
                <w:rFonts w:ascii="Arial" w:hAnsi="Arial" w:cs="Arial"/>
                <w:color w:val="000000"/>
                <w:sz w:val="24"/>
                <w:szCs w:val="24"/>
                <w:shd w:val="clear" w:color="auto" w:fill="FFFFFF"/>
              </w:rPr>
            </w:pPr>
            <w:r w:rsidRPr="004A37C2">
              <w:rPr>
                <w:rFonts w:ascii="Arial" w:hAnsi="Arial" w:cs="Arial"/>
                <w:color w:val="000000"/>
                <w:sz w:val="24"/>
                <w:szCs w:val="24"/>
                <w:shd w:val="clear" w:color="auto" w:fill="FFFFFF"/>
              </w:rPr>
              <w:t>All the resources are mapped to SMSC, Prevent and British Values criteria.</w:t>
            </w:r>
          </w:p>
          <w:p w14:paraId="62B6C7E5" w14:textId="77777777" w:rsidR="004A37C2" w:rsidRPr="004A37C2" w:rsidRDefault="004A37C2">
            <w:pPr>
              <w:rPr>
                <w:rFonts w:ascii="Arial" w:hAnsi="Arial" w:cs="Arial"/>
                <w:sz w:val="24"/>
              </w:rPr>
            </w:pPr>
          </w:p>
        </w:tc>
      </w:tr>
      <w:tr w:rsidR="007A148A" w:rsidRPr="007A148A" w14:paraId="0754110F" w14:textId="77777777" w:rsidTr="004A37C2">
        <w:tc>
          <w:tcPr>
            <w:tcW w:w="4508" w:type="dxa"/>
          </w:tcPr>
          <w:p w14:paraId="67675DEC" w14:textId="77777777" w:rsidR="004A37C2" w:rsidRPr="007A148A" w:rsidRDefault="004A37C2" w:rsidP="004A37C2">
            <w:pPr>
              <w:pStyle w:val="ListParagraph"/>
              <w:ind w:left="0"/>
              <w:rPr>
                <w:rFonts w:ascii="Arial" w:hAnsi="Arial" w:cs="Arial"/>
                <w:b/>
                <w:color w:val="1F3864" w:themeColor="accent1" w:themeShade="80"/>
                <w:shd w:val="clear" w:color="auto" w:fill="FFFFFF"/>
              </w:rPr>
            </w:pPr>
            <w:r w:rsidRPr="007A148A">
              <w:rPr>
                <w:rFonts w:ascii="Arial" w:hAnsi="Arial" w:cs="Arial"/>
                <w:b/>
                <w:color w:val="1F3864" w:themeColor="accent1" w:themeShade="80"/>
                <w:shd w:val="clear" w:color="auto" w:fill="FFFFFF"/>
              </w:rPr>
              <w:t>Should we stand up for other people?</w:t>
            </w:r>
          </w:p>
        </w:tc>
        <w:tc>
          <w:tcPr>
            <w:tcW w:w="5268" w:type="dxa"/>
          </w:tcPr>
          <w:p w14:paraId="038B0539" w14:textId="77777777" w:rsidR="004A37C2" w:rsidRPr="007A148A" w:rsidRDefault="004A37C2" w:rsidP="004A37C2">
            <w:pPr>
              <w:rPr>
                <w:rFonts w:ascii="Arial" w:hAnsi="Arial" w:cs="Arial"/>
                <w:b/>
                <w:color w:val="1F3864" w:themeColor="accent1" w:themeShade="80"/>
                <w:sz w:val="24"/>
                <w:szCs w:val="24"/>
                <w:shd w:val="clear" w:color="auto" w:fill="FFFFFF"/>
              </w:rPr>
            </w:pPr>
            <w:r w:rsidRPr="007A148A">
              <w:rPr>
                <w:rFonts w:ascii="Arial" w:hAnsi="Arial" w:cs="Arial"/>
                <w:b/>
                <w:color w:val="1F3864" w:themeColor="accent1" w:themeShade="80"/>
                <w:szCs w:val="24"/>
                <w:shd w:val="clear" w:color="auto" w:fill="FFFFFF"/>
              </w:rPr>
              <w:t>Will the anti-racism protests lead to change in the US?</w:t>
            </w:r>
          </w:p>
        </w:tc>
      </w:tr>
      <w:tr w:rsidR="004A37C2" w:rsidRPr="004A37C2" w14:paraId="7925A54A" w14:textId="77777777" w:rsidTr="004A37C2">
        <w:tc>
          <w:tcPr>
            <w:tcW w:w="4508" w:type="dxa"/>
          </w:tcPr>
          <w:p w14:paraId="3F1F2C83" w14:textId="77777777" w:rsidR="004A37C2" w:rsidRPr="007A148A" w:rsidRDefault="0019482A" w:rsidP="004A37C2">
            <w:pPr>
              <w:rPr>
                <w:rFonts w:ascii="Arial" w:hAnsi="Arial" w:cs="Arial"/>
                <w:color w:val="ED7D31" w:themeColor="accent2"/>
                <w:sz w:val="24"/>
              </w:rPr>
            </w:pPr>
            <w:hyperlink r:id="rId10" w:tgtFrame="_blank" w:history="1">
              <w:r w:rsidR="004A37C2" w:rsidRPr="007A148A">
                <w:rPr>
                  <w:rStyle w:val="Hyperlink"/>
                  <w:rFonts w:ascii="Arial" w:hAnsi="Arial" w:cs="Arial"/>
                  <w:color w:val="ED7D31" w:themeColor="accent2"/>
                </w:rPr>
                <w:t>Primary Activity Pack</w:t>
              </w:r>
            </w:hyperlink>
            <w:r w:rsidR="004A37C2" w:rsidRPr="007A148A">
              <w:rPr>
                <w:rFonts w:ascii="Arial" w:hAnsi="Arial" w:cs="Arial"/>
                <w:color w:val="ED7D31" w:themeColor="accent2"/>
              </w:rPr>
              <w:br/>
            </w:r>
            <w:hyperlink r:id="rId11" w:tgtFrame="_blank" w:history="1">
              <w:r w:rsidR="004A37C2" w:rsidRPr="007A148A">
                <w:rPr>
                  <w:rStyle w:val="Hyperlink"/>
                  <w:rFonts w:ascii="Arial" w:hAnsi="Arial" w:cs="Arial"/>
                  <w:color w:val="ED7D31" w:themeColor="accent2"/>
                </w:rPr>
                <w:t>KS1 Lesson </w:t>
              </w:r>
            </w:hyperlink>
            <w:r w:rsidR="004A37C2" w:rsidRPr="007A148A">
              <w:rPr>
                <w:rFonts w:ascii="Arial" w:hAnsi="Arial" w:cs="Arial"/>
                <w:color w:val="ED7D31" w:themeColor="accent2"/>
              </w:rPr>
              <w:br/>
            </w:r>
            <w:hyperlink r:id="rId12" w:tgtFrame="_blank" w:history="1">
              <w:r w:rsidR="004A37C2" w:rsidRPr="007A148A">
                <w:rPr>
                  <w:rStyle w:val="Hyperlink"/>
                  <w:rFonts w:ascii="Arial" w:hAnsi="Arial" w:cs="Arial"/>
                  <w:color w:val="ED7D31" w:themeColor="accent2"/>
                </w:rPr>
                <w:t>KS2 Lesson </w:t>
              </w:r>
            </w:hyperlink>
            <w:r w:rsidR="004A37C2" w:rsidRPr="007A148A">
              <w:rPr>
                <w:rFonts w:ascii="Arial" w:hAnsi="Arial" w:cs="Arial"/>
                <w:color w:val="ED7D31" w:themeColor="accent2"/>
              </w:rPr>
              <w:br/>
            </w:r>
            <w:hyperlink r:id="rId13" w:tgtFrame="_blank" w:history="1">
              <w:r w:rsidR="004A37C2" w:rsidRPr="007A148A">
                <w:rPr>
                  <w:rStyle w:val="Hyperlink"/>
                  <w:rFonts w:ascii="Arial" w:hAnsi="Arial" w:cs="Arial"/>
                  <w:color w:val="ED7D31" w:themeColor="accent2"/>
                </w:rPr>
                <w:t>Primary Curriculum Guide </w:t>
              </w:r>
            </w:hyperlink>
          </w:p>
        </w:tc>
        <w:tc>
          <w:tcPr>
            <w:tcW w:w="5268" w:type="dxa"/>
          </w:tcPr>
          <w:p w14:paraId="29FB830B" w14:textId="77777777" w:rsidR="004A37C2" w:rsidRPr="007A148A" w:rsidRDefault="0019482A" w:rsidP="004A37C2">
            <w:pPr>
              <w:pStyle w:val="ListParagraph"/>
              <w:ind w:left="0"/>
              <w:rPr>
                <w:rFonts w:ascii="Arial" w:hAnsi="Arial" w:cs="Arial"/>
                <w:color w:val="ED7D31" w:themeColor="accent2"/>
                <w:shd w:val="clear" w:color="auto" w:fill="FFFFFF"/>
              </w:rPr>
            </w:pPr>
            <w:hyperlink r:id="rId14" w:tgtFrame="_blank" w:history="1">
              <w:r w:rsidR="004A37C2" w:rsidRPr="007A148A">
                <w:rPr>
                  <w:rStyle w:val="Hyperlink"/>
                  <w:rFonts w:ascii="Helvetica" w:hAnsi="Helvetica" w:cs="Times New Roman"/>
                  <w:color w:val="ED7D31" w:themeColor="accent2"/>
                </w:rPr>
                <w:t>Secondary Activity Pack</w:t>
              </w:r>
            </w:hyperlink>
            <w:r w:rsidR="004A37C2" w:rsidRPr="007A148A">
              <w:rPr>
                <w:rFonts w:ascii="Helvetica" w:hAnsi="Helvetica" w:cs="Times New Roman"/>
                <w:color w:val="ED7D31" w:themeColor="accent2"/>
              </w:rPr>
              <w:br/>
            </w:r>
            <w:hyperlink r:id="rId15" w:tgtFrame="_blank" w:history="1">
              <w:r w:rsidR="004A37C2" w:rsidRPr="007A148A">
                <w:rPr>
                  <w:rStyle w:val="Hyperlink"/>
                  <w:rFonts w:ascii="Helvetica" w:hAnsi="Helvetica" w:cs="Times New Roman"/>
                  <w:color w:val="ED7D31" w:themeColor="accent2"/>
                </w:rPr>
                <w:t>15 Minute Lesson </w:t>
              </w:r>
            </w:hyperlink>
            <w:r w:rsidR="004A37C2" w:rsidRPr="007A148A">
              <w:rPr>
                <w:rFonts w:ascii="Helvetica" w:hAnsi="Helvetica" w:cs="Times New Roman"/>
                <w:color w:val="ED7D31" w:themeColor="accent2"/>
              </w:rPr>
              <w:br/>
            </w:r>
            <w:hyperlink r:id="rId16" w:tgtFrame="_blank" w:history="1">
              <w:r w:rsidR="004A37C2" w:rsidRPr="007A148A">
                <w:rPr>
                  <w:rStyle w:val="Hyperlink"/>
                  <w:rFonts w:ascii="Helvetica" w:hAnsi="Helvetica" w:cs="Times New Roman"/>
                  <w:color w:val="ED7D31" w:themeColor="accent2"/>
                </w:rPr>
                <w:t>45 Minute Lesson </w:t>
              </w:r>
            </w:hyperlink>
            <w:r w:rsidR="004A37C2" w:rsidRPr="007A148A">
              <w:rPr>
                <w:rFonts w:ascii="Helvetica" w:hAnsi="Helvetica" w:cs="Times New Roman"/>
                <w:color w:val="ED7D31" w:themeColor="accent2"/>
              </w:rPr>
              <w:br/>
            </w:r>
            <w:hyperlink r:id="rId17" w:tgtFrame="_blank" w:history="1">
              <w:r w:rsidR="004A37C2" w:rsidRPr="007A148A">
                <w:rPr>
                  <w:rStyle w:val="Hyperlink"/>
                  <w:rFonts w:ascii="Helvetica" w:hAnsi="Helvetica" w:cs="Times New Roman"/>
                  <w:color w:val="ED7D31" w:themeColor="accent2"/>
                </w:rPr>
                <w:t>16+ Lesson</w:t>
              </w:r>
            </w:hyperlink>
            <w:r w:rsidR="004A37C2" w:rsidRPr="007A148A">
              <w:rPr>
                <w:rFonts w:ascii="Helvetica" w:hAnsi="Helvetica" w:cs="Times New Roman"/>
                <w:color w:val="ED7D31" w:themeColor="accent2"/>
              </w:rPr>
              <w:br/>
            </w:r>
            <w:hyperlink r:id="rId18" w:tgtFrame="_blank" w:history="1">
              <w:r w:rsidR="004A37C2" w:rsidRPr="007A148A">
                <w:rPr>
                  <w:rStyle w:val="Hyperlink"/>
                  <w:rFonts w:ascii="Helvetica" w:hAnsi="Helvetica" w:cs="Times New Roman"/>
                  <w:color w:val="ED7D31" w:themeColor="accent2"/>
                </w:rPr>
                <w:t>Secondary Curriculum Guide</w:t>
              </w:r>
            </w:hyperlink>
          </w:p>
          <w:p w14:paraId="30DF1497" w14:textId="77777777" w:rsidR="004A37C2" w:rsidRPr="007A148A" w:rsidRDefault="004A37C2" w:rsidP="004A37C2">
            <w:pPr>
              <w:rPr>
                <w:rFonts w:ascii="Arial" w:hAnsi="Arial" w:cs="Arial"/>
                <w:color w:val="ED7D31" w:themeColor="accent2"/>
                <w:sz w:val="24"/>
              </w:rPr>
            </w:pPr>
          </w:p>
        </w:tc>
      </w:tr>
      <w:tr w:rsidR="004A37C2" w:rsidRPr="004A37C2" w14:paraId="578FB035" w14:textId="77777777" w:rsidTr="001E4F26">
        <w:tc>
          <w:tcPr>
            <w:tcW w:w="4508" w:type="dxa"/>
            <w:shd w:val="clear" w:color="auto" w:fill="8EAADB" w:themeFill="accent1" w:themeFillTint="99"/>
          </w:tcPr>
          <w:p w14:paraId="3443102E" w14:textId="77777777" w:rsidR="004A37C2" w:rsidRPr="004A37C2" w:rsidRDefault="004A37C2" w:rsidP="004A37C2">
            <w:pPr>
              <w:pStyle w:val="ListParagraph"/>
              <w:numPr>
                <w:ilvl w:val="0"/>
                <w:numId w:val="2"/>
              </w:numPr>
              <w:rPr>
                <w:rFonts w:ascii="Arial" w:hAnsi="Arial" w:cs="Arial"/>
                <w:b/>
                <w:color w:val="FFFFFF" w:themeColor="background1"/>
                <w:sz w:val="24"/>
              </w:rPr>
            </w:pPr>
            <w:r w:rsidRPr="004A37C2">
              <w:rPr>
                <w:rFonts w:ascii="Arial" w:hAnsi="Arial" w:cs="Arial"/>
                <w:b/>
                <w:color w:val="FFFFFF" w:themeColor="background1"/>
                <w:sz w:val="24"/>
              </w:rPr>
              <w:t>Facing History and Ourselves</w:t>
            </w:r>
          </w:p>
        </w:tc>
        <w:tc>
          <w:tcPr>
            <w:tcW w:w="5268" w:type="dxa"/>
            <w:shd w:val="clear" w:color="auto" w:fill="8EAADB" w:themeFill="accent1" w:themeFillTint="99"/>
          </w:tcPr>
          <w:p w14:paraId="0BD077C6" w14:textId="77777777" w:rsidR="004A37C2" w:rsidRPr="004A37C2" w:rsidRDefault="004A37C2" w:rsidP="004A37C2">
            <w:pPr>
              <w:rPr>
                <w:rFonts w:ascii="Arial" w:hAnsi="Arial" w:cs="Arial"/>
                <w:b/>
                <w:color w:val="FFFFFF" w:themeColor="background1"/>
                <w:sz w:val="24"/>
              </w:rPr>
            </w:pPr>
          </w:p>
        </w:tc>
      </w:tr>
      <w:tr w:rsidR="004A37C2" w:rsidRPr="004A37C2" w14:paraId="09A05510" w14:textId="77777777" w:rsidTr="008A1431">
        <w:tc>
          <w:tcPr>
            <w:tcW w:w="9776" w:type="dxa"/>
            <w:gridSpan w:val="2"/>
          </w:tcPr>
          <w:p w14:paraId="3E67D3D2" w14:textId="77777777" w:rsidR="004A37C2" w:rsidRDefault="004A37C2" w:rsidP="004A37C2">
            <w:pPr>
              <w:rPr>
                <w:rFonts w:ascii="Arial" w:hAnsi="Arial" w:cs="Arial"/>
                <w:sz w:val="24"/>
                <w:shd w:val="clear" w:color="auto" w:fill="FFFFFF"/>
              </w:rPr>
            </w:pPr>
            <w:r w:rsidRPr="00F40646">
              <w:rPr>
                <w:rFonts w:ascii="Arial" w:hAnsi="Arial" w:cs="Arial"/>
                <w:sz w:val="24"/>
                <w:shd w:val="clear" w:color="auto" w:fill="FFFFFF"/>
              </w:rPr>
              <w:t xml:space="preserve">An organisation that develops resources which address racism, antisemitism, and prejudice at pivotal moments in history. It provides teachers with tools and strategies they need to help pupils become thoughtful responsible citizens.  </w:t>
            </w:r>
          </w:p>
          <w:p w14:paraId="3035EEB7" w14:textId="77777777" w:rsidR="004A37C2" w:rsidRDefault="004A37C2" w:rsidP="004A37C2">
            <w:pPr>
              <w:rPr>
                <w:rFonts w:ascii="Arial" w:hAnsi="Arial" w:cs="Arial"/>
                <w:sz w:val="24"/>
                <w:shd w:val="clear" w:color="auto" w:fill="FFFFFF"/>
              </w:rPr>
            </w:pPr>
          </w:p>
          <w:p w14:paraId="2013AAA4" w14:textId="77777777" w:rsidR="004A37C2" w:rsidRPr="00F40646" w:rsidRDefault="0019482A" w:rsidP="004A37C2">
            <w:pPr>
              <w:rPr>
                <w:rFonts w:ascii="Arial" w:hAnsi="Arial" w:cs="Arial"/>
                <w:sz w:val="24"/>
                <w:szCs w:val="24"/>
                <w:shd w:val="clear" w:color="auto" w:fill="FFFFFF"/>
              </w:rPr>
            </w:pPr>
            <w:hyperlink r:id="rId19" w:history="1">
              <w:r w:rsidR="004A37C2" w:rsidRPr="0000444C">
                <w:rPr>
                  <w:rStyle w:val="Hyperlink"/>
                  <w:rFonts w:ascii="Arial" w:hAnsi="Arial" w:cs="Arial"/>
                  <w:b/>
                  <w:sz w:val="24"/>
                  <w:shd w:val="clear" w:color="auto" w:fill="FFFFFF"/>
                </w:rPr>
                <w:t>Here</w:t>
              </w:r>
            </w:hyperlink>
            <w:r w:rsidR="004A37C2" w:rsidRPr="0000444C">
              <w:rPr>
                <w:rFonts w:ascii="Arial" w:hAnsi="Arial" w:cs="Arial"/>
                <w:b/>
                <w:sz w:val="24"/>
                <w:shd w:val="clear" w:color="auto" w:fill="FFFFFF"/>
              </w:rPr>
              <w:t xml:space="preserve"> </w:t>
            </w:r>
            <w:r w:rsidR="004A37C2" w:rsidRPr="00F40646">
              <w:rPr>
                <w:rFonts w:ascii="Arial" w:hAnsi="Arial" w:cs="Arial"/>
                <w:sz w:val="24"/>
                <w:shd w:val="clear" w:color="auto" w:fill="FFFFFF"/>
              </w:rPr>
              <w:t>is a thoughtful pedagogic approach reflecting on George Floyd’s death</w:t>
            </w:r>
            <w:r w:rsidR="004A37C2" w:rsidRPr="00F40646">
              <w:rPr>
                <w:rFonts w:ascii="Arial" w:hAnsi="Arial" w:cs="Arial"/>
                <w:sz w:val="24"/>
                <w:szCs w:val="24"/>
                <w:shd w:val="clear" w:color="auto" w:fill="FFFFFF"/>
              </w:rPr>
              <w:t xml:space="preserve">. </w:t>
            </w:r>
          </w:p>
          <w:p w14:paraId="2D8605FC" w14:textId="77777777" w:rsidR="004A37C2" w:rsidRPr="004A37C2" w:rsidRDefault="004A37C2" w:rsidP="004A37C2">
            <w:pPr>
              <w:rPr>
                <w:rFonts w:ascii="Arial" w:hAnsi="Arial" w:cs="Arial"/>
                <w:sz w:val="24"/>
              </w:rPr>
            </w:pPr>
          </w:p>
        </w:tc>
      </w:tr>
      <w:tr w:rsidR="004A37C2" w:rsidRPr="004A37C2" w14:paraId="082F8090" w14:textId="77777777" w:rsidTr="001E4F26">
        <w:tc>
          <w:tcPr>
            <w:tcW w:w="9776" w:type="dxa"/>
            <w:gridSpan w:val="2"/>
            <w:shd w:val="clear" w:color="auto" w:fill="8EAADB" w:themeFill="accent1" w:themeFillTint="99"/>
          </w:tcPr>
          <w:p w14:paraId="66EC0959" w14:textId="77777777" w:rsidR="004A37C2" w:rsidRPr="004A37C2" w:rsidRDefault="004A37C2" w:rsidP="004A37C2">
            <w:pPr>
              <w:pStyle w:val="ListParagraph"/>
              <w:numPr>
                <w:ilvl w:val="0"/>
                <w:numId w:val="2"/>
              </w:numPr>
              <w:rPr>
                <w:rFonts w:ascii="Arial" w:hAnsi="Arial" w:cs="Arial"/>
                <w:b/>
                <w:color w:val="FFFFFF" w:themeColor="background1"/>
                <w:sz w:val="24"/>
              </w:rPr>
            </w:pPr>
            <w:r w:rsidRPr="004A37C2">
              <w:rPr>
                <w:rFonts w:ascii="Arial" w:hAnsi="Arial" w:cs="Arial"/>
                <w:b/>
                <w:color w:val="FFFFFF" w:themeColor="background1"/>
                <w:sz w:val="24"/>
              </w:rPr>
              <w:t>TES</w:t>
            </w:r>
          </w:p>
        </w:tc>
      </w:tr>
      <w:tr w:rsidR="004A37C2" w:rsidRPr="004A37C2" w14:paraId="2B388448" w14:textId="77777777" w:rsidTr="00823B1C">
        <w:tc>
          <w:tcPr>
            <w:tcW w:w="9776" w:type="dxa"/>
            <w:gridSpan w:val="2"/>
          </w:tcPr>
          <w:p w14:paraId="0E3BE7CE" w14:textId="1E5A28AF" w:rsidR="004A37C2" w:rsidRPr="00F966C3" w:rsidRDefault="000D46D6" w:rsidP="00F966C3">
            <w:pPr>
              <w:shd w:val="clear" w:color="auto" w:fill="FFFFFF"/>
              <w:spacing w:after="150"/>
              <w:rPr>
                <w:rFonts w:ascii="Arial" w:eastAsia="Times New Roman" w:hAnsi="Arial" w:cs="Arial"/>
                <w:color w:val="222222"/>
                <w:sz w:val="24"/>
                <w:szCs w:val="24"/>
                <w:lang w:eastAsia="en-GB"/>
              </w:rPr>
            </w:pPr>
            <w:r w:rsidRPr="00365FE0">
              <w:rPr>
                <w:rFonts w:ascii="Arial" w:eastAsia="Times New Roman" w:hAnsi="Arial" w:cs="Arial"/>
                <w:color w:val="222222"/>
                <w:sz w:val="24"/>
                <w:szCs w:val="24"/>
                <w:lang w:eastAsia="en-GB"/>
              </w:rPr>
              <w:t xml:space="preserve">TES have produced some </w:t>
            </w:r>
            <w:hyperlink r:id="rId20" w:history="1">
              <w:r w:rsidR="0026672E" w:rsidRPr="00F966C3">
                <w:rPr>
                  <w:rStyle w:val="Hyperlink"/>
                  <w:rFonts w:ascii="Arial" w:eastAsia="Times New Roman" w:hAnsi="Arial" w:cs="Arial"/>
                  <w:b/>
                  <w:sz w:val="24"/>
                  <w:szCs w:val="24"/>
                  <w:lang w:eastAsia="en-GB"/>
                </w:rPr>
                <w:t>resources</w:t>
              </w:r>
            </w:hyperlink>
            <w:r w:rsidRPr="00365FE0">
              <w:rPr>
                <w:rFonts w:ascii="Arial" w:eastAsia="Times New Roman" w:hAnsi="Arial" w:cs="Arial"/>
                <w:color w:val="222222"/>
                <w:sz w:val="24"/>
                <w:szCs w:val="24"/>
                <w:lang w:eastAsia="en-GB"/>
              </w:rPr>
              <w:t xml:space="preserve"> that can be used for a PSHE </w:t>
            </w:r>
            <w:r w:rsidR="00AA4C52" w:rsidRPr="00365FE0">
              <w:rPr>
                <w:rFonts w:ascii="Arial" w:eastAsia="Times New Roman" w:hAnsi="Arial" w:cs="Arial"/>
                <w:color w:val="222222"/>
                <w:sz w:val="24"/>
                <w:szCs w:val="24"/>
                <w:lang w:eastAsia="en-GB"/>
              </w:rPr>
              <w:t>or similar lesson</w:t>
            </w:r>
            <w:r w:rsidR="007E7D34" w:rsidRPr="00365FE0">
              <w:rPr>
                <w:rFonts w:ascii="Arial" w:eastAsia="Times New Roman" w:hAnsi="Arial" w:cs="Arial"/>
                <w:color w:val="222222"/>
                <w:sz w:val="24"/>
                <w:szCs w:val="24"/>
                <w:lang w:eastAsia="en-GB"/>
              </w:rPr>
              <w:t>.</w:t>
            </w:r>
            <w:r w:rsidR="00AA4C52" w:rsidRPr="00365FE0">
              <w:rPr>
                <w:rFonts w:ascii="Arial" w:eastAsia="Times New Roman" w:hAnsi="Arial" w:cs="Arial"/>
                <w:color w:val="222222"/>
                <w:sz w:val="24"/>
                <w:szCs w:val="24"/>
                <w:lang w:eastAsia="en-GB"/>
              </w:rPr>
              <w:t xml:space="preserve">  It looks like they will build some more into this yet, so might be worth </w:t>
            </w:r>
            <w:r w:rsidR="007E7D34" w:rsidRPr="00365FE0">
              <w:rPr>
                <w:rFonts w:ascii="Arial" w:eastAsia="Times New Roman" w:hAnsi="Arial" w:cs="Arial"/>
                <w:color w:val="222222"/>
                <w:sz w:val="24"/>
                <w:szCs w:val="24"/>
                <w:lang w:eastAsia="en-GB"/>
              </w:rPr>
              <w:t xml:space="preserve">keeping an eye on what </w:t>
            </w:r>
            <w:r w:rsidR="00934A28" w:rsidRPr="00365FE0">
              <w:rPr>
                <w:rFonts w:ascii="Arial" w:eastAsia="Times New Roman" w:hAnsi="Arial" w:cs="Arial"/>
                <w:color w:val="222222"/>
                <w:sz w:val="24"/>
                <w:szCs w:val="24"/>
                <w:lang w:eastAsia="en-GB"/>
              </w:rPr>
              <w:t>they may develop</w:t>
            </w:r>
            <w:r w:rsidR="00365FE0" w:rsidRPr="00365FE0">
              <w:rPr>
                <w:rFonts w:ascii="Arial" w:eastAsia="Times New Roman" w:hAnsi="Arial" w:cs="Arial"/>
                <w:color w:val="222222"/>
                <w:sz w:val="24"/>
                <w:szCs w:val="24"/>
                <w:lang w:eastAsia="en-GB"/>
              </w:rPr>
              <w:t>.</w:t>
            </w:r>
          </w:p>
        </w:tc>
      </w:tr>
      <w:tr w:rsidR="004A37C2" w:rsidRPr="004A37C2" w14:paraId="0BD75106" w14:textId="77777777" w:rsidTr="004A37C2">
        <w:tc>
          <w:tcPr>
            <w:tcW w:w="4508" w:type="dxa"/>
          </w:tcPr>
          <w:p w14:paraId="32378BB5" w14:textId="77777777" w:rsidR="004A37C2" w:rsidRPr="004A37C2" w:rsidRDefault="004A37C2" w:rsidP="004A37C2">
            <w:pPr>
              <w:rPr>
                <w:rFonts w:ascii="Arial" w:hAnsi="Arial" w:cs="Arial"/>
                <w:sz w:val="24"/>
              </w:rPr>
            </w:pPr>
          </w:p>
        </w:tc>
        <w:tc>
          <w:tcPr>
            <w:tcW w:w="5268" w:type="dxa"/>
          </w:tcPr>
          <w:p w14:paraId="17F77885" w14:textId="77777777" w:rsidR="004A37C2" w:rsidRPr="004A37C2" w:rsidRDefault="004A37C2" w:rsidP="004A37C2">
            <w:pPr>
              <w:rPr>
                <w:rFonts w:ascii="Arial" w:hAnsi="Arial" w:cs="Arial"/>
                <w:sz w:val="24"/>
              </w:rPr>
            </w:pPr>
          </w:p>
        </w:tc>
      </w:tr>
      <w:tr w:rsidR="004A37C2" w:rsidRPr="004A37C2" w14:paraId="2635065E" w14:textId="77777777" w:rsidTr="001E4F26">
        <w:tc>
          <w:tcPr>
            <w:tcW w:w="9776" w:type="dxa"/>
            <w:gridSpan w:val="2"/>
            <w:shd w:val="clear" w:color="auto" w:fill="8EAADB" w:themeFill="accent1" w:themeFillTint="99"/>
          </w:tcPr>
          <w:p w14:paraId="5E4C0A53" w14:textId="77777777" w:rsidR="004A37C2" w:rsidRPr="004A37C2" w:rsidRDefault="004A37C2" w:rsidP="004A37C2">
            <w:pPr>
              <w:pStyle w:val="ListParagraph"/>
              <w:numPr>
                <w:ilvl w:val="0"/>
                <w:numId w:val="2"/>
              </w:numPr>
              <w:rPr>
                <w:rFonts w:ascii="Arial" w:hAnsi="Arial" w:cs="Arial"/>
                <w:b/>
                <w:color w:val="FFFFFF" w:themeColor="background1"/>
                <w:sz w:val="24"/>
              </w:rPr>
            </w:pPr>
            <w:r w:rsidRPr="004A37C2">
              <w:rPr>
                <w:rFonts w:ascii="Arial" w:hAnsi="Arial" w:cs="Arial"/>
                <w:b/>
                <w:color w:val="FFFFFF" w:themeColor="background1"/>
                <w:sz w:val="24"/>
              </w:rPr>
              <w:t>The Association of Citizenship Teachers (ACT)</w:t>
            </w:r>
          </w:p>
        </w:tc>
      </w:tr>
      <w:tr w:rsidR="00F67D34" w:rsidRPr="004A37C2" w14:paraId="08644CF5" w14:textId="77777777" w:rsidTr="00E71376">
        <w:tc>
          <w:tcPr>
            <w:tcW w:w="9776" w:type="dxa"/>
            <w:gridSpan w:val="2"/>
          </w:tcPr>
          <w:p w14:paraId="5B42136C" w14:textId="77777777" w:rsidR="007A148A" w:rsidRDefault="007A148A" w:rsidP="007A148A">
            <w:pPr>
              <w:pStyle w:val="NormalWeb"/>
              <w:spacing w:before="150" w:beforeAutospacing="0" w:after="150" w:afterAutospacing="0"/>
              <w:rPr>
                <w:rFonts w:ascii="Arial" w:hAnsi="Arial" w:cs="Arial"/>
                <w:szCs w:val="22"/>
              </w:rPr>
            </w:pPr>
            <w:r w:rsidRPr="007A148A">
              <w:rPr>
                <w:rFonts w:ascii="Arial" w:hAnsi="Arial" w:cs="Arial"/>
                <w:szCs w:val="22"/>
              </w:rPr>
              <w:t xml:space="preserve">Some young people attracted by extremist narratives, start with a dissatisfaction of an aspect of the current state of affairs and a desire to radically change the situation. By explicitly educating students about how change can be affected within democracies, peacefully and within the law, we build a more positive perspective for harnessing this initial dissatisfaction. Through developing students’ knowledge of democracy and the many ways citizens can express themselves and engage in trying to create change in society, the resource can also help to help build resilience to being drawn into extremism </w:t>
            </w:r>
            <w:r w:rsidRPr="007A148A">
              <w:rPr>
                <w:rFonts w:ascii="Arial" w:hAnsi="Arial" w:cs="Arial"/>
                <w:szCs w:val="22"/>
              </w:rPr>
              <w:lastRenderedPageBreak/>
              <w:t>or using violence.</w:t>
            </w:r>
          </w:p>
          <w:p w14:paraId="10EFF6D2" w14:textId="77777777" w:rsidR="007A148A" w:rsidRDefault="007A148A" w:rsidP="004A37C2">
            <w:pPr>
              <w:rPr>
                <w:rFonts w:ascii="Arial" w:hAnsi="Arial" w:cs="Arial"/>
                <w:sz w:val="24"/>
              </w:rPr>
            </w:pPr>
            <w:r w:rsidRPr="007A148A">
              <w:rPr>
                <w:rFonts w:ascii="Arial" w:hAnsi="Arial" w:cs="Arial"/>
                <w:sz w:val="24"/>
              </w:rPr>
              <w:t xml:space="preserve">The resources in this </w:t>
            </w:r>
            <w:hyperlink r:id="rId21" w:history="1">
              <w:r w:rsidRPr="007A148A">
                <w:rPr>
                  <w:rStyle w:val="Hyperlink"/>
                  <w:rFonts w:ascii="Arial" w:hAnsi="Arial" w:cs="Arial"/>
                  <w:b/>
                  <w:sz w:val="24"/>
                </w:rPr>
                <w:t>Deliberative Classroom pack</w:t>
              </w:r>
            </w:hyperlink>
            <w:r w:rsidRPr="007A148A">
              <w:rPr>
                <w:rFonts w:ascii="Arial" w:hAnsi="Arial" w:cs="Arial"/>
                <w:sz w:val="24"/>
              </w:rPr>
              <w:t xml:space="preserve"> focus on the topic of Democracy, Protest and Change. The pack begins with a briefing paper to help teachers think about the depth of conceptual knowledge students need as they learn about democracy and its key characteristics and the different ways citizens can influence change. </w:t>
            </w:r>
          </w:p>
          <w:p w14:paraId="60DC8EEF" w14:textId="77777777" w:rsidR="007A148A" w:rsidRPr="007A148A" w:rsidRDefault="007A148A" w:rsidP="004A37C2">
            <w:pPr>
              <w:rPr>
                <w:rFonts w:ascii="Arial" w:hAnsi="Arial" w:cs="Arial"/>
                <w:sz w:val="24"/>
              </w:rPr>
            </w:pPr>
          </w:p>
        </w:tc>
      </w:tr>
      <w:tr w:rsidR="007A148A" w:rsidRPr="007A148A" w14:paraId="263AAA6C" w14:textId="77777777" w:rsidTr="001E4F26">
        <w:tc>
          <w:tcPr>
            <w:tcW w:w="9776" w:type="dxa"/>
            <w:gridSpan w:val="2"/>
            <w:shd w:val="clear" w:color="auto" w:fill="8EAADB" w:themeFill="accent1" w:themeFillTint="99"/>
          </w:tcPr>
          <w:p w14:paraId="0AE8F639" w14:textId="77777777" w:rsidR="007A148A" w:rsidRPr="007A148A" w:rsidRDefault="007A148A" w:rsidP="007A148A">
            <w:pPr>
              <w:pStyle w:val="ListParagraph"/>
              <w:numPr>
                <w:ilvl w:val="0"/>
                <w:numId w:val="2"/>
              </w:numPr>
              <w:rPr>
                <w:rFonts w:ascii="Arial" w:hAnsi="Arial" w:cs="Arial"/>
                <w:b/>
                <w:color w:val="FFFFFF" w:themeColor="background1"/>
                <w:sz w:val="24"/>
              </w:rPr>
            </w:pPr>
            <w:r w:rsidRPr="007A148A">
              <w:rPr>
                <w:rFonts w:ascii="Arial" w:hAnsi="Arial" w:cs="Arial"/>
                <w:b/>
                <w:color w:val="FFFFFF" w:themeColor="background1"/>
                <w:sz w:val="24"/>
              </w:rPr>
              <w:lastRenderedPageBreak/>
              <w:t>Spotting false news</w:t>
            </w:r>
          </w:p>
        </w:tc>
      </w:tr>
      <w:tr w:rsidR="007A148A" w:rsidRPr="004A37C2" w14:paraId="40B7870B" w14:textId="77777777" w:rsidTr="00535259">
        <w:tc>
          <w:tcPr>
            <w:tcW w:w="9776" w:type="dxa"/>
            <w:gridSpan w:val="2"/>
          </w:tcPr>
          <w:p w14:paraId="33A8B02D" w14:textId="678B3FDD" w:rsidR="007A148A" w:rsidRPr="007A148A" w:rsidRDefault="007A148A" w:rsidP="007A148A">
            <w:pPr>
              <w:rPr>
                <w:rFonts w:ascii="Arial" w:hAnsi="Arial" w:cs="Arial"/>
                <w:sz w:val="24"/>
                <w:szCs w:val="24"/>
              </w:rPr>
            </w:pPr>
            <w:r w:rsidRPr="007A148A">
              <w:rPr>
                <w:rFonts w:ascii="Arial" w:hAnsi="Arial" w:cs="Arial"/>
                <w:sz w:val="24"/>
                <w:szCs w:val="24"/>
              </w:rPr>
              <w:t xml:space="preserve">At difficult times like these our pupils should be reminded of the importance of the media and the issues around fake news.  </w:t>
            </w:r>
            <w:r w:rsidR="00154FC3">
              <w:rPr>
                <w:rFonts w:ascii="Arial" w:hAnsi="Arial" w:cs="Arial"/>
                <w:sz w:val="24"/>
                <w:szCs w:val="24"/>
              </w:rPr>
              <w:t xml:space="preserve">The BBC’s </w:t>
            </w:r>
            <w:r w:rsidR="00F2222A">
              <w:rPr>
                <w:rFonts w:ascii="Arial" w:hAnsi="Arial" w:cs="Arial"/>
                <w:sz w:val="24"/>
                <w:szCs w:val="24"/>
              </w:rPr>
              <w:t xml:space="preserve">Teach </w:t>
            </w:r>
            <w:r w:rsidR="00154FC3">
              <w:rPr>
                <w:rFonts w:ascii="Arial" w:hAnsi="Arial" w:cs="Arial"/>
                <w:sz w:val="24"/>
                <w:szCs w:val="24"/>
              </w:rPr>
              <w:t>site is a good reference point to</w:t>
            </w:r>
            <w:r w:rsidRPr="007A148A">
              <w:rPr>
                <w:rFonts w:ascii="Arial" w:hAnsi="Arial" w:cs="Arial"/>
                <w:color w:val="000000"/>
                <w:sz w:val="24"/>
                <w:szCs w:val="24"/>
                <w:shd w:val="clear" w:color="auto" w:fill="FFFFFF"/>
              </w:rPr>
              <w:t xml:space="preserve"> </w:t>
            </w:r>
            <w:r w:rsidR="00154FC3">
              <w:rPr>
                <w:rFonts w:ascii="Arial" w:hAnsi="Arial" w:cs="Arial"/>
                <w:color w:val="000000"/>
                <w:sz w:val="24"/>
                <w:szCs w:val="24"/>
                <w:shd w:val="clear" w:color="auto" w:fill="FFFFFF"/>
              </w:rPr>
              <w:t>support</w:t>
            </w:r>
            <w:r w:rsidRPr="007A148A">
              <w:rPr>
                <w:rFonts w:ascii="Arial" w:hAnsi="Arial" w:cs="Arial"/>
                <w:color w:val="000000"/>
                <w:sz w:val="24"/>
                <w:szCs w:val="24"/>
                <w:shd w:val="clear" w:color="auto" w:fill="FFFFFF"/>
              </w:rPr>
              <w:t xml:space="preserve"> your pupils </w:t>
            </w:r>
            <w:r w:rsidR="00154FC3">
              <w:rPr>
                <w:rFonts w:ascii="Arial" w:hAnsi="Arial" w:cs="Arial"/>
                <w:color w:val="000000"/>
                <w:sz w:val="24"/>
                <w:szCs w:val="24"/>
                <w:shd w:val="clear" w:color="auto" w:fill="FFFFFF"/>
              </w:rPr>
              <w:t xml:space="preserve">to </w:t>
            </w:r>
            <w:r w:rsidRPr="007A148A">
              <w:rPr>
                <w:rFonts w:ascii="Arial" w:hAnsi="Arial" w:cs="Arial"/>
                <w:color w:val="000000"/>
                <w:sz w:val="24"/>
                <w:szCs w:val="24"/>
                <w:shd w:val="clear" w:color="auto" w:fill="FFFFFF"/>
              </w:rPr>
              <w:t xml:space="preserve">spot fake news and false information. </w:t>
            </w:r>
            <w:hyperlink r:id="rId22" w:history="1">
              <w:r w:rsidRPr="00154FC3">
                <w:rPr>
                  <w:rStyle w:val="Hyperlink"/>
                  <w:rFonts w:ascii="Arial" w:hAnsi="Arial" w:cs="Arial"/>
                  <w:b/>
                  <w:sz w:val="24"/>
                  <w:szCs w:val="24"/>
                  <w:shd w:val="clear" w:color="auto" w:fill="FFFFFF"/>
                </w:rPr>
                <w:t>This</w:t>
              </w:r>
            </w:hyperlink>
            <w:r w:rsidRPr="007A148A">
              <w:rPr>
                <w:rFonts w:ascii="Arial" w:hAnsi="Arial" w:cs="Arial"/>
                <w:color w:val="000000"/>
                <w:sz w:val="24"/>
                <w:szCs w:val="24"/>
                <w:shd w:val="clear" w:color="auto" w:fill="FFFFFF"/>
              </w:rPr>
              <w:t xml:space="preserve"> content explores the social, political and economic impact of news reporting, and the skills needed to analyse and critically evaluate information across a range of media</w:t>
            </w:r>
            <w:r w:rsidR="00154FC3">
              <w:rPr>
                <w:rFonts w:ascii="Arial" w:hAnsi="Arial" w:cs="Arial"/>
                <w:color w:val="000000"/>
                <w:sz w:val="24"/>
                <w:szCs w:val="24"/>
                <w:shd w:val="clear" w:color="auto" w:fill="FFFFFF"/>
              </w:rPr>
              <w:t>.</w:t>
            </w:r>
          </w:p>
          <w:p w14:paraId="697B7800" w14:textId="77777777" w:rsidR="007A148A" w:rsidRPr="004A37C2" w:rsidRDefault="007A148A" w:rsidP="004A37C2">
            <w:pPr>
              <w:rPr>
                <w:rFonts w:ascii="Arial" w:hAnsi="Arial" w:cs="Arial"/>
                <w:sz w:val="24"/>
              </w:rPr>
            </w:pPr>
          </w:p>
        </w:tc>
      </w:tr>
    </w:tbl>
    <w:p w14:paraId="5BC4922D" w14:textId="77777777" w:rsidR="004A37C2" w:rsidRDefault="004A37C2"/>
    <w:p w14:paraId="1F28B8BE" w14:textId="6BA8C1BA" w:rsidR="00154FC3" w:rsidRDefault="00154FC3">
      <w:pPr>
        <w:rPr>
          <w:rFonts w:ascii="Arial" w:hAnsi="Arial" w:cs="Arial"/>
          <w:sz w:val="24"/>
        </w:rPr>
      </w:pPr>
      <w:r>
        <w:rPr>
          <w:rFonts w:ascii="Arial" w:hAnsi="Arial" w:cs="Arial"/>
          <w:sz w:val="24"/>
        </w:rPr>
        <w:t>If you require any further support or advice, please do not hesita</w:t>
      </w:r>
      <w:r w:rsidR="001E4F26">
        <w:rPr>
          <w:rFonts w:ascii="Arial" w:hAnsi="Arial" w:cs="Arial"/>
          <w:sz w:val="24"/>
        </w:rPr>
        <w:t xml:space="preserve">te to contact the BIRMINGHAM PREVENT Education Team at </w:t>
      </w:r>
      <w:hyperlink r:id="rId23" w:history="1">
        <w:r w:rsidR="001E4F26" w:rsidRPr="004D135E">
          <w:rPr>
            <w:rStyle w:val="Hyperlink"/>
            <w:rFonts w:ascii="Arial" w:hAnsi="Arial" w:cs="Arial"/>
            <w:sz w:val="24"/>
          </w:rPr>
          <w:t>ssi@birmingham.gov.uk</w:t>
        </w:r>
      </w:hyperlink>
    </w:p>
    <w:p w14:paraId="4AD68A93" w14:textId="77777777" w:rsidR="001E4F26" w:rsidRDefault="001E4F26">
      <w:pPr>
        <w:rPr>
          <w:rFonts w:ascii="Arial" w:hAnsi="Arial" w:cs="Arial"/>
          <w:sz w:val="24"/>
        </w:rPr>
      </w:pPr>
    </w:p>
    <w:p w14:paraId="7844162E" w14:textId="77777777" w:rsidR="00154FC3" w:rsidRPr="00154FC3" w:rsidRDefault="00154FC3">
      <w:pPr>
        <w:rPr>
          <w:rFonts w:ascii="Arial" w:hAnsi="Arial" w:cs="Arial"/>
          <w:sz w:val="24"/>
        </w:rPr>
      </w:pPr>
    </w:p>
    <w:sectPr w:rsidR="00154FC3" w:rsidRPr="00154FC3" w:rsidSect="004A37C2">
      <w:headerReference w:type="default" r:id="rId24"/>
      <w:pgSz w:w="11906" w:h="16838"/>
      <w:pgMar w:top="1276" w:right="1274" w:bottom="1440" w:left="993"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5B1CF" w14:textId="77777777" w:rsidR="002665D8" w:rsidRDefault="002665D8" w:rsidP="004A37C2">
      <w:pPr>
        <w:spacing w:after="0" w:line="240" w:lineRule="auto"/>
      </w:pPr>
      <w:r>
        <w:separator/>
      </w:r>
    </w:p>
  </w:endnote>
  <w:endnote w:type="continuationSeparator" w:id="0">
    <w:p w14:paraId="2DA08432" w14:textId="77777777" w:rsidR="002665D8" w:rsidRDefault="002665D8" w:rsidP="004A3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7E1A0" w14:textId="77777777" w:rsidR="002665D8" w:rsidRDefault="002665D8" w:rsidP="004A37C2">
      <w:pPr>
        <w:spacing w:after="0" w:line="240" w:lineRule="auto"/>
      </w:pPr>
      <w:r>
        <w:separator/>
      </w:r>
    </w:p>
  </w:footnote>
  <w:footnote w:type="continuationSeparator" w:id="0">
    <w:p w14:paraId="1D5EA0CE" w14:textId="77777777" w:rsidR="002665D8" w:rsidRDefault="002665D8" w:rsidP="004A3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C8960" w14:textId="60C91EBA" w:rsidR="004A37C2" w:rsidRDefault="001E4F26" w:rsidP="004A37C2">
    <w:pPr>
      <w:pStyle w:val="Header"/>
      <w:jc w:val="right"/>
    </w:pPr>
    <w:r>
      <w:rPr>
        <w:noProof/>
        <w:lang w:eastAsia="en-GB"/>
      </w:rPr>
      <mc:AlternateContent>
        <mc:Choice Requires="wps">
          <w:drawing>
            <wp:anchor distT="0" distB="0" distL="114300" distR="114300" simplePos="0" relativeHeight="251659264" behindDoc="0" locked="0" layoutInCell="1" allowOverlap="1" wp14:anchorId="1EACB4FE" wp14:editId="7C85C90C">
              <wp:simplePos x="0" y="0"/>
              <wp:positionH relativeFrom="column">
                <wp:posOffset>-5715</wp:posOffset>
              </wp:positionH>
              <wp:positionV relativeFrom="paragraph">
                <wp:posOffset>-10160</wp:posOffset>
              </wp:positionV>
              <wp:extent cx="1668780" cy="312420"/>
              <wp:effectExtent l="0" t="0" r="26670" b="11430"/>
              <wp:wrapNone/>
              <wp:docPr id="2" name="Text Box 2"/>
              <wp:cNvGraphicFramePr/>
              <a:graphic xmlns:a="http://schemas.openxmlformats.org/drawingml/2006/main">
                <a:graphicData uri="http://schemas.microsoft.com/office/word/2010/wordprocessingShape">
                  <wps:wsp>
                    <wps:cNvSpPr txBox="1"/>
                    <wps:spPr>
                      <a:xfrm>
                        <a:off x="0" y="0"/>
                        <a:ext cx="1668780" cy="312420"/>
                      </a:xfrm>
                      <a:prstGeom prst="rect">
                        <a:avLst/>
                      </a:prstGeom>
                      <a:ln/>
                    </wps:spPr>
                    <wps:style>
                      <a:lnRef idx="2">
                        <a:schemeClr val="dk1"/>
                      </a:lnRef>
                      <a:fillRef idx="1">
                        <a:schemeClr val="lt1"/>
                      </a:fillRef>
                      <a:effectRef idx="0">
                        <a:schemeClr val="dk1"/>
                      </a:effectRef>
                      <a:fontRef idx="minor">
                        <a:schemeClr val="dk1"/>
                      </a:fontRef>
                    </wps:style>
                    <wps:txbx>
                      <w:txbxContent>
                        <w:p w14:paraId="0DF7FCB2" w14:textId="1A908640" w:rsidR="001E4F26" w:rsidRPr="001E4F26" w:rsidRDefault="001E4F26" w:rsidP="001E4F26">
                          <w:pPr>
                            <w:jc w:val="center"/>
                            <w:rPr>
                              <w:b/>
                            </w:rPr>
                          </w:pPr>
                          <w:r w:rsidRPr="001E4F26">
                            <w:rPr>
                              <w:b/>
                            </w:rPr>
                            <w:t>BIRMINGHAM PREVENT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EACB4FE" id="_x0000_t202" coordsize="21600,21600" o:spt="202" path="m,l,21600r21600,l21600,xe">
              <v:stroke joinstyle="miter"/>
              <v:path gradientshapeok="t" o:connecttype="rect"/>
            </v:shapetype>
            <v:shape id="Text Box 2" o:spid="_x0000_s1026" type="#_x0000_t202" style="position:absolute;left:0;text-align:left;margin-left:-.45pt;margin-top:-.8pt;width:131.4pt;height:24.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" fillcolor="white [3201]" strokecolor="black [3200]" strokeweight="1pt">
              <v:textbox>
                <w:txbxContent>
                  <w:p w14:paraId="0DF7FCB2" w14:textId="1A908640" w:rsidR="001E4F26" w:rsidRPr="001E4F26" w:rsidRDefault="001E4F26" w:rsidP="001E4F26">
                    <w:pPr>
                      <w:jc w:val="center"/>
                      <w:rPr>
                        <w:b/>
                      </w:rPr>
                    </w:pPr>
                    <w:r w:rsidRPr="001E4F26">
                      <w:rPr>
                        <w:b/>
                      </w:rPr>
                      <w:t>BIRMINGHAM PREVENT</w:t>
                    </w:r>
                  </w:p>
                </w:txbxContent>
              </v:textbox>
            </v:shape>
          </w:pict>
        </mc:Fallback>
      </mc:AlternateContent>
    </w:r>
    <w:r>
      <w:rPr>
        <w:noProof/>
        <w:lang w:eastAsia="en-GB"/>
      </w:rPr>
      <w:drawing>
        <wp:anchor distT="0" distB="0" distL="114300" distR="114300" simplePos="0" relativeHeight="251658240" behindDoc="1" locked="0" layoutInCell="1" allowOverlap="1" wp14:anchorId="6189179D" wp14:editId="59D8A4B0">
          <wp:simplePos x="0" y="0"/>
          <wp:positionH relativeFrom="column">
            <wp:posOffset>4825365</wp:posOffset>
          </wp:positionH>
          <wp:positionV relativeFrom="paragraph">
            <wp:posOffset>-231140</wp:posOffset>
          </wp:positionV>
          <wp:extent cx="1852295" cy="613410"/>
          <wp:effectExtent l="0" t="0" r="0" b="0"/>
          <wp:wrapTight wrapText="bothSides">
            <wp:wrapPolygon edited="0">
              <wp:start x="0" y="0"/>
              <wp:lineTo x="0" y="20795"/>
              <wp:lineTo x="21326" y="20795"/>
              <wp:lineTo x="21326" y="0"/>
              <wp:lineTo x="0" y="0"/>
            </wp:wrapPolygon>
          </wp:wrapTight>
          <wp:docPr id="1" name="Picture 1" descr="Birmingham City Council Jobs | Jobsgopublic - Public S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rmingham City Council Jobs | Jobsgopublic - Public Sector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295" cy="613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F54F4"/>
    <w:multiLevelType w:val="hybridMultilevel"/>
    <w:tmpl w:val="153AAE6A"/>
    <w:lvl w:ilvl="0" w:tplc="0F78EF6E">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2F64FCB"/>
    <w:multiLevelType w:val="hybridMultilevel"/>
    <w:tmpl w:val="9B20AA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D442519"/>
    <w:multiLevelType w:val="hybridMultilevel"/>
    <w:tmpl w:val="826CCC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7C2"/>
    <w:rsid w:val="000D46D6"/>
    <w:rsid w:val="000E5B6C"/>
    <w:rsid w:val="00154FC3"/>
    <w:rsid w:val="0019482A"/>
    <w:rsid w:val="001E4F26"/>
    <w:rsid w:val="002665D8"/>
    <w:rsid w:val="0026672E"/>
    <w:rsid w:val="00365FE0"/>
    <w:rsid w:val="004A37C2"/>
    <w:rsid w:val="00770381"/>
    <w:rsid w:val="007A148A"/>
    <w:rsid w:val="007E7D34"/>
    <w:rsid w:val="007F69B6"/>
    <w:rsid w:val="008C57CB"/>
    <w:rsid w:val="00934A28"/>
    <w:rsid w:val="00AA4C52"/>
    <w:rsid w:val="00F2222A"/>
    <w:rsid w:val="00F67D34"/>
    <w:rsid w:val="00F96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A2E32D"/>
  <w15:docId w15:val="{07D8A390-4C44-4397-93EA-1B62D1E10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3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3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7C2"/>
  </w:style>
  <w:style w:type="paragraph" w:styleId="Footer">
    <w:name w:val="footer"/>
    <w:basedOn w:val="Normal"/>
    <w:link w:val="FooterChar"/>
    <w:uiPriority w:val="99"/>
    <w:unhideWhenUsed/>
    <w:rsid w:val="004A3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7C2"/>
  </w:style>
  <w:style w:type="paragraph" w:styleId="BalloonText">
    <w:name w:val="Balloon Text"/>
    <w:basedOn w:val="Normal"/>
    <w:link w:val="BalloonTextChar"/>
    <w:uiPriority w:val="99"/>
    <w:semiHidden/>
    <w:unhideWhenUsed/>
    <w:rsid w:val="004A3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7C2"/>
    <w:rPr>
      <w:rFonts w:ascii="Segoe UI" w:hAnsi="Segoe UI" w:cs="Segoe UI"/>
      <w:sz w:val="18"/>
      <w:szCs w:val="18"/>
    </w:rPr>
  </w:style>
  <w:style w:type="paragraph" w:styleId="ListParagraph">
    <w:name w:val="List Paragraph"/>
    <w:basedOn w:val="Normal"/>
    <w:uiPriority w:val="34"/>
    <w:qFormat/>
    <w:rsid w:val="004A37C2"/>
    <w:pPr>
      <w:ind w:left="720"/>
      <w:contextualSpacing/>
    </w:pPr>
  </w:style>
  <w:style w:type="character" w:styleId="Hyperlink">
    <w:name w:val="Hyperlink"/>
    <w:basedOn w:val="DefaultParagraphFont"/>
    <w:uiPriority w:val="99"/>
    <w:unhideWhenUsed/>
    <w:rsid w:val="004A37C2"/>
    <w:rPr>
      <w:color w:val="0000FF"/>
      <w:u w:val="single"/>
    </w:rPr>
  </w:style>
  <w:style w:type="character" w:styleId="FollowedHyperlink">
    <w:name w:val="FollowedHyperlink"/>
    <w:basedOn w:val="DefaultParagraphFont"/>
    <w:uiPriority w:val="99"/>
    <w:semiHidden/>
    <w:unhideWhenUsed/>
    <w:rsid w:val="004A37C2"/>
    <w:rPr>
      <w:color w:val="954F72" w:themeColor="followedHyperlink"/>
      <w:u w:val="single"/>
    </w:rPr>
  </w:style>
  <w:style w:type="character" w:styleId="Emphasis">
    <w:name w:val="Emphasis"/>
    <w:basedOn w:val="DefaultParagraphFont"/>
    <w:uiPriority w:val="20"/>
    <w:qFormat/>
    <w:rsid w:val="00F67D34"/>
    <w:rPr>
      <w:i/>
      <w:iCs/>
    </w:rPr>
  </w:style>
  <w:style w:type="character" w:customStyle="1" w:styleId="UnresolvedMention1">
    <w:name w:val="Unresolved Mention1"/>
    <w:basedOn w:val="DefaultParagraphFont"/>
    <w:uiPriority w:val="99"/>
    <w:semiHidden/>
    <w:unhideWhenUsed/>
    <w:rsid w:val="007A148A"/>
    <w:rPr>
      <w:color w:val="605E5C"/>
      <w:shd w:val="clear" w:color="auto" w:fill="E1DFDD"/>
    </w:rPr>
  </w:style>
  <w:style w:type="paragraph" w:styleId="NormalWeb">
    <w:name w:val="Normal (Web)"/>
    <w:basedOn w:val="Normal"/>
    <w:uiPriority w:val="99"/>
    <w:unhideWhenUsed/>
    <w:rsid w:val="007A148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24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tect-eu.mimecast.com/s/HX3oCAnBQU1gKNgIMXzYX?domain=mcusercontent.com" TargetMode="External"/><Relationship Id="rId18" Type="http://schemas.openxmlformats.org/officeDocument/2006/relationships/hyperlink" Target="https://protect-eu.mimecast.com/s/4Lh3CMjREf6gyqgu3cD40?domain=mcusercontent.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teachingcitizenship.org.uk/resource/deliberative-classroom-democracy-protest-and-change" TargetMode="External"/><Relationship Id="rId7" Type="http://schemas.openxmlformats.org/officeDocument/2006/relationships/webSettings" Target="webSettings.xml"/><Relationship Id="rId12" Type="http://schemas.openxmlformats.org/officeDocument/2006/relationships/hyperlink" Target="https://protect-eu.mimecast.com/s/zSRnCzm1BIm3YM3uovSX3?domain=mcusercontent.com" TargetMode="External"/><Relationship Id="rId17" Type="http://schemas.openxmlformats.org/officeDocument/2006/relationships/hyperlink" Target="https://protect-eu.mimecast.com/s/0T8QCLgQYCYADRAhk-CEM?domain=mcusercontent.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rotect-eu.mimecast.com/s/l_nsCKOPYSrly2lHrFbSn?domain=mcusercontent.com" TargetMode="External"/><Relationship Id="rId20" Type="http://schemas.openxmlformats.org/officeDocument/2006/relationships/hyperlink" Target="https://www.tes.com/teaching-resource/george-floyd-discussion-lesson-1232327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tect-eu.mimecast.com/s/n4_CCy8Z6SygPrgIRkCtk?domain=mcusercontent.com"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protect-eu.mimecast.com/s/HMJ4CJZOYiQRWqRTnOMwG?domain=mcusercontent.com" TargetMode="External"/><Relationship Id="rId23" Type="http://schemas.openxmlformats.org/officeDocument/2006/relationships/hyperlink" Target="mailto:ssi@birmingham.gov.uk" TargetMode="External"/><Relationship Id="rId10" Type="http://schemas.openxmlformats.org/officeDocument/2006/relationships/hyperlink" Target="https://protect-eu.mimecast.com/s/FO_0CxGYViQy51yTYREjh?domain=mcusercontent.com" TargetMode="External"/><Relationship Id="rId19" Type="http://schemas.openxmlformats.org/officeDocument/2006/relationships/hyperlink" Target="https://www.facinghistory.org/educator-resources/current-events/reflecting-george-floyds-death-police-violence-towards-black-america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tect-eu.mimecast.com/s/jvVBCGZLYiLmN1mHWa1Dq?domain=mcusercontent.com" TargetMode="External"/><Relationship Id="rId22" Type="http://schemas.openxmlformats.org/officeDocument/2006/relationships/hyperlink" Target="https://www.bbc.co.uk/programmes/articles/4fRwvHcfr5hYMMltFqvP6qF/help-your-students-spot-false-new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7F6FD7A56B5B4AA9DD5464ED67E63B" ma:contentTypeVersion="13" ma:contentTypeDescription="Create a new document." ma:contentTypeScope="" ma:versionID="81a120db84aca17b75c1700d62fd330a">
  <xsd:schema xmlns:xsd="http://www.w3.org/2001/XMLSchema" xmlns:xs="http://www.w3.org/2001/XMLSchema" xmlns:p="http://schemas.microsoft.com/office/2006/metadata/properties" xmlns:ns3="767eaa8f-00f2-40e9-bdd3-015cf1c65ce8" xmlns:ns4="c290f356-ef71-44bb-8da2-110e51d629fb" targetNamespace="http://schemas.microsoft.com/office/2006/metadata/properties" ma:root="true" ma:fieldsID="ab0d52b74c8e5263affae15555ac90ce" ns3:_="" ns4:_="">
    <xsd:import namespace="767eaa8f-00f2-40e9-bdd3-015cf1c65ce8"/>
    <xsd:import namespace="c290f356-ef71-44bb-8da2-110e51d629f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eaa8f-00f2-40e9-bdd3-015cf1c65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90f356-ef71-44bb-8da2-110e51d629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E10474-3D64-43DA-B6B6-DBBBDC0987A4}">
  <ds:schemaRefs>
    <ds:schemaRef ds:uri="http://purl.org/dc/terms/"/>
    <ds:schemaRef ds:uri="http://schemas.openxmlformats.org/package/2006/metadata/core-properties"/>
    <ds:schemaRef ds:uri="767eaa8f-00f2-40e9-bdd3-015cf1c65ce8"/>
    <ds:schemaRef ds:uri="http://schemas.microsoft.com/office/2006/documentManagement/types"/>
    <ds:schemaRef ds:uri="http://schemas.microsoft.com/office/infopath/2007/PartnerControls"/>
    <ds:schemaRef ds:uri="c290f356-ef71-44bb-8da2-110e51d629fb"/>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6E2FB80-18EC-46BA-9050-864192197F52}">
  <ds:schemaRefs>
    <ds:schemaRef ds:uri="http://schemas.microsoft.com/sharepoint/v3/contenttype/forms"/>
  </ds:schemaRefs>
</ds:datastoreItem>
</file>

<file path=customXml/itemProps3.xml><?xml version="1.0" encoding="utf-8"?>
<ds:datastoreItem xmlns:ds="http://schemas.openxmlformats.org/officeDocument/2006/customXml" ds:itemID="{F41C84FB-49C6-4292-9576-1A45CE24E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eaa8f-00f2-40e9-bdd3-015cf1c65ce8"/>
    <ds:schemaRef ds:uri="c290f356-ef71-44bb-8da2-110e51d62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4217</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Pangli, Manjeet</dc:creator>
  <cp:lastModifiedBy>Laura Hendry</cp:lastModifiedBy>
  <cp:revision>2</cp:revision>
  <dcterms:created xsi:type="dcterms:W3CDTF">2020-06-10T16:47:00Z</dcterms:created>
  <dcterms:modified xsi:type="dcterms:W3CDTF">2020-06-10T16:47:00Z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0x010100CA7F6FD7A56B5B4AA9DD5464ED67E63B</vt:lpwstr>
  </property>
</Properties>
</file>